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FF435" w14:textId="61C5BC97" w:rsidR="008C578E" w:rsidRDefault="008F4C89" w:rsidP="00E14A3E">
      <w:pPr>
        <w:jc w:val="center"/>
        <w:rPr>
          <w:rFonts w:ascii="Times New Roman" w:hAnsi="Times New Roman" w:cs="Times New Roman"/>
          <w:b/>
          <w:sz w:val="24"/>
        </w:rPr>
      </w:pPr>
      <w:r w:rsidRPr="00411383">
        <w:rPr>
          <w:rFonts w:ascii="Times New Roman" w:hAnsi="Times New Roman" w:cs="Times New Roman"/>
          <w:b/>
          <w:sz w:val="24"/>
        </w:rPr>
        <w:t>Breaking Promises:</w:t>
      </w:r>
    </w:p>
    <w:p w14:paraId="3B3A7447" w14:textId="77777777" w:rsidR="00E14A3E" w:rsidRPr="00411383" w:rsidRDefault="00E14A3E" w:rsidP="00E14A3E">
      <w:pPr>
        <w:jc w:val="center"/>
        <w:rPr>
          <w:rFonts w:ascii="Times New Roman" w:hAnsi="Times New Roman" w:cs="Times New Roman"/>
          <w:b/>
          <w:sz w:val="24"/>
        </w:rPr>
      </w:pPr>
    </w:p>
    <w:p w14:paraId="79CE3CAC" w14:textId="2856BF3E" w:rsidR="001E72ED" w:rsidRDefault="00E241B8" w:rsidP="00E14A3E">
      <w:pPr>
        <w:jc w:val="center"/>
        <w:rPr>
          <w:rFonts w:ascii="Times New Roman" w:hAnsi="Times New Roman" w:cs="Times New Roman"/>
          <w:b/>
          <w:sz w:val="24"/>
        </w:rPr>
      </w:pPr>
      <w:r w:rsidRPr="00411383">
        <w:rPr>
          <w:rFonts w:ascii="Times New Roman" w:hAnsi="Times New Roman" w:cs="Times New Roman"/>
          <w:b/>
          <w:sz w:val="24"/>
        </w:rPr>
        <w:t xml:space="preserve">The </w:t>
      </w:r>
      <w:r w:rsidR="001E26AB" w:rsidRPr="00411383">
        <w:rPr>
          <w:rFonts w:ascii="Times New Roman" w:hAnsi="Times New Roman" w:cs="Times New Roman"/>
          <w:b/>
          <w:sz w:val="24"/>
        </w:rPr>
        <w:t>National Interest</w:t>
      </w:r>
      <w:r w:rsidR="00E351B3" w:rsidRPr="00411383">
        <w:rPr>
          <w:rFonts w:ascii="Times New Roman" w:hAnsi="Times New Roman" w:cs="Times New Roman"/>
          <w:b/>
          <w:sz w:val="24"/>
        </w:rPr>
        <w:t xml:space="preserve"> and</w:t>
      </w:r>
      <w:r w:rsidR="00F613E0" w:rsidRPr="00411383">
        <w:rPr>
          <w:rFonts w:ascii="Times New Roman" w:hAnsi="Times New Roman" w:cs="Times New Roman"/>
          <w:b/>
          <w:sz w:val="24"/>
        </w:rPr>
        <w:t xml:space="preserve"> </w:t>
      </w:r>
      <w:r w:rsidR="0087284F">
        <w:rPr>
          <w:rFonts w:ascii="Times New Roman" w:hAnsi="Times New Roman" w:cs="Times New Roman"/>
          <w:b/>
          <w:sz w:val="24"/>
        </w:rPr>
        <w:t>Non-</w:t>
      </w:r>
      <w:r w:rsidR="0087284F" w:rsidRPr="00BE6C7F">
        <w:rPr>
          <w:rFonts w:ascii="Times New Roman" w:hAnsi="Times New Roman" w:cs="Times New Roman"/>
          <w:b/>
          <w:i/>
          <w:iCs/>
          <w:sz w:val="24"/>
        </w:rPr>
        <w:t>Refoulement</w:t>
      </w:r>
      <w:r w:rsidR="0087284F">
        <w:rPr>
          <w:rFonts w:ascii="Times New Roman" w:hAnsi="Times New Roman" w:cs="Times New Roman"/>
          <w:b/>
          <w:sz w:val="24"/>
        </w:rPr>
        <w:t xml:space="preserve"> in the Federal Court</w:t>
      </w:r>
    </w:p>
    <w:p w14:paraId="3D99AA9E" w14:textId="77777777" w:rsidR="0026371E" w:rsidRDefault="0026371E" w:rsidP="00E14A3E">
      <w:pPr>
        <w:jc w:val="center"/>
        <w:rPr>
          <w:rFonts w:ascii="Times New Roman" w:hAnsi="Times New Roman" w:cs="Times New Roman"/>
          <w:b/>
          <w:sz w:val="24"/>
        </w:rPr>
      </w:pPr>
    </w:p>
    <w:p w14:paraId="07265683" w14:textId="56AF2F9C" w:rsidR="0026371E" w:rsidRPr="00411383" w:rsidRDefault="0026371E" w:rsidP="00E14A3E">
      <w:pPr>
        <w:jc w:val="center"/>
        <w:rPr>
          <w:rFonts w:ascii="Times New Roman" w:hAnsi="Times New Roman" w:cs="Times New Roman"/>
          <w:b/>
          <w:sz w:val="24"/>
        </w:rPr>
      </w:pPr>
      <w:r>
        <w:rPr>
          <w:rFonts w:ascii="Times New Roman" w:hAnsi="Times New Roman" w:cs="Times New Roman"/>
          <w:b/>
          <w:sz w:val="24"/>
        </w:rPr>
        <w:t>Douglas McDonald-Norman* and Maria O’Sullivan**</w:t>
      </w:r>
    </w:p>
    <w:p w14:paraId="10FF2219" w14:textId="77777777" w:rsidR="00AE6012" w:rsidRPr="00411383" w:rsidRDefault="00AE6012" w:rsidP="00821255">
      <w:pPr>
        <w:spacing w:line="360" w:lineRule="auto"/>
        <w:jc w:val="both"/>
        <w:rPr>
          <w:rFonts w:ascii="Times New Roman" w:hAnsi="Times New Roman" w:cs="Times New Roman"/>
          <w:b/>
          <w:sz w:val="24"/>
        </w:rPr>
      </w:pPr>
    </w:p>
    <w:p w14:paraId="34D832F7" w14:textId="5B4E5295" w:rsidR="003144FA" w:rsidRPr="00411383" w:rsidRDefault="00821255" w:rsidP="00AB3A24">
      <w:pPr>
        <w:ind w:left="284" w:right="379"/>
        <w:jc w:val="both"/>
        <w:rPr>
          <w:rFonts w:ascii="Times New Roman" w:hAnsi="Times New Roman" w:cs="Times New Roman"/>
          <w:bCs/>
          <w:sz w:val="24"/>
        </w:rPr>
      </w:pPr>
      <w:r w:rsidRPr="00411383">
        <w:rPr>
          <w:rFonts w:ascii="Times New Roman" w:hAnsi="Times New Roman" w:cs="Times New Roman"/>
          <w:bCs/>
          <w:i/>
          <w:iCs/>
          <w:sz w:val="24"/>
        </w:rPr>
        <w:t>The applicant disputed that he needed to adduce evidence to demonstrate that breach of Australia’s international obligations would have some particular detrimental effect on Australia’s international reputation. He submitted that it was “self-evident” that dishonouring a solemn promise is apt to undermine confidence in the promisor</w:t>
      </w:r>
      <w:r w:rsidRPr="00411383">
        <w:rPr>
          <w:rFonts w:ascii="Times New Roman" w:hAnsi="Times New Roman" w:cs="Times New Roman"/>
          <w:bCs/>
          <w:sz w:val="24"/>
        </w:rPr>
        <w:t>.</w:t>
      </w:r>
      <w:r w:rsidRPr="00411383">
        <w:rPr>
          <w:rStyle w:val="FootnoteReference"/>
          <w:rFonts w:ascii="Times New Roman" w:hAnsi="Times New Roman" w:cs="Times New Roman"/>
          <w:bCs/>
          <w:sz w:val="24"/>
        </w:rPr>
        <w:footnoteReference w:id="1"/>
      </w:r>
    </w:p>
    <w:p w14:paraId="5E5E1157" w14:textId="77777777" w:rsidR="00AB3A24" w:rsidRPr="00411383" w:rsidRDefault="00AB3A24" w:rsidP="00AB3A24">
      <w:pPr>
        <w:ind w:left="284" w:right="379"/>
        <w:jc w:val="both"/>
        <w:rPr>
          <w:rFonts w:ascii="Times New Roman" w:hAnsi="Times New Roman" w:cs="Times New Roman"/>
          <w:bCs/>
          <w:sz w:val="24"/>
        </w:rPr>
      </w:pPr>
    </w:p>
    <w:p w14:paraId="48435CD2" w14:textId="77777777" w:rsidR="00670E45" w:rsidRPr="00411383" w:rsidRDefault="00670E45" w:rsidP="00821255">
      <w:pPr>
        <w:spacing w:line="360" w:lineRule="auto"/>
        <w:jc w:val="both"/>
        <w:rPr>
          <w:rFonts w:ascii="Times New Roman" w:hAnsi="Times New Roman" w:cs="Times New Roman"/>
          <w:b/>
          <w:sz w:val="24"/>
        </w:rPr>
      </w:pPr>
    </w:p>
    <w:p w14:paraId="3E002851" w14:textId="571D68C7" w:rsidR="001E26AB" w:rsidRPr="00411383" w:rsidRDefault="00D759D7" w:rsidP="00E33B82">
      <w:pPr>
        <w:spacing w:line="360" w:lineRule="auto"/>
        <w:jc w:val="both"/>
        <w:rPr>
          <w:rFonts w:ascii="Times New Roman" w:hAnsi="Times New Roman" w:cs="Times New Roman"/>
          <w:bCs/>
          <w:sz w:val="24"/>
        </w:rPr>
      </w:pPr>
      <w:r w:rsidRPr="00411383">
        <w:rPr>
          <w:rFonts w:ascii="Times New Roman" w:hAnsi="Times New Roman" w:cs="Times New Roman"/>
          <w:b/>
          <w:sz w:val="24"/>
        </w:rPr>
        <w:t xml:space="preserve">1. </w:t>
      </w:r>
      <w:r w:rsidRPr="00411383">
        <w:rPr>
          <w:rFonts w:ascii="Times New Roman" w:hAnsi="Times New Roman" w:cs="Times New Roman"/>
          <w:b/>
          <w:sz w:val="24"/>
        </w:rPr>
        <w:tab/>
        <w:t>Introduction</w:t>
      </w:r>
    </w:p>
    <w:p w14:paraId="0092C31A" w14:textId="77777777" w:rsidR="00D759D7" w:rsidRPr="00411383" w:rsidRDefault="00D759D7" w:rsidP="00E33B82">
      <w:pPr>
        <w:spacing w:line="360" w:lineRule="auto"/>
        <w:jc w:val="both"/>
        <w:rPr>
          <w:rFonts w:ascii="Times New Roman" w:hAnsi="Times New Roman" w:cs="Times New Roman"/>
          <w:bCs/>
          <w:sz w:val="24"/>
        </w:rPr>
      </w:pPr>
    </w:p>
    <w:p w14:paraId="719B39D9" w14:textId="7E101333" w:rsidR="0087284F" w:rsidRDefault="00982DBF" w:rsidP="00E33B82">
      <w:pPr>
        <w:spacing w:line="360" w:lineRule="auto"/>
        <w:jc w:val="both"/>
        <w:rPr>
          <w:rFonts w:ascii="Times New Roman" w:hAnsi="Times New Roman" w:cs="Times New Roman"/>
          <w:sz w:val="24"/>
        </w:rPr>
      </w:pPr>
      <w:r w:rsidRPr="00411383">
        <w:rPr>
          <w:rFonts w:ascii="Times New Roman" w:hAnsi="Times New Roman" w:cs="Times New Roman"/>
          <w:sz w:val="24"/>
        </w:rPr>
        <w:t>The bounds of judicial review for migration matters in Australia ha</w:t>
      </w:r>
      <w:r w:rsidR="00D86EF0" w:rsidRPr="00411383">
        <w:rPr>
          <w:rFonts w:ascii="Times New Roman" w:hAnsi="Times New Roman" w:cs="Times New Roman"/>
          <w:sz w:val="24"/>
        </w:rPr>
        <w:t>ve</w:t>
      </w:r>
      <w:r w:rsidRPr="00411383">
        <w:rPr>
          <w:rFonts w:ascii="Times New Roman" w:hAnsi="Times New Roman" w:cs="Times New Roman"/>
          <w:sz w:val="24"/>
        </w:rPr>
        <w:t xml:space="preserve"> long been</w:t>
      </w:r>
      <w:r w:rsidR="00FA32BE">
        <w:rPr>
          <w:rFonts w:ascii="Times New Roman" w:hAnsi="Times New Roman" w:cs="Times New Roman"/>
          <w:sz w:val="24"/>
        </w:rPr>
        <w:t xml:space="preserve"> </w:t>
      </w:r>
      <w:r w:rsidRPr="00411383">
        <w:rPr>
          <w:rFonts w:ascii="Times New Roman" w:hAnsi="Times New Roman" w:cs="Times New Roman"/>
          <w:sz w:val="24"/>
        </w:rPr>
        <w:t xml:space="preserve">contested. </w:t>
      </w:r>
      <w:r w:rsidR="00AA512A" w:rsidRPr="00411383">
        <w:rPr>
          <w:rFonts w:ascii="Times New Roman" w:hAnsi="Times New Roman" w:cs="Times New Roman"/>
          <w:sz w:val="24"/>
        </w:rPr>
        <w:t>In recent decades</w:t>
      </w:r>
      <w:r w:rsidRPr="00411383">
        <w:rPr>
          <w:rFonts w:ascii="Times New Roman" w:hAnsi="Times New Roman" w:cs="Times New Roman"/>
          <w:sz w:val="24"/>
        </w:rPr>
        <w:t xml:space="preserve">, there has been significant tension between the executive and the judiciary in relation to the </w:t>
      </w:r>
      <w:r w:rsidR="00121AD3" w:rsidRPr="00411383">
        <w:rPr>
          <w:rFonts w:ascii="Times New Roman" w:hAnsi="Times New Roman" w:cs="Times New Roman"/>
          <w:sz w:val="24"/>
        </w:rPr>
        <w:t xml:space="preserve">nature and scope </w:t>
      </w:r>
      <w:r w:rsidRPr="00411383">
        <w:rPr>
          <w:rFonts w:ascii="Times New Roman" w:hAnsi="Times New Roman" w:cs="Times New Roman"/>
          <w:sz w:val="24"/>
        </w:rPr>
        <w:t>of judicial review in migration cases.</w:t>
      </w:r>
      <w:r w:rsidR="00AA512A" w:rsidRPr="00411383">
        <w:rPr>
          <w:rStyle w:val="FootnoteReference"/>
          <w:rFonts w:ascii="Times New Roman" w:hAnsi="Times New Roman" w:cs="Times New Roman"/>
          <w:sz w:val="24"/>
        </w:rPr>
        <w:footnoteReference w:id="2"/>
      </w:r>
      <w:r w:rsidRPr="00411383">
        <w:rPr>
          <w:rFonts w:ascii="Times New Roman" w:hAnsi="Times New Roman" w:cs="Times New Roman"/>
          <w:sz w:val="24"/>
        </w:rPr>
        <w:t xml:space="preserve"> </w:t>
      </w:r>
      <w:r w:rsidR="003D6796">
        <w:rPr>
          <w:rFonts w:ascii="Times New Roman" w:hAnsi="Times New Roman" w:cs="Times New Roman"/>
          <w:sz w:val="24"/>
        </w:rPr>
        <w:t xml:space="preserve">These tensions have arisen, in part, from attempts by </w:t>
      </w:r>
      <w:r w:rsidR="00FA32BE">
        <w:rPr>
          <w:rFonts w:ascii="Times New Roman" w:hAnsi="Times New Roman" w:cs="Times New Roman"/>
          <w:sz w:val="24"/>
        </w:rPr>
        <w:t>s</w:t>
      </w:r>
      <w:r w:rsidRPr="00411383">
        <w:rPr>
          <w:rFonts w:ascii="Times New Roman" w:hAnsi="Times New Roman" w:cs="Times New Roman"/>
          <w:sz w:val="24"/>
        </w:rPr>
        <w:t xml:space="preserve">uccessive governments to restrict the ability of applicants to utilise certain grounds of judicial review, </w:t>
      </w:r>
      <w:r w:rsidR="003D6796">
        <w:rPr>
          <w:rFonts w:ascii="Times New Roman" w:hAnsi="Times New Roman" w:cs="Times New Roman"/>
          <w:sz w:val="24"/>
        </w:rPr>
        <w:t xml:space="preserve">including </w:t>
      </w:r>
      <w:r w:rsidRPr="00411383">
        <w:rPr>
          <w:rFonts w:ascii="Times New Roman" w:hAnsi="Times New Roman" w:cs="Times New Roman"/>
          <w:sz w:val="24"/>
        </w:rPr>
        <w:t>procedural fairness and unreasonableness.</w:t>
      </w:r>
      <w:r w:rsidR="000B0929" w:rsidRPr="00411383">
        <w:rPr>
          <w:rStyle w:val="FootnoteReference"/>
          <w:rFonts w:ascii="Times New Roman" w:hAnsi="Times New Roman" w:cs="Times New Roman"/>
          <w:sz w:val="24"/>
        </w:rPr>
        <w:footnoteReference w:id="3"/>
      </w:r>
      <w:r w:rsidR="00687EFD">
        <w:rPr>
          <w:rFonts w:ascii="Times New Roman" w:hAnsi="Times New Roman" w:cs="Times New Roman"/>
          <w:sz w:val="24"/>
        </w:rPr>
        <w:t xml:space="preserve"> </w:t>
      </w:r>
    </w:p>
    <w:p w14:paraId="000FBB56" w14:textId="77777777" w:rsidR="0087284F" w:rsidRDefault="0087284F" w:rsidP="00E33B82">
      <w:pPr>
        <w:spacing w:line="360" w:lineRule="auto"/>
        <w:jc w:val="both"/>
        <w:rPr>
          <w:rFonts w:ascii="Times New Roman" w:hAnsi="Times New Roman" w:cs="Times New Roman"/>
          <w:sz w:val="24"/>
        </w:rPr>
      </w:pPr>
    </w:p>
    <w:p w14:paraId="1915C832" w14:textId="0F19FD88" w:rsidR="00CA7A69" w:rsidRPr="00411383" w:rsidRDefault="00C933C1" w:rsidP="00E33B82">
      <w:pPr>
        <w:spacing w:line="360" w:lineRule="auto"/>
        <w:jc w:val="both"/>
        <w:rPr>
          <w:rFonts w:ascii="Times New Roman" w:hAnsi="Times New Roman" w:cs="Times New Roman"/>
          <w:sz w:val="24"/>
        </w:rPr>
      </w:pPr>
      <w:r>
        <w:rPr>
          <w:rFonts w:ascii="Times New Roman" w:hAnsi="Times New Roman" w:cs="Times New Roman"/>
          <w:sz w:val="24"/>
        </w:rPr>
        <w:t>T</w:t>
      </w:r>
      <w:r w:rsidR="00982DBF" w:rsidRPr="00411383">
        <w:rPr>
          <w:rFonts w:ascii="Times New Roman" w:hAnsi="Times New Roman" w:cs="Times New Roman"/>
          <w:sz w:val="24"/>
        </w:rPr>
        <w:t xml:space="preserve">he </w:t>
      </w:r>
      <w:r w:rsidR="00704206" w:rsidRPr="00411383">
        <w:rPr>
          <w:rFonts w:ascii="Times New Roman" w:hAnsi="Times New Roman" w:cs="Times New Roman"/>
          <w:i/>
          <w:iCs/>
          <w:sz w:val="24"/>
        </w:rPr>
        <w:t>Migration Act 1958</w:t>
      </w:r>
      <w:r w:rsidR="00704206" w:rsidRPr="00411383">
        <w:rPr>
          <w:rFonts w:ascii="Times New Roman" w:hAnsi="Times New Roman" w:cs="Times New Roman"/>
          <w:sz w:val="24"/>
        </w:rPr>
        <w:t xml:space="preserve"> (Cth)</w:t>
      </w:r>
      <w:r w:rsidR="00704206" w:rsidRPr="00411383">
        <w:rPr>
          <w:rFonts w:ascii="Times New Roman" w:hAnsi="Times New Roman" w:cs="Times New Roman"/>
          <w:bCs/>
          <w:sz w:val="24"/>
        </w:rPr>
        <w:t xml:space="preserve"> </w:t>
      </w:r>
      <w:r w:rsidR="00D0071B">
        <w:rPr>
          <w:rFonts w:ascii="Times New Roman" w:hAnsi="Times New Roman" w:cs="Times New Roman"/>
          <w:sz w:val="24"/>
        </w:rPr>
        <w:t xml:space="preserve">contains </w:t>
      </w:r>
      <w:r w:rsidR="006E2FD9">
        <w:rPr>
          <w:rFonts w:ascii="Times New Roman" w:hAnsi="Times New Roman" w:cs="Times New Roman"/>
          <w:sz w:val="24"/>
        </w:rPr>
        <w:t xml:space="preserve">various provisions requiring or permitting decision-makers to form a state of satisfaction as to the </w:t>
      </w:r>
      <w:r w:rsidR="00D0071B" w:rsidRPr="00411383">
        <w:rPr>
          <w:rFonts w:ascii="Times New Roman" w:hAnsi="Times New Roman" w:cs="Times New Roman"/>
          <w:sz w:val="24"/>
        </w:rPr>
        <w:t xml:space="preserve">‘public interest’ </w:t>
      </w:r>
      <w:r w:rsidR="006E2FD9">
        <w:rPr>
          <w:rFonts w:ascii="Times New Roman" w:hAnsi="Times New Roman" w:cs="Times New Roman"/>
          <w:sz w:val="24"/>
        </w:rPr>
        <w:t xml:space="preserve">or the </w:t>
      </w:r>
      <w:r w:rsidR="00D0071B" w:rsidRPr="00411383">
        <w:rPr>
          <w:rFonts w:ascii="Times New Roman" w:hAnsi="Times New Roman" w:cs="Times New Roman"/>
          <w:sz w:val="24"/>
        </w:rPr>
        <w:t>‘national interest’</w:t>
      </w:r>
      <w:r w:rsidR="006E2FD9">
        <w:rPr>
          <w:rFonts w:ascii="Times New Roman" w:hAnsi="Times New Roman" w:cs="Times New Roman"/>
          <w:sz w:val="24"/>
        </w:rPr>
        <w:t>.</w:t>
      </w:r>
      <w:r w:rsidR="003C4E25" w:rsidRPr="00411383">
        <w:rPr>
          <w:rStyle w:val="FootnoteReference"/>
          <w:rFonts w:ascii="Times New Roman" w:hAnsi="Times New Roman" w:cs="Times New Roman"/>
          <w:sz w:val="24"/>
        </w:rPr>
        <w:footnoteReference w:id="4"/>
      </w:r>
      <w:r w:rsidR="00C31B29" w:rsidRPr="00411383">
        <w:rPr>
          <w:rFonts w:ascii="Times New Roman" w:hAnsi="Times New Roman" w:cs="Times New Roman"/>
          <w:sz w:val="24"/>
        </w:rPr>
        <w:t xml:space="preserve"> </w:t>
      </w:r>
      <w:r w:rsidR="006E2FD9">
        <w:rPr>
          <w:rFonts w:ascii="Times New Roman" w:hAnsi="Times New Roman" w:cs="Times New Roman"/>
          <w:sz w:val="24"/>
        </w:rPr>
        <w:t xml:space="preserve">These provisions confer </w:t>
      </w:r>
      <w:r w:rsidR="00B97CC5" w:rsidRPr="00411383">
        <w:rPr>
          <w:rFonts w:ascii="Times New Roman" w:hAnsi="Times New Roman" w:cs="Times New Roman"/>
          <w:sz w:val="24"/>
        </w:rPr>
        <w:t xml:space="preserve">wide decisional freedom </w:t>
      </w:r>
      <w:r w:rsidR="006E2FD9">
        <w:rPr>
          <w:rFonts w:ascii="Times New Roman" w:hAnsi="Times New Roman" w:cs="Times New Roman"/>
          <w:sz w:val="24"/>
        </w:rPr>
        <w:t xml:space="preserve">in determining the content of the </w:t>
      </w:r>
      <w:r w:rsidR="00B97CC5" w:rsidRPr="00411383">
        <w:rPr>
          <w:rFonts w:ascii="Times New Roman" w:hAnsi="Times New Roman" w:cs="Times New Roman"/>
          <w:sz w:val="24"/>
        </w:rPr>
        <w:t>‘public interest’ or the ‘national interest’</w:t>
      </w:r>
      <w:r w:rsidR="00DA2ADD">
        <w:rPr>
          <w:rFonts w:ascii="Times New Roman" w:hAnsi="Times New Roman" w:cs="Times New Roman"/>
          <w:sz w:val="24"/>
        </w:rPr>
        <w:t xml:space="preserve"> and </w:t>
      </w:r>
      <w:r w:rsidR="00B97CC5" w:rsidRPr="00411383">
        <w:rPr>
          <w:rFonts w:ascii="Times New Roman" w:hAnsi="Times New Roman" w:cs="Times New Roman"/>
          <w:sz w:val="24"/>
        </w:rPr>
        <w:t xml:space="preserve">in deciding which facts and factors are relevant to those criteria. </w:t>
      </w:r>
      <w:r w:rsidR="00B97CC5" w:rsidRPr="00411383">
        <w:rPr>
          <w:rFonts w:ascii="Times New Roman" w:hAnsi="Times New Roman" w:cs="Times New Roman"/>
          <w:sz w:val="24"/>
        </w:rPr>
        <w:lastRenderedPageBreak/>
        <w:t>These provisions</w:t>
      </w:r>
      <w:r w:rsidR="00121753" w:rsidRPr="00411383">
        <w:rPr>
          <w:rFonts w:ascii="Times New Roman" w:hAnsi="Times New Roman" w:cs="Times New Roman"/>
          <w:sz w:val="24"/>
        </w:rPr>
        <w:t xml:space="preserve"> </w:t>
      </w:r>
      <w:r w:rsidR="00FF170C" w:rsidRPr="00411383">
        <w:rPr>
          <w:rFonts w:ascii="Times New Roman" w:hAnsi="Times New Roman" w:cs="Times New Roman"/>
          <w:sz w:val="24"/>
        </w:rPr>
        <w:t>have theref</w:t>
      </w:r>
      <w:r w:rsidR="00121753" w:rsidRPr="00411383">
        <w:rPr>
          <w:rFonts w:ascii="Times New Roman" w:hAnsi="Times New Roman" w:cs="Times New Roman"/>
          <w:sz w:val="24"/>
        </w:rPr>
        <w:t>ore</w:t>
      </w:r>
      <w:r w:rsidR="00FF170C" w:rsidRPr="00411383">
        <w:rPr>
          <w:rFonts w:ascii="Times New Roman" w:hAnsi="Times New Roman" w:cs="Times New Roman"/>
          <w:sz w:val="24"/>
        </w:rPr>
        <w:t xml:space="preserve"> been referred to as</w:t>
      </w:r>
      <w:r w:rsidR="00206D21" w:rsidRPr="00411383">
        <w:rPr>
          <w:rFonts w:ascii="Times New Roman" w:hAnsi="Times New Roman" w:cs="Times New Roman"/>
          <w:sz w:val="24"/>
        </w:rPr>
        <w:t xml:space="preserve"> ‘God powers’</w:t>
      </w:r>
      <w:r w:rsidR="00206D21" w:rsidRPr="00411383">
        <w:rPr>
          <w:rStyle w:val="FootnoteReference"/>
          <w:rFonts w:ascii="Times New Roman" w:hAnsi="Times New Roman" w:cs="Times New Roman"/>
          <w:sz w:val="24"/>
        </w:rPr>
        <w:footnoteReference w:id="5"/>
      </w:r>
      <w:r w:rsidR="00206D21" w:rsidRPr="00411383">
        <w:rPr>
          <w:rFonts w:ascii="Times New Roman" w:hAnsi="Times New Roman" w:cs="Times New Roman"/>
          <w:sz w:val="24"/>
        </w:rPr>
        <w:t xml:space="preserve"> </w:t>
      </w:r>
      <w:r w:rsidR="00FF170C" w:rsidRPr="00411383">
        <w:rPr>
          <w:rFonts w:ascii="Times New Roman" w:hAnsi="Times New Roman" w:cs="Times New Roman"/>
          <w:sz w:val="24"/>
        </w:rPr>
        <w:t xml:space="preserve">by civil society and commentators. </w:t>
      </w:r>
      <w:r w:rsidR="00CA7A69" w:rsidRPr="00411383">
        <w:rPr>
          <w:rFonts w:ascii="Times New Roman" w:hAnsi="Times New Roman" w:cs="Times New Roman"/>
          <w:sz w:val="24"/>
        </w:rPr>
        <w:t>The powers conferred by these provisions are</w:t>
      </w:r>
      <w:r w:rsidR="00FF170C" w:rsidRPr="00411383">
        <w:rPr>
          <w:rFonts w:ascii="Times New Roman" w:hAnsi="Times New Roman" w:cs="Times New Roman"/>
          <w:sz w:val="24"/>
        </w:rPr>
        <w:t xml:space="preserve"> typically non-compellable and not subject to core administrative law principles such as merits review or procedural fairness</w:t>
      </w:r>
      <w:r w:rsidR="00206D21" w:rsidRPr="00411383">
        <w:rPr>
          <w:rFonts w:ascii="Times New Roman" w:hAnsi="Times New Roman" w:cs="Times New Roman"/>
          <w:sz w:val="24"/>
        </w:rPr>
        <w:t xml:space="preserve">. </w:t>
      </w:r>
      <w:r w:rsidR="00ED1821" w:rsidRPr="00411383">
        <w:rPr>
          <w:rFonts w:ascii="Times New Roman" w:hAnsi="Times New Roman" w:cs="Times New Roman"/>
          <w:sz w:val="24"/>
        </w:rPr>
        <w:t>T</w:t>
      </w:r>
      <w:r w:rsidR="00724CC6" w:rsidRPr="00411383">
        <w:rPr>
          <w:rFonts w:ascii="Times New Roman" w:hAnsi="Times New Roman" w:cs="Times New Roman"/>
          <w:sz w:val="24"/>
        </w:rPr>
        <w:t>heir effect is to</w:t>
      </w:r>
      <w:r w:rsidR="00C31B29" w:rsidRPr="00411383">
        <w:rPr>
          <w:rFonts w:ascii="Times New Roman" w:hAnsi="Times New Roman" w:cs="Times New Roman"/>
          <w:sz w:val="24"/>
        </w:rPr>
        <w:t xml:space="preserve"> </w:t>
      </w:r>
      <w:r w:rsidR="00982DBF" w:rsidRPr="00411383">
        <w:rPr>
          <w:rFonts w:ascii="Times New Roman" w:hAnsi="Times New Roman" w:cs="Times New Roman"/>
          <w:sz w:val="24"/>
        </w:rPr>
        <w:t>reduce the arguable grounds of judicial review</w:t>
      </w:r>
      <w:r w:rsidR="00086139" w:rsidRPr="00411383">
        <w:rPr>
          <w:rFonts w:ascii="Times New Roman" w:hAnsi="Times New Roman" w:cs="Times New Roman"/>
          <w:sz w:val="24"/>
        </w:rPr>
        <w:t xml:space="preserve"> </w:t>
      </w:r>
      <w:r w:rsidR="00C838C8">
        <w:rPr>
          <w:rFonts w:ascii="Times New Roman" w:hAnsi="Times New Roman" w:cs="Times New Roman"/>
          <w:sz w:val="24"/>
        </w:rPr>
        <w:t xml:space="preserve">for challenging </w:t>
      </w:r>
      <w:r w:rsidR="00121753" w:rsidRPr="00411383">
        <w:rPr>
          <w:rFonts w:ascii="Times New Roman" w:hAnsi="Times New Roman" w:cs="Times New Roman"/>
          <w:sz w:val="24"/>
        </w:rPr>
        <w:t xml:space="preserve">migration </w:t>
      </w:r>
      <w:r w:rsidR="00086139" w:rsidRPr="00411383">
        <w:rPr>
          <w:rFonts w:ascii="Times New Roman" w:hAnsi="Times New Roman" w:cs="Times New Roman"/>
          <w:sz w:val="24"/>
        </w:rPr>
        <w:t>decisions</w:t>
      </w:r>
      <w:r w:rsidR="00877CA8" w:rsidRPr="00411383">
        <w:rPr>
          <w:rFonts w:ascii="Times New Roman" w:hAnsi="Times New Roman" w:cs="Times New Roman"/>
          <w:sz w:val="24"/>
        </w:rPr>
        <w:t xml:space="preserve"> – many of which are decisions</w:t>
      </w:r>
      <w:r w:rsidR="000D0CAD" w:rsidRPr="00411383">
        <w:rPr>
          <w:rFonts w:ascii="Times New Roman" w:hAnsi="Times New Roman" w:cs="Times New Roman"/>
          <w:sz w:val="24"/>
        </w:rPr>
        <w:t xml:space="preserve"> involving asylum seekers or refugees.</w:t>
      </w:r>
      <w:r w:rsidR="00982DBF" w:rsidRPr="00411383">
        <w:rPr>
          <w:rFonts w:ascii="Times New Roman" w:hAnsi="Times New Roman" w:cs="Times New Roman"/>
          <w:sz w:val="24"/>
        </w:rPr>
        <w:t xml:space="preserve"> </w:t>
      </w:r>
    </w:p>
    <w:p w14:paraId="71B0E128" w14:textId="77777777" w:rsidR="00CA7A69" w:rsidRPr="00411383" w:rsidRDefault="00CA7A69" w:rsidP="00E33B82">
      <w:pPr>
        <w:spacing w:line="360" w:lineRule="auto"/>
        <w:jc w:val="both"/>
        <w:rPr>
          <w:rFonts w:ascii="Times New Roman" w:hAnsi="Times New Roman" w:cs="Times New Roman"/>
          <w:sz w:val="24"/>
        </w:rPr>
      </w:pPr>
    </w:p>
    <w:p w14:paraId="231C030B" w14:textId="75DC9FCF" w:rsidR="006621EF" w:rsidRPr="00411383" w:rsidRDefault="00EF23B3" w:rsidP="00E33B82">
      <w:pPr>
        <w:spacing w:line="360" w:lineRule="auto"/>
        <w:jc w:val="both"/>
        <w:rPr>
          <w:rFonts w:ascii="Times New Roman" w:hAnsi="Times New Roman" w:cs="Times New Roman"/>
          <w:sz w:val="24"/>
          <w:shd w:val="clear" w:color="auto" w:fill="FFFFFF"/>
        </w:rPr>
      </w:pPr>
      <w:r w:rsidRPr="00411383">
        <w:rPr>
          <w:rFonts w:ascii="Times New Roman" w:hAnsi="Times New Roman" w:cs="Times New Roman"/>
          <w:sz w:val="24"/>
          <w:shd w:val="clear" w:color="auto" w:fill="FFFFFF"/>
        </w:rPr>
        <w:t xml:space="preserve">One </w:t>
      </w:r>
      <w:r w:rsidR="000D0CAD" w:rsidRPr="00411383">
        <w:rPr>
          <w:rFonts w:ascii="Times New Roman" w:hAnsi="Times New Roman" w:cs="Times New Roman"/>
          <w:sz w:val="24"/>
          <w:shd w:val="clear" w:color="auto" w:fill="FFFFFF"/>
        </w:rPr>
        <w:t xml:space="preserve">contested </w:t>
      </w:r>
      <w:r w:rsidRPr="00411383">
        <w:rPr>
          <w:rFonts w:ascii="Times New Roman" w:hAnsi="Times New Roman" w:cs="Times New Roman"/>
          <w:sz w:val="24"/>
          <w:shd w:val="clear" w:color="auto" w:fill="FFFFFF"/>
        </w:rPr>
        <w:t xml:space="preserve">issue in recent jurisprudence </w:t>
      </w:r>
      <w:r w:rsidR="00010945" w:rsidRPr="00411383">
        <w:rPr>
          <w:rFonts w:ascii="Times New Roman" w:hAnsi="Times New Roman" w:cs="Times New Roman"/>
          <w:sz w:val="24"/>
          <w:shd w:val="clear" w:color="auto" w:fill="FFFFFF"/>
        </w:rPr>
        <w:t>on</w:t>
      </w:r>
      <w:r w:rsidRPr="00411383">
        <w:rPr>
          <w:rFonts w:ascii="Times New Roman" w:hAnsi="Times New Roman" w:cs="Times New Roman"/>
          <w:sz w:val="24"/>
          <w:shd w:val="clear" w:color="auto" w:fill="FFFFFF"/>
        </w:rPr>
        <w:t xml:space="preserve"> the </w:t>
      </w:r>
      <w:r w:rsidR="006621EF" w:rsidRPr="00411383">
        <w:rPr>
          <w:rFonts w:ascii="Times New Roman" w:hAnsi="Times New Roman" w:cs="Times New Roman"/>
          <w:sz w:val="24"/>
          <w:shd w:val="clear" w:color="auto" w:fill="FFFFFF"/>
        </w:rPr>
        <w:t xml:space="preserve">scope of the Minister’s power to determine the </w:t>
      </w:r>
      <w:r w:rsidRPr="00411383">
        <w:rPr>
          <w:rFonts w:ascii="Times New Roman" w:hAnsi="Times New Roman" w:cs="Times New Roman"/>
          <w:sz w:val="24"/>
          <w:shd w:val="clear" w:color="auto" w:fill="FFFFFF"/>
        </w:rPr>
        <w:t>‘national interest’ is the relationship between the national interest and Australia’s international obligations, particularly Australia’s non-</w:t>
      </w:r>
      <w:r w:rsidRPr="00411383">
        <w:rPr>
          <w:rFonts w:ascii="Times New Roman" w:hAnsi="Times New Roman" w:cs="Times New Roman"/>
          <w:i/>
          <w:iCs/>
          <w:sz w:val="24"/>
          <w:shd w:val="clear" w:color="auto" w:fill="FFFFFF"/>
        </w:rPr>
        <w:t>refoulement</w:t>
      </w:r>
      <w:r w:rsidRPr="00411383">
        <w:rPr>
          <w:rFonts w:ascii="Times New Roman" w:hAnsi="Times New Roman" w:cs="Times New Roman"/>
          <w:sz w:val="24"/>
          <w:shd w:val="clear" w:color="auto" w:fill="FFFFFF"/>
        </w:rPr>
        <w:t xml:space="preserve"> obligations under the 1951 Convention on the Status of Refugees (‘Refugee Convention’)</w:t>
      </w:r>
      <w:r w:rsidR="00AE6A30" w:rsidRPr="00411383">
        <w:rPr>
          <w:rStyle w:val="FootnoteReference"/>
          <w:rFonts w:ascii="Times New Roman" w:hAnsi="Times New Roman" w:cs="Times New Roman"/>
          <w:sz w:val="24"/>
          <w:shd w:val="clear" w:color="auto" w:fill="FFFFFF"/>
        </w:rPr>
        <w:footnoteReference w:id="6"/>
      </w:r>
      <w:r w:rsidRPr="00411383">
        <w:rPr>
          <w:rFonts w:ascii="Times New Roman" w:hAnsi="Times New Roman" w:cs="Times New Roman"/>
          <w:sz w:val="24"/>
          <w:shd w:val="clear" w:color="auto" w:fill="FFFFFF"/>
        </w:rPr>
        <w:t xml:space="preserve"> and the International Covenant on Civil and Political Rights (‘ICCPR’)</w:t>
      </w:r>
      <w:r w:rsidR="003104F1" w:rsidRPr="00411383">
        <w:rPr>
          <w:rFonts w:ascii="Times New Roman" w:hAnsi="Times New Roman" w:cs="Times New Roman"/>
          <w:sz w:val="24"/>
          <w:shd w:val="clear" w:color="auto" w:fill="FFFFFF"/>
        </w:rPr>
        <w:t>.</w:t>
      </w:r>
      <w:r w:rsidR="00AE6A30" w:rsidRPr="00411383">
        <w:rPr>
          <w:rStyle w:val="FootnoteReference"/>
          <w:rFonts w:ascii="Times New Roman" w:hAnsi="Times New Roman" w:cs="Times New Roman"/>
          <w:sz w:val="24"/>
          <w:shd w:val="clear" w:color="auto" w:fill="FFFFFF"/>
        </w:rPr>
        <w:footnoteReference w:id="7"/>
      </w:r>
      <w:r w:rsidR="00AE6A30" w:rsidRPr="00411383">
        <w:rPr>
          <w:rFonts w:ascii="Times New Roman" w:hAnsi="Times New Roman" w:cs="Times New Roman"/>
          <w:sz w:val="24"/>
          <w:shd w:val="clear" w:color="auto" w:fill="FFFFFF"/>
        </w:rPr>
        <w:t xml:space="preserve"> </w:t>
      </w:r>
      <w:r w:rsidR="00687EFD">
        <w:rPr>
          <w:rFonts w:ascii="Times New Roman" w:hAnsi="Times New Roman" w:cs="Times New Roman"/>
          <w:sz w:val="24"/>
          <w:shd w:val="clear" w:color="auto" w:fill="FFFFFF"/>
        </w:rPr>
        <w:t xml:space="preserve">This </w:t>
      </w:r>
      <w:r w:rsidR="00006883">
        <w:rPr>
          <w:rFonts w:ascii="Times New Roman" w:hAnsi="Times New Roman" w:cs="Times New Roman"/>
          <w:sz w:val="24"/>
          <w:shd w:val="clear" w:color="auto" w:fill="FFFFFF"/>
        </w:rPr>
        <w:t xml:space="preserve">raises important </w:t>
      </w:r>
      <w:r w:rsidR="00687EFD">
        <w:rPr>
          <w:rFonts w:ascii="Times New Roman" w:hAnsi="Times New Roman" w:cs="Times New Roman"/>
          <w:sz w:val="24"/>
          <w:shd w:val="clear" w:color="auto" w:fill="FFFFFF"/>
        </w:rPr>
        <w:t xml:space="preserve">questions for administrative law </w:t>
      </w:r>
      <w:r w:rsidR="00AA50CA">
        <w:rPr>
          <w:rFonts w:ascii="Times New Roman" w:hAnsi="Times New Roman" w:cs="Times New Roman"/>
          <w:sz w:val="24"/>
          <w:shd w:val="clear" w:color="auto" w:fill="FFFFFF"/>
        </w:rPr>
        <w:t>principles</w:t>
      </w:r>
      <w:r w:rsidR="003E092C">
        <w:rPr>
          <w:rFonts w:ascii="Times New Roman" w:hAnsi="Times New Roman" w:cs="Times New Roman"/>
          <w:sz w:val="24"/>
          <w:shd w:val="clear" w:color="auto" w:fill="FFFFFF"/>
        </w:rPr>
        <w:t>,</w:t>
      </w:r>
      <w:r w:rsidR="00AA50CA">
        <w:rPr>
          <w:rFonts w:ascii="Times New Roman" w:hAnsi="Times New Roman" w:cs="Times New Roman"/>
          <w:sz w:val="24"/>
          <w:shd w:val="clear" w:color="auto" w:fill="FFFFFF"/>
        </w:rPr>
        <w:t xml:space="preserve"> </w:t>
      </w:r>
      <w:r w:rsidR="00F96988">
        <w:rPr>
          <w:rFonts w:ascii="Times New Roman" w:hAnsi="Times New Roman" w:cs="Times New Roman"/>
          <w:sz w:val="24"/>
          <w:shd w:val="clear" w:color="auto" w:fill="FFFFFF"/>
        </w:rPr>
        <w:t>given that</w:t>
      </w:r>
      <w:r w:rsidR="00687EFD">
        <w:rPr>
          <w:rFonts w:ascii="Times New Roman" w:hAnsi="Times New Roman" w:cs="Times New Roman"/>
          <w:sz w:val="24"/>
          <w:shd w:val="clear" w:color="auto" w:fill="FFFFFF"/>
        </w:rPr>
        <w:t xml:space="preserve"> t</w:t>
      </w:r>
      <w:r w:rsidR="003C46E6" w:rsidRPr="00411383">
        <w:rPr>
          <w:rFonts w:ascii="Times New Roman" w:hAnsi="Times New Roman" w:cs="Times New Roman"/>
          <w:sz w:val="24"/>
          <w:shd w:val="clear" w:color="auto" w:fill="FFFFFF"/>
        </w:rPr>
        <w:t xml:space="preserve">he relevance of </w:t>
      </w:r>
      <w:r w:rsidR="00885255" w:rsidRPr="00411383">
        <w:rPr>
          <w:rFonts w:ascii="Times New Roman" w:hAnsi="Times New Roman" w:cs="Times New Roman"/>
          <w:sz w:val="24"/>
          <w:shd w:val="clear" w:color="auto" w:fill="FFFFFF"/>
        </w:rPr>
        <w:t xml:space="preserve">Australia’s international treaty obligations </w:t>
      </w:r>
      <w:r w:rsidR="00ED4039">
        <w:rPr>
          <w:rFonts w:ascii="Times New Roman" w:hAnsi="Times New Roman" w:cs="Times New Roman"/>
          <w:sz w:val="24"/>
          <w:shd w:val="clear" w:color="auto" w:fill="FFFFFF"/>
        </w:rPr>
        <w:t>to</w:t>
      </w:r>
      <w:r w:rsidR="00885255" w:rsidRPr="00411383">
        <w:rPr>
          <w:rFonts w:ascii="Times New Roman" w:hAnsi="Times New Roman" w:cs="Times New Roman"/>
          <w:sz w:val="24"/>
          <w:shd w:val="clear" w:color="auto" w:fill="FFFFFF"/>
        </w:rPr>
        <w:t xml:space="preserve"> migration decisions has</w:t>
      </w:r>
      <w:r w:rsidR="00B639BD" w:rsidRPr="00411383">
        <w:rPr>
          <w:rFonts w:ascii="Times New Roman" w:hAnsi="Times New Roman" w:cs="Times New Roman"/>
          <w:sz w:val="24"/>
          <w:shd w:val="clear" w:color="auto" w:fill="FFFFFF"/>
        </w:rPr>
        <w:t xml:space="preserve"> been the subject of significant </w:t>
      </w:r>
      <w:r w:rsidR="00687EFD">
        <w:rPr>
          <w:rFonts w:ascii="Times New Roman" w:hAnsi="Times New Roman" w:cs="Times New Roman"/>
          <w:sz w:val="24"/>
          <w:shd w:val="clear" w:color="auto" w:fill="FFFFFF"/>
        </w:rPr>
        <w:t>debate in jurisprudence</w:t>
      </w:r>
      <w:r w:rsidR="00AA50CA">
        <w:rPr>
          <w:rStyle w:val="FootnoteReference"/>
          <w:rFonts w:ascii="Times New Roman" w:hAnsi="Times New Roman" w:cs="Times New Roman"/>
          <w:sz w:val="24"/>
          <w:shd w:val="clear" w:color="auto" w:fill="FFFFFF"/>
        </w:rPr>
        <w:footnoteReference w:id="8"/>
      </w:r>
      <w:r w:rsidR="00B639BD" w:rsidRPr="00411383">
        <w:rPr>
          <w:rFonts w:ascii="Times New Roman" w:hAnsi="Times New Roman" w:cs="Times New Roman"/>
          <w:sz w:val="24"/>
          <w:shd w:val="clear" w:color="auto" w:fill="FFFFFF"/>
        </w:rPr>
        <w:t xml:space="preserve"> and academic commentary.</w:t>
      </w:r>
      <w:r w:rsidR="003C46E6" w:rsidRPr="00411383">
        <w:rPr>
          <w:rStyle w:val="FootnoteReference"/>
          <w:rFonts w:ascii="Times New Roman" w:hAnsi="Times New Roman" w:cs="Times New Roman"/>
          <w:sz w:val="24"/>
          <w:shd w:val="clear" w:color="auto" w:fill="FFFFFF"/>
        </w:rPr>
        <w:footnoteReference w:id="9"/>
      </w:r>
    </w:p>
    <w:p w14:paraId="10EDF386" w14:textId="77777777" w:rsidR="006621EF" w:rsidRPr="00411383" w:rsidRDefault="006621EF" w:rsidP="00E33B82">
      <w:pPr>
        <w:spacing w:line="360" w:lineRule="auto"/>
        <w:jc w:val="both"/>
        <w:rPr>
          <w:rFonts w:ascii="Times New Roman" w:hAnsi="Times New Roman" w:cs="Times New Roman"/>
          <w:sz w:val="24"/>
          <w:shd w:val="clear" w:color="auto" w:fill="FFFFFF"/>
        </w:rPr>
      </w:pPr>
    </w:p>
    <w:p w14:paraId="48ED0DA7" w14:textId="2D2CFCDD" w:rsidR="004762A6" w:rsidRDefault="00ED4039" w:rsidP="00E33B82">
      <w:pPr>
        <w:spacing w:line="360" w:lineRule="auto"/>
        <w:jc w:val="both"/>
        <w:rPr>
          <w:rFonts w:ascii="Times New Roman" w:hAnsi="Times New Roman" w:cs="Times New Roman"/>
          <w:sz w:val="24"/>
        </w:rPr>
      </w:pPr>
      <w:r>
        <w:rPr>
          <w:rFonts w:ascii="Times New Roman" w:eastAsia="Times New Roman" w:hAnsi="Times New Roman" w:cs="Times New Roman"/>
          <w:kern w:val="0"/>
          <w:sz w:val="24"/>
          <w:lang w:eastAsia="en-AU"/>
          <w14:ligatures w14:val="none"/>
        </w:rPr>
        <w:t>T</w:t>
      </w:r>
      <w:r w:rsidR="00D86EF0" w:rsidRPr="00411383">
        <w:rPr>
          <w:rFonts w:ascii="Times New Roman" w:eastAsia="Times New Roman" w:hAnsi="Times New Roman" w:cs="Times New Roman"/>
          <w:kern w:val="0"/>
          <w:sz w:val="24"/>
          <w:lang w:eastAsia="en-AU"/>
          <w14:ligatures w14:val="none"/>
        </w:rPr>
        <w:t xml:space="preserve">his </w:t>
      </w:r>
      <w:r w:rsidR="00800124" w:rsidRPr="00411383">
        <w:rPr>
          <w:rFonts w:ascii="Times New Roman" w:eastAsia="Times New Roman" w:hAnsi="Times New Roman" w:cs="Times New Roman"/>
          <w:kern w:val="0"/>
          <w:sz w:val="24"/>
          <w:lang w:eastAsia="en-AU"/>
          <w14:ligatures w14:val="none"/>
        </w:rPr>
        <w:t xml:space="preserve">article </w:t>
      </w:r>
      <w:r>
        <w:rPr>
          <w:rFonts w:ascii="Times New Roman" w:eastAsia="Times New Roman" w:hAnsi="Times New Roman" w:cs="Times New Roman"/>
          <w:kern w:val="0"/>
          <w:sz w:val="24"/>
          <w:lang w:eastAsia="en-AU"/>
          <w14:ligatures w14:val="none"/>
        </w:rPr>
        <w:t xml:space="preserve">aims to contribute to the literature on the interaction between administrative law and Australia’s international obligations by </w:t>
      </w:r>
      <w:r w:rsidR="006E3E6E" w:rsidRPr="00411383">
        <w:rPr>
          <w:rFonts w:ascii="Times New Roman" w:eastAsia="Times New Roman" w:hAnsi="Times New Roman" w:cs="Times New Roman"/>
          <w:kern w:val="0"/>
          <w:sz w:val="24"/>
          <w:lang w:eastAsia="en-AU"/>
          <w14:ligatures w14:val="none"/>
        </w:rPr>
        <w:t>examin</w:t>
      </w:r>
      <w:r>
        <w:rPr>
          <w:rFonts w:ascii="Times New Roman" w:eastAsia="Times New Roman" w:hAnsi="Times New Roman" w:cs="Times New Roman"/>
          <w:kern w:val="0"/>
          <w:sz w:val="24"/>
          <w:lang w:eastAsia="en-AU"/>
          <w14:ligatures w14:val="none"/>
        </w:rPr>
        <w:t xml:space="preserve">ing </w:t>
      </w:r>
      <w:r w:rsidR="009B1B5F">
        <w:rPr>
          <w:rFonts w:ascii="Times New Roman" w:eastAsia="Times New Roman" w:hAnsi="Times New Roman" w:cs="Times New Roman"/>
          <w:kern w:val="0"/>
          <w:sz w:val="24"/>
          <w:lang w:eastAsia="en-AU"/>
          <w14:ligatures w14:val="none"/>
        </w:rPr>
        <w:t xml:space="preserve">one particular </w:t>
      </w:r>
      <w:r w:rsidR="00DE6E55">
        <w:rPr>
          <w:rFonts w:ascii="Times New Roman" w:eastAsia="Times New Roman" w:hAnsi="Times New Roman" w:cs="Times New Roman"/>
          <w:kern w:val="0"/>
          <w:sz w:val="24"/>
          <w:lang w:eastAsia="en-AU"/>
          <w14:ligatures w14:val="none"/>
        </w:rPr>
        <w:t xml:space="preserve">example </w:t>
      </w:r>
      <w:r w:rsidR="009B1B5F">
        <w:rPr>
          <w:rFonts w:ascii="Times New Roman" w:eastAsia="Times New Roman" w:hAnsi="Times New Roman" w:cs="Times New Roman"/>
          <w:kern w:val="0"/>
          <w:sz w:val="24"/>
          <w:lang w:eastAsia="en-AU"/>
          <w14:ligatures w14:val="none"/>
        </w:rPr>
        <w:t xml:space="preserve">of these tensions: recent caselaw regarding the </w:t>
      </w:r>
      <w:r w:rsidR="00FD2159" w:rsidRPr="00411383">
        <w:rPr>
          <w:rFonts w:ascii="Times New Roman" w:eastAsia="Times New Roman" w:hAnsi="Times New Roman" w:cs="Times New Roman"/>
          <w:kern w:val="0"/>
          <w:sz w:val="24"/>
          <w:lang w:eastAsia="en-AU"/>
          <w14:ligatures w14:val="none"/>
        </w:rPr>
        <w:t xml:space="preserve">relationship between </w:t>
      </w:r>
      <w:r w:rsidR="009B1B5F">
        <w:rPr>
          <w:rFonts w:ascii="Times New Roman" w:eastAsia="Times New Roman" w:hAnsi="Times New Roman" w:cs="Times New Roman"/>
          <w:kern w:val="0"/>
          <w:sz w:val="24"/>
          <w:lang w:eastAsia="en-AU"/>
          <w14:ligatures w14:val="none"/>
        </w:rPr>
        <w:t>Australia’s non-</w:t>
      </w:r>
      <w:r w:rsidR="009B1B5F">
        <w:rPr>
          <w:rFonts w:ascii="Times New Roman" w:eastAsia="Times New Roman" w:hAnsi="Times New Roman" w:cs="Times New Roman"/>
          <w:i/>
          <w:iCs/>
          <w:kern w:val="0"/>
          <w:sz w:val="24"/>
          <w:lang w:eastAsia="en-AU"/>
          <w14:ligatures w14:val="none"/>
        </w:rPr>
        <w:t xml:space="preserve">refoulement </w:t>
      </w:r>
      <w:r w:rsidR="009B1B5F">
        <w:rPr>
          <w:rFonts w:ascii="Times New Roman" w:eastAsia="Times New Roman" w:hAnsi="Times New Roman" w:cs="Times New Roman"/>
          <w:kern w:val="0"/>
          <w:sz w:val="24"/>
          <w:lang w:eastAsia="en-AU"/>
          <w14:ligatures w14:val="none"/>
        </w:rPr>
        <w:t xml:space="preserve">obligations and </w:t>
      </w:r>
      <w:r w:rsidR="00FD2159" w:rsidRPr="00411383">
        <w:rPr>
          <w:rFonts w:ascii="Times New Roman" w:eastAsia="Times New Roman" w:hAnsi="Times New Roman" w:cs="Times New Roman"/>
          <w:kern w:val="0"/>
          <w:sz w:val="24"/>
          <w:lang w:eastAsia="en-AU"/>
          <w14:ligatures w14:val="none"/>
        </w:rPr>
        <w:t>provisions requiring the Minister to form a state of satisfaction as to the ‘national interest’</w:t>
      </w:r>
      <w:r w:rsidR="009B1B5F">
        <w:rPr>
          <w:rFonts w:ascii="Times New Roman" w:eastAsia="Times New Roman" w:hAnsi="Times New Roman" w:cs="Times New Roman"/>
          <w:kern w:val="0"/>
          <w:sz w:val="24"/>
          <w:lang w:eastAsia="en-AU"/>
          <w14:ligatures w14:val="none"/>
        </w:rPr>
        <w:t xml:space="preserve"> in refusing or cancelling a visa on ‘character’ grounds</w:t>
      </w:r>
      <w:r w:rsidR="006E3E6E" w:rsidRPr="00411383">
        <w:rPr>
          <w:rFonts w:ascii="Times New Roman" w:hAnsi="Times New Roman" w:cs="Times New Roman"/>
          <w:sz w:val="24"/>
        </w:rPr>
        <w:t xml:space="preserve">. </w:t>
      </w:r>
      <w:r w:rsidR="00800124" w:rsidRPr="00411383">
        <w:rPr>
          <w:rFonts w:ascii="Times New Roman" w:hAnsi="Times New Roman" w:cs="Times New Roman"/>
          <w:sz w:val="24"/>
        </w:rPr>
        <w:t>T</w:t>
      </w:r>
      <w:r w:rsidR="00A7779F" w:rsidRPr="00411383">
        <w:rPr>
          <w:rFonts w:ascii="Times New Roman" w:hAnsi="Times New Roman" w:cs="Times New Roman"/>
          <w:sz w:val="24"/>
        </w:rPr>
        <w:t xml:space="preserve">his </w:t>
      </w:r>
      <w:r w:rsidR="00800124" w:rsidRPr="00411383">
        <w:rPr>
          <w:rFonts w:ascii="Times New Roman" w:hAnsi="Times New Roman" w:cs="Times New Roman"/>
          <w:sz w:val="24"/>
        </w:rPr>
        <w:t xml:space="preserve">article </w:t>
      </w:r>
      <w:r w:rsidR="00A7779F" w:rsidRPr="00411383">
        <w:rPr>
          <w:rFonts w:ascii="Times New Roman" w:hAnsi="Times New Roman" w:cs="Times New Roman"/>
          <w:sz w:val="24"/>
        </w:rPr>
        <w:t>discusses the Federal Court’s evolution on this topic</w:t>
      </w:r>
      <w:r w:rsidR="0029106D" w:rsidRPr="00411383">
        <w:rPr>
          <w:rFonts w:ascii="Times New Roman" w:hAnsi="Times New Roman" w:cs="Times New Roman"/>
          <w:sz w:val="24"/>
        </w:rPr>
        <w:t xml:space="preserve"> in recent years</w:t>
      </w:r>
      <w:r w:rsidR="00F93D29" w:rsidRPr="00411383">
        <w:rPr>
          <w:rFonts w:ascii="Times New Roman" w:hAnsi="Times New Roman" w:cs="Times New Roman"/>
          <w:sz w:val="24"/>
        </w:rPr>
        <w:t>:</w:t>
      </w:r>
      <w:r w:rsidR="00FD12CC" w:rsidRPr="00411383">
        <w:rPr>
          <w:rFonts w:ascii="Times New Roman" w:hAnsi="Times New Roman" w:cs="Times New Roman"/>
          <w:sz w:val="24"/>
        </w:rPr>
        <w:t xml:space="preserve"> from recognising that failure to consider the potential impact on Australia’s international standing from breach of non-</w:t>
      </w:r>
      <w:r w:rsidR="00FD12CC" w:rsidRPr="00411383">
        <w:rPr>
          <w:rFonts w:ascii="Times New Roman" w:hAnsi="Times New Roman" w:cs="Times New Roman"/>
          <w:i/>
          <w:iCs/>
          <w:sz w:val="24"/>
        </w:rPr>
        <w:t xml:space="preserve">refoulement </w:t>
      </w:r>
      <w:r w:rsidR="00FD12CC" w:rsidRPr="00411383">
        <w:rPr>
          <w:rFonts w:ascii="Times New Roman" w:hAnsi="Times New Roman" w:cs="Times New Roman"/>
          <w:sz w:val="24"/>
        </w:rPr>
        <w:t xml:space="preserve">obligations in an assessment of the ‘national interest’ may be legally unreasonable, </w:t>
      </w:r>
      <w:r w:rsidR="00FD12CC" w:rsidRPr="00411383">
        <w:rPr>
          <w:rFonts w:ascii="Times New Roman" w:hAnsi="Times New Roman" w:cs="Times New Roman"/>
          <w:sz w:val="24"/>
        </w:rPr>
        <w:lastRenderedPageBreak/>
        <w:t xml:space="preserve">to resiling from that stance </w:t>
      </w:r>
      <w:r w:rsidR="002926B5">
        <w:rPr>
          <w:rFonts w:ascii="Times New Roman" w:hAnsi="Times New Roman" w:cs="Times New Roman"/>
          <w:sz w:val="24"/>
        </w:rPr>
        <w:t xml:space="preserve">and </w:t>
      </w:r>
      <w:r w:rsidR="00FD12CC" w:rsidRPr="00411383">
        <w:rPr>
          <w:rFonts w:ascii="Times New Roman" w:hAnsi="Times New Roman" w:cs="Times New Roman"/>
          <w:sz w:val="24"/>
        </w:rPr>
        <w:t>deferring to</w:t>
      </w:r>
      <w:r w:rsidR="008511A9" w:rsidRPr="00411383">
        <w:rPr>
          <w:rFonts w:ascii="Times New Roman" w:hAnsi="Times New Roman" w:cs="Times New Roman"/>
          <w:sz w:val="24"/>
        </w:rPr>
        <w:t xml:space="preserve"> executive competence to identify and determine which factors are relevant to the national interest.</w:t>
      </w:r>
      <w:r w:rsidR="00FD12CC" w:rsidRPr="00411383">
        <w:rPr>
          <w:rFonts w:ascii="Times New Roman" w:hAnsi="Times New Roman" w:cs="Times New Roman"/>
          <w:sz w:val="24"/>
        </w:rPr>
        <w:t xml:space="preserve"> </w:t>
      </w:r>
      <w:r w:rsidR="00F93D29" w:rsidRPr="00411383">
        <w:rPr>
          <w:rFonts w:ascii="Times New Roman" w:hAnsi="Times New Roman" w:cs="Times New Roman"/>
          <w:sz w:val="24"/>
        </w:rPr>
        <w:t xml:space="preserve">This </w:t>
      </w:r>
      <w:r w:rsidR="00800124" w:rsidRPr="00411383">
        <w:rPr>
          <w:rFonts w:ascii="Times New Roman" w:hAnsi="Times New Roman" w:cs="Times New Roman"/>
          <w:sz w:val="24"/>
        </w:rPr>
        <w:t xml:space="preserve">article </w:t>
      </w:r>
      <w:r w:rsidR="00F93D29" w:rsidRPr="00411383">
        <w:rPr>
          <w:rFonts w:ascii="Times New Roman" w:hAnsi="Times New Roman" w:cs="Times New Roman"/>
          <w:sz w:val="24"/>
        </w:rPr>
        <w:t>argues that this shift, although consistent with a tradition of deference to the executive on</w:t>
      </w:r>
      <w:r w:rsidR="00FE54BC" w:rsidRPr="00411383">
        <w:rPr>
          <w:rFonts w:ascii="Times New Roman" w:hAnsi="Times New Roman" w:cs="Times New Roman"/>
          <w:sz w:val="24"/>
        </w:rPr>
        <w:t xml:space="preserve"> ‘political’ questions, </w:t>
      </w:r>
      <w:r w:rsidR="008C578E" w:rsidRPr="00411383">
        <w:rPr>
          <w:rFonts w:ascii="Times New Roman" w:hAnsi="Times New Roman" w:cs="Times New Roman"/>
          <w:sz w:val="24"/>
        </w:rPr>
        <w:t>marks the end of a brief attempt to identify what is truly ‘national’ about the national interest,</w:t>
      </w:r>
      <w:r w:rsidR="0091215C" w:rsidRPr="00411383">
        <w:rPr>
          <w:rFonts w:ascii="Times New Roman" w:hAnsi="Times New Roman" w:cs="Times New Roman"/>
          <w:sz w:val="24"/>
        </w:rPr>
        <w:t xml:space="preserve"> and to constrain the unfettered scope of Ministerial power in this field accordingly.</w:t>
      </w:r>
    </w:p>
    <w:p w14:paraId="71403670" w14:textId="77777777" w:rsidR="002F55B5" w:rsidRPr="00ED4039" w:rsidRDefault="002F55B5" w:rsidP="00E33B82">
      <w:pPr>
        <w:spacing w:line="360" w:lineRule="auto"/>
        <w:jc w:val="both"/>
        <w:rPr>
          <w:rFonts w:ascii="Times New Roman" w:eastAsia="Times New Roman" w:hAnsi="Times New Roman" w:cs="Times New Roman"/>
          <w:kern w:val="0"/>
          <w:sz w:val="24"/>
          <w:lang w:eastAsia="en-AU"/>
          <w14:ligatures w14:val="none"/>
        </w:rPr>
      </w:pPr>
    </w:p>
    <w:p w14:paraId="772A2C79" w14:textId="7C9FFCAC" w:rsidR="0039249E" w:rsidRDefault="002458BA" w:rsidP="003C46E6">
      <w:pPr>
        <w:spacing w:line="360" w:lineRule="auto"/>
        <w:jc w:val="both"/>
        <w:rPr>
          <w:rFonts w:ascii="Times New Roman" w:hAnsi="Times New Roman" w:cs="Times New Roman"/>
          <w:sz w:val="24"/>
        </w:rPr>
      </w:pPr>
      <w:r>
        <w:rPr>
          <w:rFonts w:ascii="Times New Roman" w:hAnsi="Times New Roman" w:cs="Times New Roman"/>
          <w:sz w:val="24"/>
        </w:rPr>
        <w:t xml:space="preserve">These </w:t>
      </w:r>
      <w:r w:rsidR="00B32E30">
        <w:rPr>
          <w:rFonts w:ascii="Times New Roman" w:hAnsi="Times New Roman" w:cs="Times New Roman"/>
          <w:sz w:val="24"/>
        </w:rPr>
        <w:t xml:space="preserve">recent </w:t>
      </w:r>
      <w:r>
        <w:rPr>
          <w:rFonts w:ascii="Times New Roman" w:hAnsi="Times New Roman" w:cs="Times New Roman"/>
          <w:sz w:val="24"/>
        </w:rPr>
        <w:t xml:space="preserve">cases </w:t>
      </w:r>
      <w:r w:rsidR="00714E3D" w:rsidRPr="00411383">
        <w:rPr>
          <w:rFonts w:ascii="Times New Roman" w:hAnsi="Times New Roman" w:cs="Times New Roman"/>
          <w:sz w:val="24"/>
        </w:rPr>
        <w:t xml:space="preserve">raise broader questions about key administrative law grounds, </w:t>
      </w:r>
      <w:r w:rsidR="007403B2">
        <w:rPr>
          <w:rFonts w:ascii="Times New Roman" w:hAnsi="Times New Roman" w:cs="Times New Roman"/>
          <w:sz w:val="24"/>
        </w:rPr>
        <w:t xml:space="preserve">including </w:t>
      </w:r>
      <w:r w:rsidR="00714E3D" w:rsidRPr="00411383">
        <w:rPr>
          <w:rFonts w:ascii="Times New Roman" w:hAnsi="Times New Roman" w:cs="Times New Roman"/>
          <w:sz w:val="24"/>
        </w:rPr>
        <w:t xml:space="preserve">the relationship between </w:t>
      </w:r>
      <w:r w:rsidR="007403B2">
        <w:rPr>
          <w:rFonts w:ascii="Times New Roman" w:hAnsi="Times New Roman" w:cs="Times New Roman"/>
          <w:sz w:val="24"/>
        </w:rPr>
        <w:t>review for ‘</w:t>
      </w:r>
      <w:r w:rsidR="00714E3D" w:rsidRPr="00411383">
        <w:rPr>
          <w:rFonts w:ascii="Times New Roman" w:hAnsi="Times New Roman" w:cs="Times New Roman"/>
          <w:sz w:val="24"/>
        </w:rPr>
        <w:t>u</w:t>
      </w:r>
      <w:r w:rsidR="003C46E6" w:rsidRPr="00411383">
        <w:rPr>
          <w:rFonts w:ascii="Times New Roman" w:hAnsi="Times New Roman" w:cs="Times New Roman"/>
          <w:sz w:val="24"/>
        </w:rPr>
        <w:t>nreasonableness</w:t>
      </w:r>
      <w:r w:rsidR="007403B2">
        <w:rPr>
          <w:rFonts w:ascii="Times New Roman" w:hAnsi="Times New Roman" w:cs="Times New Roman"/>
          <w:sz w:val="24"/>
        </w:rPr>
        <w:t>’</w:t>
      </w:r>
      <w:r w:rsidR="003C46E6" w:rsidRPr="00411383">
        <w:rPr>
          <w:rFonts w:ascii="Times New Roman" w:hAnsi="Times New Roman" w:cs="Times New Roman"/>
          <w:sz w:val="24"/>
        </w:rPr>
        <w:t xml:space="preserve"> and</w:t>
      </w:r>
      <w:r w:rsidR="00714E3D" w:rsidRPr="00411383">
        <w:rPr>
          <w:rFonts w:ascii="Times New Roman" w:hAnsi="Times New Roman" w:cs="Times New Roman"/>
          <w:sz w:val="24"/>
        </w:rPr>
        <w:t xml:space="preserve"> a</w:t>
      </w:r>
      <w:r w:rsidR="003C46E6" w:rsidRPr="00411383">
        <w:rPr>
          <w:rFonts w:ascii="Times New Roman" w:hAnsi="Times New Roman" w:cs="Times New Roman"/>
          <w:sz w:val="24"/>
        </w:rPr>
        <w:t xml:space="preserve"> failure to consider relevant considerations</w:t>
      </w:r>
      <w:r w:rsidR="00714E3D" w:rsidRPr="00411383">
        <w:rPr>
          <w:rFonts w:ascii="Times New Roman" w:hAnsi="Times New Roman" w:cs="Times New Roman"/>
          <w:sz w:val="24"/>
        </w:rPr>
        <w:t xml:space="preserve">. </w:t>
      </w:r>
      <w:r w:rsidR="00B32E30">
        <w:rPr>
          <w:rFonts w:ascii="Times New Roman" w:hAnsi="Times New Roman" w:cs="Times New Roman"/>
          <w:sz w:val="24"/>
        </w:rPr>
        <w:t xml:space="preserve">They also ask </w:t>
      </w:r>
      <w:r w:rsidR="00714E3D" w:rsidRPr="00411383">
        <w:rPr>
          <w:rFonts w:ascii="Times New Roman" w:hAnsi="Times New Roman" w:cs="Times New Roman"/>
          <w:sz w:val="24"/>
        </w:rPr>
        <w:t>whether migration decisions are</w:t>
      </w:r>
      <w:r w:rsidR="003C46E6" w:rsidRPr="00411383">
        <w:rPr>
          <w:rFonts w:ascii="Times New Roman" w:hAnsi="Times New Roman" w:cs="Times New Roman"/>
          <w:sz w:val="24"/>
        </w:rPr>
        <w:t xml:space="preserve"> solely a question of the relationship between states and the individual refugees facing removal</w:t>
      </w:r>
      <w:r w:rsidR="00714E3D" w:rsidRPr="00411383">
        <w:rPr>
          <w:rFonts w:ascii="Times New Roman" w:hAnsi="Times New Roman" w:cs="Times New Roman"/>
          <w:sz w:val="24"/>
        </w:rPr>
        <w:t>, or whether</w:t>
      </w:r>
      <w:r w:rsidR="003C46E6" w:rsidRPr="00411383">
        <w:rPr>
          <w:rFonts w:ascii="Times New Roman" w:hAnsi="Times New Roman" w:cs="Times New Roman"/>
          <w:sz w:val="24"/>
        </w:rPr>
        <w:t xml:space="preserve"> </w:t>
      </w:r>
      <w:r w:rsidR="00212A55" w:rsidRPr="00411383">
        <w:rPr>
          <w:rFonts w:ascii="Times New Roman" w:hAnsi="Times New Roman" w:cs="Times New Roman"/>
          <w:sz w:val="24"/>
        </w:rPr>
        <w:t xml:space="preserve">these decisions </w:t>
      </w:r>
      <w:r w:rsidR="001C5B0F">
        <w:rPr>
          <w:rFonts w:ascii="Times New Roman" w:hAnsi="Times New Roman" w:cs="Times New Roman"/>
          <w:sz w:val="24"/>
        </w:rPr>
        <w:t xml:space="preserve">also </w:t>
      </w:r>
      <w:r w:rsidR="00212A55" w:rsidRPr="00411383">
        <w:rPr>
          <w:rFonts w:ascii="Times New Roman" w:hAnsi="Times New Roman" w:cs="Times New Roman"/>
          <w:sz w:val="24"/>
        </w:rPr>
        <w:t xml:space="preserve">raise questions about </w:t>
      </w:r>
      <w:r w:rsidR="003C46E6" w:rsidRPr="00411383">
        <w:rPr>
          <w:rFonts w:ascii="Times New Roman" w:hAnsi="Times New Roman" w:cs="Times New Roman"/>
          <w:sz w:val="24"/>
        </w:rPr>
        <w:t xml:space="preserve">relationships between States Parties to the relevant </w:t>
      </w:r>
      <w:r w:rsidR="00212A55" w:rsidRPr="00411383">
        <w:rPr>
          <w:rFonts w:ascii="Times New Roman" w:hAnsi="Times New Roman" w:cs="Times New Roman"/>
          <w:sz w:val="24"/>
        </w:rPr>
        <w:t>C</w:t>
      </w:r>
      <w:r w:rsidR="003C46E6" w:rsidRPr="00411383">
        <w:rPr>
          <w:rFonts w:ascii="Times New Roman" w:hAnsi="Times New Roman" w:cs="Times New Roman"/>
          <w:sz w:val="24"/>
        </w:rPr>
        <w:t>onventions and hence question</w:t>
      </w:r>
      <w:r w:rsidR="00212A55" w:rsidRPr="00411383">
        <w:rPr>
          <w:rFonts w:ascii="Times New Roman" w:hAnsi="Times New Roman" w:cs="Times New Roman"/>
          <w:sz w:val="24"/>
        </w:rPr>
        <w:t>s</w:t>
      </w:r>
      <w:r w:rsidR="003C46E6" w:rsidRPr="00411383">
        <w:rPr>
          <w:rFonts w:ascii="Times New Roman" w:hAnsi="Times New Roman" w:cs="Times New Roman"/>
          <w:sz w:val="24"/>
        </w:rPr>
        <w:t xml:space="preserve"> </w:t>
      </w:r>
      <w:r w:rsidR="00212A55" w:rsidRPr="00411383">
        <w:rPr>
          <w:rFonts w:ascii="Times New Roman" w:hAnsi="Times New Roman" w:cs="Times New Roman"/>
          <w:sz w:val="24"/>
        </w:rPr>
        <w:t xml:space="preserve">about </w:t>
      </w:r>
      <w:r w:rsidR="003C46E6" w:rsidRPr="00411383">
        <w:rPr>
          <w:rFonts w:ascii="Times New Roman" w:hAnsi="Times New Roman" w:cs="Times New Roman"/>
          <w:sz w:val="24"/>
        </w:rPr>
        <w:t>Australia’s dealings with the world at large</w:t>
      </w:r>
      <w:r w:rsidR="00714E3D" w:rsidRPr="00411383">
        <w:rPr>
          <w:rFonts w:ascii="Times New Roman" w:hAnsi="Times New Roman" w:cs="Times New Roman"/>
          <w:sz w:val="24"/>
        </w:rPr>
        <w:t>.</w:t>
      </w:r>
      <w:r w:rsidR="00856A98">
        <w:rPr>
          <w:rFonts w:ascii="Times New Roman" w:hAnsi="Times New Roman" w:cs="Times New Roman"/>
          <w:sz w:val="24"/>
        </w:rPr>
        <w:t xml:space="preserve"> </w:t>
      </w:r>
    </w:p>
    <w:p w14:paraId="0688BEDA" w14:textId="77777777" w:rsidR="0039249E" w:rsidRDefault="0039249E" w:rsidP="003C46E6">
      <w:pPr>
        <w:spacing w:line="360" w:lineRule="auto"/>
        <w:jc w:val="both"/>
        <w:rPr>
          <w:rFonts w:ascii="Times New Roman" w:hAnsi="Times New Roman" w:cs="Times New Roman"/>
          <w:sz w:val="24"/>
        </w:rPr>
      </w:pPr>
    </w:p>
    <w:p w14:paraId="2DAC0C2E" w14:textId="20AD5ED4" w:rsidR="00714E3D" w:rsidRPr="00F4026A" w:rsidRDefault="00761838" w:rsidP="003C46E6">
      <w:pPr>
        <w:spacing w:line="360" w:lineRule="auto"/>
        <w:jc w:val="both"/>
        <w:rPr>
          <w:rFonts w:ascii="Times New Roman" w:hAnsi="Times New Roman" w:cs="Times New Roman"/>
          <w:sz w:val="24"/>
        </w:rPr>
      </w:pPr>
      <w:r w:rsidRPr="00761838">
        <w:rPr>
          <w:rFonts w:ascii="Times New Roman" w:hAnsi="Times New Roman" w:cs="Times New Roman"/>
          <w:sz w:val="24"/>
        </w:rPr>
        <w:t>Although these judgments are decisions of the Federal Court, not the High Court, they</w:t>
      </w:r>
      <w:r>
        <w:rPr>
          <w:rFonts w:ascii="Times New Roman" w:hAnsi="Times New Roman" w:cs="Times New Roman"/>
          <w:sz w:val="24"/>
        </w:rPr>
        <w:t xml:space="preserve"> </w:t>
      </w:r>
      <w:r w:rsidR="00B32E30">
        <w:rPr>
          <w:rFonts w:ascii="Times New Roman" w:hAnsi="Times New Roman" w:cs="Times New Roman"/>
          <w:sz w:val="24"/>
        </w:rPr>
        <w:t xml:space="preserve">hence </w:t>
      </w:r>
      <w:r>
        <w:rPr>
          <w:rFonts w:ascii="Times New Roman" w:hAnsi="Times New Roman" w:cs="Times New Roman"/>
          <w:sz w:val="24"/>
        </w:rPr>
        <w:t>raise questions of broader significance for the content and development of Australian law</w:t>
      </w:r>
      <w:r w:rsidR="00C63EF8">
        <w:rPr>
          <w:rFonts w:ascii="Times New Roman" w:hAnsi="Times New Roman" w:cs="Times New Roman"/>
          <w:sz w:val="24"/>
        </w:rPr>
        <w:t xml:space="preserve"> – which have not yet been considered in detail by the High Court</w:t>
      </w:r>
      <w:r>
        <w:rPr>
          <w:rFonts w:ascii="Times New Roman" w:hAnsi="Times New Roman" w:cs="Times New Roman"/>
          <w:sz w:val="24"/>
        </w:rPr>
        <w:t>.</w:t>
      </w:r>
      <w:r w:rsidR="0039249E">
        <w:rPr>
          <w:rFonts w:ascii="Times New Roman" w:hAnsi="Times New Roman" w:cs="Times New Roman"/>
          <w:sz w:val="24"/>
        </w:rPr>
        <w:t xml:space="preserve"> This </w:t>
      </w:r>
      <w:r w:rsidR="002D6440">
        <w:rPr>
          <w:rFonts w:ascii="Times New Roman" w:hAnsi="Times New Roman" w:cs="Times New Roman"/>
          <w:sz w:val="24"/>
        </w:rPr>
        <w:t xml:space="preserve">article </w:t>
      </w:r>
      <w:r w:rsidR="0039249E">
        <w:rPr>
          <w:rFonts w:ascii="Times New Roman" w:hAnsi="Times New Roman" w:cs="Times New Roman"/>
          <w:sz w:val="24"/>
        </w:rPr>
        <w:t xml:space="preserve">does not purport to provide a complete or exhaustive summary of </w:t>
      </w:r>
      <w:r w:rsidR="00F4026A">
        <w:rPr>
          <w:rFonts w:ascii="Times New Roman" w:hAnsi="Times New Roman" w:cs="Times New Roman"/>
          <w:sz w:val="24"/>
        </w:rPr>
        <w:t>controversies in the relationship between non-</w:t>
      </w:r>
      <w:r w:rsidR="00F4026A">
        <w:rPr>
          <w:rFonts w:ascii="Times New Roman" w:hAnsi="Times New Roman" w:cs="Times New Roman"/>
          <w:i/>
          <w:iCs/>
          <w:sz w:val="24"/>
        </w:rPr>
        <w:t>refoulement</w:t>
      </w:r>
      <w:r w:rsidR="00F4026A">
        <w:rPr>
          <w:rFonts w:ascii="Times New Roman" w:hAnsi="Times New Roman" w:cs="Times New Roman"/>
          <w:sz w:val="24"/>
        </w:rPr>
        <w:t xml:space="preserve"> obligations and the national interest. It instead examines one recent, relevant controversy</w:t>
      </w:r>
      <w:r w:rsidR="00F441FD">
        <w:rPr>
          <w:rFonts w:ascii="Times New Roman" w:hAnsi="Times New Roman" w:cs="Times New Roman"/>
          <w:sz w:val="24"/>
        </w:rPr>
        <w:t xml:space="preserve"> </w:t>
      </w:r>
      <w:r w:rsidR="00F45CF7">
        <w:rPr>
          <w:rFonts w:ascii="Times New Roman" w:hAnsi="Times New Roman" w:cs="Times New Roman"/>
          <w:sz w:val="24"/>
        </w:rPr>
        <w:t>as an illustration of the tensions involved in that relationship, with potential implications for how future courts (at all levels) may try to reconcile these competing imperatives.</w:t>
      </w:r>
      <w:r w:rsidR="00DA7ADB">
        <w:rPr>
          <w:rFonts w:ascii="Times New Roman" w:hAnsi="Times New Roman" w:cs="Times New Roman"/>
          <w:sz w:val="24"/>
        </w:rPr>
        <w:t xml:space="preserve"> In particular, these cases provide an important illustration of the </w:t>
      </w:r>
      <w:r w:rsidR="0078449F">
        <w:rPr>
          <w:rFonts w:ascii="Times New Roman" w:hAnsi="Times New Roman" w:cs="Times New Roman"/>
          <w:sz w:val="24"/>
        </w:rPr>
        <w:t xml:space="preserve">potential role and utility of </w:t>
      </w:r>
      <w:r w:rsidR="00DA7ADB">
        <w:rPr>
          <w:rFonts w:ascii="Times New Roman" w:hAnsi="Times New Roman" w:cs="Times New Roman"/>
          <w:sz w:val="24"/>
        </w:rPr>
        <w:t xml:space="preserve">Gabrielle Appleby and Alexander Reilly’s </w:t>
      </w:r>
      <w:r w:rsidR="0078449F">
        <w:rPr>
          <w:rFonts w:ascii="Times New Roman" w:hAnsi="Times New Roman" w:cs="Times New Roman"/>
          <w:sz w:val="24"/>
        </w:rPr>
        <w:t xml:space="preserve">proposed </w:t>
      </w:r>
      <w:r w:rsidR="008F3466">
        <w:rPr>
          <w:rFonts w:ascii="Times New Roman" w:hAnsi="Times New Roman" w:cs="Times New Roman"/>
          <w:sz w:val="24"/>
        </w:rPr>
        <w:t xml:space="preserve">‘meta-principle’ </w:t>
      </w:r>
      <w:r w:rsidR="00DA7ADB">
        <w:rPr>
          <w:rFonts w:ascii="Times New Roman" w:hAnsi="Times New Roman" w:cs="Times New Roman"/>
          <w:sz w:val="24"/>
        </w:rPr>
        <w:t>framework for judicial review of ‘national interest’ determinations.</w:t>
      </w:r>
      <w:r w:rsidR="009F4F47">
        <w:rPr>
          <w:rStyle w:val="FootnoteReference"/>
          <w:rFonts w:ascii="Times New Roman" w:hAnsi="Times New Roman" w:cs="Times New Roman"/>
          <w:sz w:val="24"/>
        </w:rPr>
        <w:footnoteReference w:id="10"/>
      </w:r>
    </w:p>
    <w:p w14:paraId="55F65F0D" w14:textId="77777777" w:rsidR="001C7F71" w:rsidRDefault="001C7F71" w:rsidP="001C7F71">
      <w:pPr>
        <w:spacing w:line="360" w:lineRule="auto"/>
        <w:jc w:val="both"/>
        <w:rPr>
          <w:rFonts w:ascii="Times New Roman" w:hAnsi="Times New Roman" w:cs="Times New Roman"/>
          <w:sz w:val="24"/>
        </w:rPr>
      </w:pPr>
    </w:p>
    <w:p w14:paraId="67A95807" w14:textId="7592AD2A" w:rsidR="001C7F71" w:rsidRPr="00411383" w:rsidRDefault="00DD03CC" w:rsidP="001C7F71">
      <w:pPr>
        <w:spacing w:line="360" w:lineRule="auto"/>
        <w:jc w:val="both"/>
        <w:rPr>
          <w:rFonts w:ascii="Times New Roman" w:hAnsi="Times New Roman" w:cs="Times New Roman"/>
          <w:bCs/>
          <w:sz w:val="24"/>
        </w:rPr>
      </w:pPr>
      <w:r>
        <w:rPr>
          <w:rFonts w:ascii="Times New Roman" w:hAnsi="Times New Roman" w:cs="Times New Roman"/>
          <w:sz w:val="24"/>
        </w:rPr>
        <w:t xml:space="preserve">This controversy is particularly significant because </w:t>
      </w:r>
      <w:r w:rsidR="001C7F71" w:rsidRPr="00411383">
        <w:rPr>
          <w:rFonts w:ascii="Times New Roman" w:hAnsi="Times New Roman" w:cs="Times New Roman"/>
          <w:bCs/>
          <w:sz w:val="24"/>
        </w:rPr>
        <w:t xml:space="preserve">broad ‘public interest’ and ‘national interest’ powers in the </w:t>
      </w:r>
      <w:r w:rsidR="001C7F71" w:rsidRPr="00FE3B29">
        <w:rPr>
          <w:rFonts w:ascii="Times New Roman" w:hAnsi="Times New Roman" w:cs="Times New Roman"/>
          <w:bCs/>
          <w:i/>
          <w:iCs/>
          <w:sz w:val="24"/>
        </w:rPr>
        <w:t>Migration Act</w:t>
      </w:r>
      <w:r w:rsidR="001C7F71" w:rsidRPr="00411383">
        <w:rPr>
          <w:rFonts w:ascii="Times New Roman" w:hAnsi="Times New Roman" w:cs="Times New Roman"/>
          <w:bCs/>
          <w:sz w:val="24"/>
        </w:rPr>
        <w:t xml:space="preserve"> are unique</w:t>
      </w:r>
      <w:r>
        <w:rPr>
          <w:rFonts w:ascii="Times New Roman" w:hAnsi="Times New Roman" w:cs="Times New Roman"/>
          <w:bCs/>
          <w:sz w:val="24"/>
        </w:rPr>
        <w:t>ly</w:t>
      </w:r>
      <w:r w:rsidR="001C7F71" w:rsidRPr="00411383">
        <w:rPr>
          <w:rFonts w:ascii="Times New Roman" w:hAnsi="Times New Roman" w:cs="Times New Roman"/>
          <w:bCs/>
          <w:sz w:val="24"/>
        </w:rPr>
        <w:t xml:space="preserve"> </w:t>
      </w:r>
      <w:r>
        <w:rPr>
          <w:rFonts w:ascii="Times New Roman" w:hAnsi="Times New Roman" w:cs="Times New Roman"/>
          <w:bCs/>
          <w:sz w:val="24"/>
        </w:rPr>
        <w:t xml:space="preserve">prevalent in </w:t>
      </w:r>
      <w:r w:rsidR="001C7F71" w:rsidRPr="00411383">
        <w:rPr>
          <w:rFonts w:ascii="Times New Roman" w:hAnsi="Times New Roman" w:cs="Times New Roman"/>
          <w:bCs/>
          <w:sz w:val="24"/>
        </w:rPr>
        <w:t xml:space="preserve">Australia. Indeed, no other country has such broad ‘public interest’ criteria for the grant or revocation of visas. For instance, under United States immigration legislation, there is a ‘national interest’ waiver but that is restricted to a waiver of the requirement of employer need for a particular skill. Thus, under section 203(b)(2)(B) of the Immigration and Nationality Act, the Secretary of Homeland Security may waive the requirement of a ‘job offer’ (namely, that the beneficiary’s services are </w:t>
      </w:r>
      <w:r w:rsidR="001C7F71" w:rsidRPr="00411383">
        <w:rPr>
          <w:rFonts w:ascii="Times New Roman" w:hAnsi="Times New Roman" w:cs="Times New Roman"/>
          <w:bCs/>
          <w:sz w:val="24"/>
        </w:rPr>
        <w:lastRenderedPageBreak/>
        <w:t xml:space="preserve">sought by a US employer) when the Secretary ‘deems it to be in the national interest’. Similarly, UK policy gives the Secretary of State the power to grant leave on a discretionary basis under a residual discretion provided in the </w:t>
      </w:r>
      <w:r w:rsidR="001C7F71" w:rsidRPr="00FE3B29">
        <w:rPr>
          <w:rFonts w:ascii="Times New Roman" w:hAnsi="Times New Roman" w:cs="Times New Roman"/>
          <w:bCs/>
          <w:i/>
          <w:iCs/>
          <w:sz w:val="24"/>
        </w:rPr>
        <w:t>Immigration Act 1971</w:t>
      </w:r>
      <w:r w:rsidR="001C7F71" w:rsidRPr="00411383">
        <w:rPr>
          <w:rFonts w:ascii="Times New Roman" w:hAnsi="Times New Roman" w:cs="Times New Roman"/>
          <w:bCs/>
          <w:sz w:val="24"/>
        </w:rPr>
        <w:t>. However, it is designed to be utilised sparingly and must be in accordance with the UK Asylum Discretionary Leave policy.</w:t>
      </w:r>
      <w:r w:rsidR="001C7F71" w:rsidRPr="00411383">
        <w:rPr>
          <w:rFonts w:ascii="Times New Roman" w:hAnsi="Times New Roman" w:cs="Times New Roman"/>
          <w:bCs/>
          <w:sz w:val="24"/>
          <w:vertAlign w:val="superscript"/>
        </w:rPr>
        <w:footnoteReference w:id="11"/>
      </w:r>
      <w:r w:rsidR="001C7F71" w:rsidRPr="00411383">
        <w:rPr>
          <w:rFonts w:ascii="Times New Roman" w:hAnsi="Times New Roman" w:cs="Times New Roman"/>
          <w:bCs/>
          <w:sz w:val="24"/>
        </w:rPr>
        <w:t xml:space="preserve"> </w:t>
      </w:r>
      <w:r w:rsidR="002D5036">
        <w:rPr>
          <w:rFonts w:ascii="Times New Roman" w:hAnsi="Times New Roman" w:cs="Times New Roman"/>
          <w:bCs/>
          <w:sz w:val="24"/>
        </w:rPr>
        <w:t xml:space="preserve">These cases hence illustrate </w:t>
      </w:r>
      <w:r w:rsidR="008A4D29">
        <w:rPr>
          <w:rFonts w:ascii="Times New Roman" w:hAnsi="Times New Roman" w:cs="Times New Roman"/>
          <w:bCs/>
          <w:sz w:val="24"/>
        </w:rPr>
        <w:t xml:space="preserve">how a peculiar innovation in Australian public law has raised </w:t>
      </w:r>
      <w:r w:rsidR="006C7E90">
        <w:rPr>
          <w:rFonts w:ascii="Times New Roman" w:hAnsi="Times New Roman" w:cs="Times New Roman"/>
          <w:bCs/>
          <w:sz w:val="24"/>
        </w:rPr>
        <w:t xml:space="preserve">unique issues </w:t>
      </w:r>
      <w:r w:rsidR="008A4D29">
        <w:rPr>
          <w:rFonts w:ascii="Times New Roman" w:hAnsi="Times New Roman" w:cs="Times New Roman"/>
          <w:bCs/>
          <w:sz w:val="24"/>
        </w:rPr>
        <w:t>in how Australia complies with its international obligations and the role played by the courts in this compliance.</w:t>
      </w:r>
    </w:p>
    <w:p w14:paraId="63D6897B" w14:textId="77777777" w:rsidR="001C7F71" w:rsidRDefault="001C7F71" w:rsidP="003C46E6">
      <w:pPr>
        <w:spacing w:line="360" w:lineRule="auto"/>
        <w:jc w:val="both"/>
        <w:rPr>
          <w:rFonts w:ascii="Times New Roman" w:hAnsi="Times New Roman" w:cs="Times New Roman"/>
          <w:sz w:val="24"/>
        </w:rPr>
      </w:pPr>
    </w:p>
    <w:p w14:paraId="4ABAAF91" w14:textId="6C1FC72C" w:rsidR="004F2CE3" w:rsidRDefault="00D92EA5" w:rsidP="003C46E6">
      <w:pPr>
        <w:spacing w:line="360" w:lineRule="auto"/>
        <w:jc w:val="both"/>
        <w:rPr>
          <w:rFonts w:ascii="Times New Roman" w:hAnsi="Times New Roman" w:cs="Times New Roman"/>
          <w:sz w:val="24"/>
        </w:rPr>
      </w:pPr>
      <w:r>
        <w:rPr>
          <w:rFonts w:ascii="Times New Roman" w:hAnsi="Times New Roman" w:cs="Times New Roman"/>
          <w:sz w:val="24"/>
        </w:rPr>
        <w:t xml:space="preserve">This </w:t>
      </w:r>
      <w:r w:rsidR="00957AC1">
        <w:rPr>
          <w:rFonts w:ascii="Times New Roman" w:hAnsi="Times New Roman" w:cs="Times New Roman"/>
          <w:sz w:val="24"/>
        </w:rPr>
        <w:t xml:space="preserve">article </w:t>
      </w:r>
      <w:r>
        <w:rPr>
          <w:rFonts w:ascii="Times New Roman" w:hAnsi="Times New Roman" w:cs="Times New Roman"/>
          <w:sz w:val="24"/>
        </w:rPr>
        <w:t xml:space="preserve">begins </w:t>
      </w:r>
      <w:r w:rsidR="004F2CE3">
        <w:rPr>
          <w:rFonts w:ascii="Times New Roman" w:hAnsi="Times New Roman" w:cs="Times New Roman"/>
          <w:sz w:val="24"/>
        </w:rPr>
        <w:t>in Part 2</w:t>
      </w:r>
      <w:r w:rsidR="00882BE7">
        <w:rPr>
          <w:rFonts w:ascii="Times New Roman" w:hAnsi="Times New Roman" w:cs="Times New Roman"/>
          <w:sz w:val="24"/>
        </w:rPr>
        <w:t xml:space="preserve"> with a discussion of relevant constitutional and administrative law </w:t>
      </w:r>
      <w:r w:rsidR="00C625FC">
        <w:rPr>
          <w:rFonts w:ascii="Times New Roman" w:hAnsi="Times New Roman" w:cs="Times New Roman"/>
          <w:sz w:val="24"/>
        </w:rPr>
        <w:t xml:space="preserve">principles </w:t>
      </w:r>
      <w:r w:rsidR="00882BE7">
        <w:rPr>
          <w:rFonts w:ascii="Times New Roman" w:hAnsi="Times New Roman" w:cs="Times New Roman"/>
          <w:sz w:val="24"/>
        </w:rPr>
        <w:t>by way of background, followed in Part 3 by</w:t>
      </w:r>
      <w:r w:rsidR="004F2CE3">
        <w:rPr>
          <w:rFonts w:ascii="Times New Roman" w:hAnsi="Times New Roman" w:cs="Times New Roman"/>
          <w:sz w:val="24"/>
        </w:rPr>
        <w:t xml:space="preserve"> </w:t>
      </w:r>
      <w:r w:rsidR="00882BE7">
        <w:rPr>
          <w:rFonts w:ascii="Times New Roman" w:hAnsi="Times New Roman" w:cs="Times New Roman"/>
          <w:sz w:val="24"/>
        </w:rPr>
        <w:t>an overview of</w:t>
      </w:r>
      <w:r w:rsidR="004F2CE3">
        <w:rPr>
          <w:rFonts w:ascii="Times New Roman" w:hAnsi="Times New Roman" w:cs="Times New Roman"/>
          <w:sz w:val="24"/>
        </w:rPr>
        <w:t xml:space="preserve"> existing literature on </w:t>
      </w:r>
      <w:r w:rsidR="00882BE7">
        <w:rPr>
          <w:rFonts w:ascii="Times New Roman" w:hAnsi="Times New Roman" w:cs="Times New Roman"/>
          <w:sz w:val="24"/>
        </w:rPr>
        <w:t>the national interest under Australian law</w:t>
      </w:r>
      <w:r w:rsidR="00704A5B">
        <w:rPr>
          <w:rFonts w:ascii="Times New Roman" w:hAnsi="Times New Roman" w:cs="Times New Roman"/>
          <w:sz w:val="24"/>
        </w:rPr>
        <w:t xml:space="preserve">. Part 4 </w:t>
      </w:r>
      <w:r w:rsidR="00957AC1">
        <w:rPr>
          <w:rFonts w:ascii="Times New Roman" w:hAnsi="Times New Roman" w:cs="Times New Roman"/>
          <w:sz w:val="24"/>
        </w:rPr>
        <w:t xml:space="preserve">then </w:t>
      </w:r>
      <w:r w:rsidR="00704A5B">
        <w:rPr>
          <w:rFonts w:ascii="Times New Roman" w:hAnsi="Times New Roman" w:cs="Times New Roman"/>
          <w:sz w:val="24"/>
        </w:rPr>
        <w:t>analyse</w:t>
      </w:r>
      <w:r w:rsidR="00957AC1">
        <w:rPr>
          <w:rFonts w:ascii="Times New Roman" w:hAnsi="Times New Roman" w:cs="Times New Roman"/>
          <w:sz w:val="24"/>
        </w:rPr>
        <w:t>s</w:t>
      </w:r>
      <w:r w:rsidR="00704A5B">
        <w:rPr>
          <w:rFonts w:ascii="Times New Roman" w:hAnsi="Times New Roman" w:cs="Times New Roman"/>
          <w:sz w:val="24"/>
        </w:rPr>
        <w:t xml:space="preserve"> recent jurisprudence </w:t>
      </w:r>
      <w:r>
        <w:rPr>
          <w:rFonts w:ascii="Times New Roman" w:hAnsi="Times New Roman" w:cs="Times New Roman"/>
          <w:sz w:val="24"/>
        </w:rPr>
        <w:t>on the ‘national interest’ in visa refusals and cancellations and non-</w:t>
      </w:r>
      <w:r>
        <w:rPr>
          <w:rFonts w:ascii="Times New Roman" w:hAnsi="Times New Roman" w:cs="Times New Roman"/>
          <w:i/>
          <w:iCs/>
          <w:sz w:val="24"/>
        </w:rPr>
        <w:t xml:space="preserve">refoulement </w:t>
      </w:r>
      <w:r w:rsidR="00704A5B">
        <w:rPr>
          <w:rFonts w:ascii="Times New Roman" w:hAnsi="Times New Roman" w:cs="Times New Roman"/>
          <w:sz w:val="24"/>
        </w:rPr>
        <w:t>in Australia</w:t>
      </w:r>
      <w:r w:rsidR="00C06114">
        <w:rPr>
          <w:rFonts w:ascii="Times New Roman" w:hAnsi="Times New Roman" w:cs="Times New Roman"/>
          <w:sz w:val="24"/>
        </w:rPr>
        <w:t xml:space="preserve">. Finally, we set </w:t>
      </w:r>
      <w:r w:rsidR="001447B9">
        <w:rPr>
          <w:rFonts w:ascii="Times New Roman" w:hAnsi="Times New Roman" w:cs="Times New Roman"/>
          <w:sz w:val="24"/>
        </w:rPr>
        <w:t xml:space="preserve">out </w:t>
      </w:r>
      <w:r w:rsidR="00267B56">
        <w:rPr>
          <w:rFonts w:ascii="Times New Roman" w:hAnsi="Times New Roman" w:cs="Times New Roman"/>
          <w:sz w:val="24"/>
        </w:rPr>
        <w:t>our conclusions on the broader ramifications of this case law in Part 5.</w:t>
      </w:r>
    </w:p>
    <w:p w14:paraId="583F3CF0" w14:textId="77777777" w:rsidR="00980A46" w:rsidRDefault="00980A46" w:rsidP="00980A46">
      <w:pPr>
        <w:rPr>
          <w:rFonts w:ascii="Times New Roman" w:hAnsi="Times New Roman" w:cs="Times New Roman"/>
          <w:b/>
          <w:sz w:val="24"/>
        </w:rPr>
      </w:pPr>
      <w:bookmarkStart w:id="0" w:name="_Hlk136636411"/>
    </w:p>
    <w:p w14:paraId="26642D3E" w14:textId="77777777" w:rsidR="00454942" w:rsidRDefault="00454942" w:rsidP="00980A46">
      <w:pPr>
        <w:rPr>
          <w:rFonts w:ascii="Times New Roman" w:hAnsi="Times New Roman" w:cs="Times New Roman"/>
          <w:b/>
          <w:sz w:val="24"/>
        </w:rPr>
      </w:pPr>
    </w:p>
    <w:p w14:paraId="6706DAEC" w14:textId="37D0970A" w:rsidR="0043423C" w:rsidRPr="00411383" w:rsidRDefault="0043423C" w:rsidP="00980A46">
      <w:pPr>
        <w:rPr>
          <w:rFonts w:ascii="Times New Roman" w:hAnsi="Times New Roman" w:cs="Times New Roman"/>
          <w:b/>
          <w:sz w:val="24"/>
        </w:rPr>
      </w:pPr>
      <w:r>
        <w:rPr>
          <w:rFonts w:ascii="Times New Roman" w:hAnsi="Times New Roman" w:cs="Times New Roman"/>
          <w:b/>
          <w:sz w:val="24"/>
        </w:rPr>
        <w:t>2</w:t>
      </w:r>
      <w:r w:rsidRPr="00411383">
        <w:rPr>
          <w:rFonts w:ascii="Times New Roman" w:hAnsi="Times New Roman" w:cs="Times New Roman"/>
          <w:b/>
          <w:sz w:val="24"/>
        </w:rPr>
        <w:t>.</w:t>
      </w:r>
      <w:r w:rsidRPr="00411383">
        <w:rPr>
          <w:rFonts w:ascii="Times New Roman" w:hAnsi="Times New Roman" w:cs="Times New Roman"/>
          <w:b/>
          <w:sz w:val="24"/>
        </w:rPr>
        <w:tab/>
      </w:r>
      <w:r>
        <w:rPr>
          <w:rFonts w:ascii="Times New Roman" w:hAnsi="Times New Roman" w:cs="Times New Roman"/>
          <w:b/>
          <w:sz w:val="24"/>
        </w:rPr>
        <w:t xml:space="preserve">The National Interest in </w:t>
      </w:r>
      <w:r w:rsidRPr="00411383">
        <w:rPr>
          <w:rFonts w:ascii="Times New Roman" w:hAnsi="Times New Roman" w:cs="Times New Roman"/>
          <w:b/>
          <w:sz w:val="24"/>
        </w:rPr>
        <w:t xml:space="preserve">Constitutional and Administrative Law Context </w:t>
      </w:r>
    </w:p>
    <w:p w14:paraId="0D0984DA" w14:textId="77777777" w:rsidR="0043423C" w:rsidRDefault="0043423C" w:rsidP="0043423C">
      <w:pPr>
        <w:spacing w:line="360" w:lineRule="auto"/>
        <w:jc w:val="both"/>
        <w:rPr>
          <w:rFonts w:ascii="Times New Roman" w:hAnsi="Times New Roman" w:cs="Times New Roman"/>
          <w:b/>
          <w:sz w:val="24"/>
        </w:rPr>
      </w:pPr>
    </w:p>
    <w:p w14:paraId="7A86386D" w14:textId="2A8E7739" w:rsidR="00E50DD4" w:rsidRPr="00BE6C7F" w:rsidRDefault="00E50DD4" w:rsidP="0043423C">
      <w:pPr>
        <w:spacing w:line="360" w:lineRule="auto"/>
        <w:jc w:val="both"/>
        <w:rPr>
          <w:rFonts w:ascii="Times New Roman" w:hAnsi="Times New Roman" w:cs="Times New Roman"/>
          <w:b/>
          <w:i/>
          <w:iCs/>
          <w:sz w:val="24"/>
        </w:rPr>
      </w:pPr>
      <w:r>
        <w:rPr>
          <w:rFonts w:ascii="Times New Roman" w:hAnsi="Times New Roman" w:cs="Times New Roman"/>
          <w:b/>
          <w:i/>
          <w:iCs/>
          <w:sz w:val="24"/>
        </w:rPr>
        <w:t>2.1</w:t>
      </w:r>
      <w:r>
        <w:rPr>
          <w:rFonts w:ascii="Times New Roman" w:hAnsi="Times New Roman" w:cs="Times New Roman"/>
          <w:b/>
          <w:i/>
          <w:iCs/>
          <w:sz w:val="24"/>
        </w:rPr>
        <w:tab/>
        <w:t>Introduction</w:t>
      </w:r>
    </w:p>
    <w:p w14:paraId="5F43856B" w14:textId="77777777" w:rsidR="00E50DD4" w:rsidRPr="00411383" w:rsidRDefault="00E50DD4" w:rsidP="0043423C">
      <w:pPr>
        <w:spacing w:line="360" w:lineRule="auto"/>
        <w:jc w:val="both"/>
        <w:rPr>
          <w:rFonts w:ascii="Times New Roman" w:hAnsi="Times New Roman" w:cs="Times New Roman"/>
          <w:b/>
          <w:sz w:val="24"/>
        </w:rPr>
      </w:pPr>
    </w:p>
    <w:p w14:paraId="3D0F996D" w14:textId="1BA390CC" w:rsidR="00F37199" w:rsidRDefault="00F37199" w:rsidP="0043423C">
      <w:pPr>
        <w:spacing w:line="360" w:lineRule="auto"/>
        <w:jc w:val="both"/>
        <w:rPr>
          <w:rFonts w:ascii="Times New Roman" w:eastAsia="Times New Roman" w:hAnsi="Times New Roman" w:cs="Times New Roman"/>
          <w:sz w:val="24"/>
        </w:rPr>
      </w:pPr>
      <w:r>
        <w:rPr>
          <w:rFonts w:ascii="Times New Roman" w:hAnsi="Times New Roman" w:cs="Times New Roman"/>
          <w:sz w:val="24"/>
        </w:rPr>
        <w:t>T</w:t>
      </w:r>
      <w:r w:rsidRPr="00411383">
        <w:rPr>
          <w:rFonts w:ascii="Times New Roman" w:hAnsi="Times New Roman" w:cs="Times New Roman"/>
          <w:sz w:val="24"/>
        </w:rPr>
        <w:t>he use of broad executive powers to make immigration decisions raise</w:t>
      </w:r>
      <w:r>
        <w:rPr>
          <w:rFonts w:ascii="Times New Roman" w:hAnsi="Times New Roman" w:cs="Times New Roman"/>
          <w:sz w:val="24"/>
        </w:rPr>
        <w:t>s</w:t>
      </w:r>
      <w:r w:rsidRPr="00411383">
        <w:rPr>
          <w:rFonts w:ascii="Times New Roman" w:hAnsi="Times New Roman" w:cs="Times New Roman"/>
          <w:sz w:val="24"/>
        </w:rPr>
        <w:t xml:space="preserve"> fundamental questions </w:t>
      </w:r>
      <w:r>
        <w:rPr>
          <w:rFonts w:ascii="Times New Roman" w:hAnsi="Times New Roman" w:cs="Times New Roman"/>
          <w:sz w:val="24"/>
        </w:rPr>
        <w:t xml:space="preserve">about </w:t>
      </w:r>
      <w:r w:rsidRPr="00411383">
        <w:rPr>
          <w:rFonts w:ascii="Times New Roman" w:hAnsi="Times New Roman" w:cs="Times New Roman"/>
          <w:sz w:val="24"/>
        </w:rPr>
        <w:t>the rule of law, the separation of powers, parliamentary sovereignty, democratic accountability and the</w:t>
      </w:r>
      <w:r>
        <w:rPr>
          <w:rFonts w:ascii="Times New Roman" w:hAnsi="Times New Roman" w:cs="Times New Roman"/>
          <w:sz w:val="24"/>
        </w:rPr>
        <w:t xml:space="preserve"> proper </w:t>
      </w:r>
      <w:r w:rsidR="00DE0791">
        <w:rPr>
          <w:rFonts w:ascii="Times New Roman" w:hAnsi="Times New Roman" w:cs="Times New Roman"/>
          <w:sz w:val="24"/>
        </w:rPr>
        <w:t>scope</w:t>
      </w:r>
      <w:r w:rsidRPr="00411383">
        <w:rPr>
          <w:rFonts w:ascii="Times New Roman" w:hAnsi="Times New Roman" w:cs="Times New Roman"/>
          <w:sz w:val="24"/>
        </w:rPr>
        <w:t xml:space="preserve"> of </w:t>
      </w:r>
      <w:r>
        <w:rPr>
          <w:rFonts w:ascii="Times New Roman" w:hAnsi="Times New Roman" w:cs="Times New Roman"/>
          <w:sz w:val="24"/>
        </w:rPr>
        <w:t>grounds of judicial review (particularly unreasonableness)</w:t>
      </w:r>
      <w:r w:rsidRPr="00411383">
        <w:rPr>
          <w:rFonts w:ascii="Times New Roman" w:hAnsi="Times New Roman" w:cs="Times New Roman"/>
          <w:sz w:val="24"/>
        </w:rPr>
        <w:t xml:space="preserve">. The use of </w:t>
      </w:r>
      <w:r>
        <w:rPr>
          <w:rFonts w:ascii="Times New Roman" w:hAnsi="Times New Roman" w:cs="Times New Roman"/>
          <w:sz w:val="24"/>
        </w:rPr>
        <w:t>national interest</w:t>
      </w:r>
      <w:r w:rsidRPr="00411383">
        <w:rPr>
          <w:rFonts w:ascii="Times New Roman" w:hAnsi="Times New Roman" w:cs="Times New Roman"/>
          <w:sz w:val="24"/>
        </w:rPr>
        <w:t xml:space="preserve"> powers in refugee cases also raise</w:t>
      </w:r>
      <w:r>
        <w:rPr>
          <w:rFonts w:ascii="Times New Roman" w:hAnsi="Times New Roman" w:cs="Times New Roman"/>
          <w:sz w:val="24"/>
        </w:rPr>
        <w:t>s</w:t>
      </w:r>
      <w:r w:rsidRPr="00411383">
        <w:rPr>
          <w:rFonts w:ascii="Times New Roman" w:hAnsi="Times New Roman" w:cs="Times New Roman"/>
          <w:sz w:val="24"/>
        </w:rPr>
        <w:t xml:space="preserve"> significant questions about Australia’s international treaty obligations</w:t>
      </w:r>
      <w:r>
        <w:rPr>
          <w:rFonts w:ascii="Times New Roman" w:hAnsi="Times New Roman" w:cs="Times New Roman"/>
          <w:sz w:val="24"/>
        </w:rPr>
        <w:t>.</w:t>
      </w:r>
    </w:p>
    <w:p w14:paraId="339DEBB4" w14:textId="77777777" w:rsidR="00F37199" w:rsidRDefault="00F37199" w:rsidP="0043423C">
      <w:pPr>
        <w:spacing w:line="360" w:lineRule="auto"/>
        <w:jc w:val="both"/>
        <w:rPr>
          <w:rFonts w:ascii="Times New Roman" w:eastAsia="Times New Roman" w:hAnsi="Times New Roman" w:cs="Times New Roman"/>
          <w:sz w:val="24"/>
        </w:rPr>
      </w:pPr>
    </w:p>
    <w:p w14:paraId="413A4F00" w14:textId="12B527D8" w:rsidR="0043423C" w:rsidRDefault="00141F69" w:rsidP="0043423C">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This section briefly explores </w:t>
      </w:r>
      <w:r w:rsidRPr="00141F69">
        <w:rPr>
          <w:rFonts w:ascii="Times New Roman" w:eastAsia="Times New Roman" w:hAnsi="Times New Roman" w:cs="Times New Roman"/>
          <w:sz w:val="24"/>
        </w:rPr>
        <w:t xml:space="preserve">relevant constitutional and administrative law concepts and principles </w:t>
      </w:r>
      <w:r>
        <w:rPr>
          <w:rFonts w:ascii="Times New Roman" w:eastAsia="Times New Roman" w:hAnsi="Times New Roman" w:cs="Times New Roman"/>
          <w:sz w:val="24"/>
        </w:rPr>
        <w:t xml:space="preserve">in order </w:t>
      </w:r>
      <w:r w:rsidR="0043423C" w:rsidRPr="00411383">
        <w:rPr>
          <w:rFonts w:ascii="Times New Roman" w:eastAsia="Times New Roman" w:hAnsi="Times New Roman" w:cs="Times New Roman"/>
          <w:sz w:val="24"/>
        </w:rPr>
        <w:t xml:space="preserve">to </w:t>
      </w:r>
      <w:r w:rsidR="001024E2">
        <w:rPr>
          <w:rFonts w:ascii="Times New Roman" w:eastAsia="Times New Roman" w:hAnsi="Times New Roman" w:cs="Times New Roman"/>
          <w:sz w:val="24"/>
        </w:rPr>
        <w:t xml:space="preserve">explain ‘the national interest’, </w:t>
      </w:r>
      <w:r w:rsidR="0043423C" w:rsidRPr="00411383">
        <w:rPr>
          <w:rFonts w:ascii="Times New Roman" w:eastAsia="Times New Roman" w:hAnsi="Times New Roman" w:cs="Times New Roman"/>
          <w:sz w:val="24"/>
        </w:rPr>
        <w:t>the context in which national interest powers operate</w:t>
      </w:r>
      <w:r>
        <w:rPr>
          <w:rFonts w:ascii="Times New Roman" w:eastAsia="Times New Roman" w:hAnsi="Times New Roman" w:cs="Times New Roman"/>
          <w:sz w:val="24"/>
        </w:rPr>
        <w:t xml:space="preserve"> and </w:t>
      </w:r>
      <w:r w:rsidR="00D432FF">
        <w:rPr>
          <w:rFonts w:ascii="Times New Roman" w:eastAsia="Times New Roman" w:hAnsi="Times New Roman" w:cs="Times New Roman"/>
          <w:sz w:val="24"/>
        </w:rPr>
        <w:t xml:space="preserve">important background to the discussion of recent </w:t>
      </w:r>
      <w:r w:rsidR="00DD03CC">
        <w:rPr>
          <w:rFonts w:ascii="Times New Roman" w:eastAsia="Times New Roman" w:hAnsi="Times New Roman" w:cs="Times New Roman"/>
          <w:sz w:val="24"/>
        </w:rPr>
        <w:t xml:space="preserve">cases </w:t>
      </w:r>
      <w:r w:rsidR="00D432FF">
        <w:rPr>
          <w:rFonts w:ascii="Times New Roman" w:eastAsia="Times New Roman" w:hAnsi="Times New Roman" w:cs="Times New Roman"/>
          <w:sz w:val="24"/>
        </w:rPr>
        <w:t xml:space="preserve">in Part 4. </w:t>
      </w:r>
      <w:r w:rsidR="00912D85">
        <w:rPr>
          <w:rFonts w:ascii="Times New Roman" w:eastAsia="Times New Roman" w:hAnsi="Times New Roman" w:cs="Times New Roman"/>
          <w:sz w:val="24"/>
        </w:rPr>
        <w:t xml:space="preserve">This section only </w:t>
      </w:r>
      <w:r w:rsidR="00A13867">
        <w:rPr>
          <w:rFonts w:ascii="Times New Roman" w:eastAsia="Times New Roman" w:hAnsi="Times New Roman" w:cs="Times New Roman"/>
          <w:sz w:val="24"/>
        </w:rPr>
        <w:t>sets out</w:t>
      </w:r>
      <w:r w:rsidR="00D432FF">
        <w:rPr>
          <w:rFonts w:ascii="Times New Roman" w:eastAsia="Times New Roman" w:hAnsi="Times New Roman" w:cs="Times New Roman"/>
          <w:sz w:val="24"/>
        </w:rPr>
        <w:t xml:space="preserve"> a relatively brief discussion of </w:t>
      </w:r>
      <w:r w:rsidR="00A13867">
        <w:rPr>
          <w:rFonts w:ascii="Times New Roman" w:eastAsia="Times New Roman" w:hAnsi="Times New Roman" w:cs="Times New Roman"/>
          <w:sz w:val="24"/>
        </w:rPr>
        <w:t xml:space="preserve">the constitutional and administrative law principles that are relevant to our </w:t>
      </w:r>
      <w:r w:rsidR="002D6440">
        <w:rPr>
          <w:rFonts w:ascii="Times New Roman" w:eastAsia="Times New Roman" w:hAnsi="Times New Roman" w:cs="Times New Roman"/>
          <w:sz w:val="24"/>
        </w:rPr>
        <w:t xml:space="preserve">article </w:t>
      </w:r>
      <w:r w:rsidR="00A13867">
        <w:rPr>
          <w:rFonts w:ascii="Times New Roman" w:eastAsia="Times New Roman" w:hAnsi="Times New Roman" w:cs="Times New Roman"/>
          <w:sz w:val="24"/>
        </w:rPr>
        <w:t xml:space="preserve">and does not purport to cover </w:t>
      </w:r>
      <w:r w:rsidR="000A1D16">
        <w:rPr>
          <w:rFonts w:ascii="Times New Roman" w:eastAsia="Times New Roman" w:hAnsi="Times New Roman" w:cs="Times New Roman"/>
          <w:sz w:val="24"/>
        </w:rPr>
        <w:t>the field.</w:t>
      </w:r>
      <w:r w:rsidR="00C02F9F">
        <w:rPr>
          <w:rStyle w:val="FootnoteReference"/>
          <w:rFonts w:ascii="Times New Roman" w:eastAsia="Times New Roman" w:hAnsi="Times New Roman" w:cs="Times New Roman"/>
          <w:sz w:val="24"/>
        </w:rPr>
        <w:footnoteReference w:id="12"/>
      </w:r>
    </w:p>
    <w:p w14:paraId="6E4930AE" w14:textId="77777777" w:rsidR="00D432FF" w:rsidRDefault="00D432FF" w:rsidP="0043423C">
      <w:pPr>
        <w:spacing w:line="360" w:lineRule="auto"/>
        <w:jc w:val="both"/>
        <w:rPr>
          <w:rFonts w:ascii="Times New Roman" w:eastAsia="Times New Roman" w:hAnsi="Times New Roman" w:cs="Times New Roman"/>
          <w:sz w:val="24"/>
        </w:rPr>
      </w:pPr>
    </w:p>
    <w:p w14:paraId="3F0FDF06" w14:textId="4EFCD56F" w:rsidR="0043423C" w:rsidRDefault="004067AC" w:rsidP="0043423C">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Before discussing this public law context</w:t>
      </w:r>
      <w:r w:rsidR="00A13867">
        <w:rPr>
          <w:rFonts w:ascii="Times New Roman" w:eastAsia="Times New Roman" w:hAnsi="Times New Roman" w:cs="Times New Roman"/>
          <w:sz w:val="24"/>
        </w:rPr>
        <w:t xml:space="preserve">, we highlight an important conceptual point about the status of national interest powers as exercises of ‘discretion’. As noted in our introduction to this </w:t>
      </w:r>
      <w:r w:rsidR="00AC50D7">
        <w:rPr>
          <w:rFonts w:ascii="Times New Roman" w:eastAsia="Times New Roman" w:hAnsi="Times New Roman" w:cs="Times New Roman"/>
          <w:sz w:val="24"/>
        </w:rPr>
        <w:t>article</w:t>
      </w:r>
      <w:r w:rsidR="00A13867">
        <w:rPr>
          <w:rFonts w:ascii="Times New Roman" w:eastAsia="Times New Roman" w:hAnsi="Times New Roman" w:cs="Times New Roman"/>
          <w:sz w:val="24"/>
        </w:rPr>
        <w:t>, m</w:t>
      </w:r>
      <w:r w:rsidR="0043423C" w:rsidRPr="00411383">
        <w:rPr>
          <w:rFonts w:ascii="Times New Roman" w:hAnsi="Times New Roman" w:cs="Times New Roman"/>
          <w:sz w:val="24"/>
        </w:rPr>
        <w:t xml:space="preserve">igration decision-making in Australia includes various provisions conferring broad powers upon Ministers (and, in some cases, their delegates) to form </w:t>
      </w:r>
      <w:r w:rsidR="0043423C" w:rsidRPr="004067AC">
        <w:rPr>
          <w:rFonts w:ascii="Times New Roman" w:hAnsi="Times New Roman" w:cs="Times New Roman"/>
          <w:i/>
          <w:iCs/>
          <w:sz w:val="24"/>
        </w:rPr>
        <w:t>states of satisfaction</w:t>
      </w:r>
      <w:r w:rsidR="0043423C" w:rsidRPr="00411383">
        <w:rPr>
          <w:rFonts w:ascii="Times New Roman" w:hAnsi="Times New Roman" w:cs="Times New Roman"/>
          <w:sz w:val="24"/>
        </w:rPr>
        <w:t xml:space="preserve"> as to the ‘public interest’ and the ‘national interest’, and to refuse or cancel visas accordingly.</w:t>
      </w:r>
      <w:r w:rsidR="00A13867">
        <w:rPr>
          <w:rFonts w:ascii="Times New Roman" w:hAnsi="Times New Roman" w:cs="Times New Roman"/>
          <w:sz w:val="24"/>
        </w:rPr>
        <w:t xml:space="preserve"> </w:t>
      </w:r>
      <w:r w:rsidR="0043423C" w:rsidRPr="00411383">
        <w:rPr>
          <w:rFonts w:ascii="Times New Roman" w:eastAsia="Times New Roman" w:hAnsi="Times New Roman" w:cs="Times New Roman"/>
          <w:sz w:val="24"/>
        </w:rPr>
        <w:t>Strictly speaking, provisions which require the Minister to form a state of satisfaction as to the ‘national interest’ or the ‘public interest’ do not confer a ‘discretion’ on the Minister in doing so, because a power or a requirement to form a state of satisfaction is not a ‘discretion’ per se.</w:t>
      </w:r>
      <w:r w:rsidR="0043423C" w:rsidRPr="00411383">
        <w:rPr>
          <w:rStyle w:val="FootnoteReference"/>
          <w:rFonts w:ascii="Times New Roman" w:eastAsia="Times New Roman" w:hAnsi="Times New Roman" w:cs="Times New Roman"/>
          <w:sz w:val="24"/>
        </w:rPr>
        <w:footnoteReference w:id="13"/>
      </w:r>
      <w:r w:rsidR="0043423C" w:rsidRPr="00411383">
        <w:rPr>
          <w:rFonts w:ascii="Times New Roman" w:eastAsia="Times New Roman" w:hAnsi="Times New Roman" w:cs="Times New Roman"/>
          <w:sz w:val="24"/>
        </w:rPr>
        <w:t xml:space="preserve"> Nonetheless, these provisions </w:t>
      </w:r>
      <w:r w:rsidR="00761321">
        <w:rPr>
          <w:rFonts w:ascii="Times New Roman" w:eastAsia="Times New Roman" w:hAnsi="Times New Roman" w:cs="Times New Roman"/>
          <w:sz w:val="24"/>
        </w:rPr>
        <w:t>grant</w:t>
      </w:r>
      <w:r w:rsidR="00761321" w:rsidRPr="00411383">
        <w:rPr>
          <w:rFonts w:ascii="Times New Roman" w:eastAsia="Times New Roman" w:hAnsi="Times New Roman" w:cs="Times New Roman"/>
          <w:sz w:val="24"/>
        </w:rPr>
        <w:t xml:space="preserve"> </w:t>
      </w:r>
      <w:r w:rsidR="0043423C" w:rsidRPr="00411383">
        <w:rPr>
          <w:rFonts w:ascii="Times New Roman" w:eastAsia="Times New Roman" w:hAnsi="Times New Roman" w:cs="Times New Roman"/>
          <w:sz w:val="24"/>
        </w:rPr>
        <w:t xml:space="preserve">broad decisional freedom </w:t>
      </w:r>
      <w:r w:rsidR="00761321">
        <w:rPr>
          <w:rFonts w:ascii="Times New Roman" w:eastAsia="Times New Roman" w:hAnsi="Times New Roman" w:cs="Times New Roman"/>
          <w:sz w:val="24"/>
        </w:rPr>
        <w:t xml:space="preserve">to </w:t>
      </w:r>
      <w:r w:rsidR="0043423C" w:rsidRPr="00411383">
        <w:rPr>
          <w:rFonts w:ascii="Times New Roman" w:eastAsia="Times New Roman" w:hAnsi="Times New Roman" w:cs="Times New Roman"/>
          <w:sz w:val="24"/>
        </w:rPr>
        <w:t xml:space="preserve">decision-makers </w:t>
      </w:r>
      <w:r w:rsidR="00761321">
        <w:rPr>
          <w:rFonts w:ascii="Times New Roman" w:eastAsia="Times New Roman" w:hAnsi="Times New Roman" w:cs="Times New Roman"/>
          <w:sz w:val="24"/>
        </w:rPr>
        <w:t xml:space="preserve">to identify </w:t>
      </w:r>
      <w:r w:rsidR="0043423C" w:rsidRPr="00411383">
        <w:rPr>
          <w:rFonts w:ascii="Times New Roman" w:eastAsia="Times New Roman" w:hAnsi="Times New Roman" w:cs="Times New Roman"/>
          <w:sz w:val="24"/>
        </w:rPr>
        <w:t>which factors are relevant to the ‘national interest’ or ‘public interest’ (or, conversely, which factors are irrelevant or immaterial), the weight to be afforded to those factors, and any resulting balancing exercise between those factors which weigh in an applicant or visa-holder’s favour and those which do not.</w:t>
      </w:r>
      <w:r w:rsidR="00787D1B">
        <w:rPr>
          <w:rFonts w:ascii="Times New Roman" w:eastAsia="Times New Roman" w:hAnsi="Times New Roman" w:cs="Times New Roman"/>
          <w:sz w:val="24"/>
        </w:rPr>
        <w:t xml:space="preserve"> They </w:t>
      </w:r>
      <w:r w:rsidR="00312241">
        <w:rPr>
          <w:rFonts w:ascii="Times New Roman" w:eastAsia="Times New Roman" w:hAnsi="Times New Roman" w:cs="Times New Roman"/>
          <w:sz w:val="24"/>
        </w:rPr>
        <w:t xml:space="preserve">confer ‘discretions’ </w:t>
      </w:r>
      <w:r w:rsidR="00787D1B">
        <w:rPr>
          <w:rFonts w:ascii="Times New Roman" w:eastAsia="Times New Roman" w:hAnsi="Times New Roman" w:cs="Times New Roman"/>
          <w:sz w:val="24"/>
        </w:rPr>
        <w:t>in the broader sense of the word, even if not in its strict legal usage.</w:t>
      </w:r>
    </w:p>
    <w:p w14:paraId="1665FFD4" w14:textId="77777777" w:rsidR="0043423C" w:rsidRPr="00411383" w:rsidRDefault="0043423C" w:rsidP="0043423C">
      <w:pPr>
        <w:spacing w:line="360" w:lineRule="auto"/>
        <w:jc w:val="both"/>
        <w:rPr>
          <w:rFonts w:ascii="Times New Roman" w:eastAsia="Times New Roman" w:hAnsi="Times New Roman" w:cs="Times New Roman"/>
          <w:sz w:val="24"/>
        </w:rPr>
      </w:pPr>
    </w:p>
    <w:p w14:paraId="420D498C" w14:textId="5C8F01C9" w:rsidR="00FB745A" w:rsidRDefault="00FB745A" w:rsidP="0043423C">
      <w:pPr>
        <w:spacing w:line="360" w:lineRule="auto"/>
        <w:jc w:val="both"/>
        <w:rPr>
          <w:rFonts w:ascii="Times New Roman" w:hAnsi="Times New Roman" w:cs="Times New Roman"/>
          <w:sz w:val="24"/>
        </w:rPr>
      </w:pPr>
      <w:r>
        <w:rPr>
          <w:rFonts w:ascii="Times New Roman" w:hAnsi="Times New Roman" w:cs="Times New Roman"/>
          <w:b/>
          <w:bCs/>
          <w:i/>
          <w:iCs/>
          <w:sz w:val="24"/>
        </w:rPr>
        <w:t xml:space="preserve">2.2 </w:t>
      </w:r>
      <w:r w:rsidR="002C425B">
        <w:rPr>
          <w:rFonts w:ascii="Times New Roman" w:hAnsi="Times New Roman" w:cs="Times New Roman"/>
          <w:b/>
          <w:bCs/>
          <w:i/>
          <w:iCs/>
          <w:sz w:val="24"/>
        </w:rPr>
        <w:tab/>
      </w:r>
      <w:r>
        <w:rPr>
          <w:rFonts w:ascii="Times New Roman" w:hAnsi="Times New Roman" w:cs="Times New Roman"/>
          <w:b/>
          <w:bCs/>
          <w:i/>
          <w:iCs/>
          <w:sz w:val="24"/>
        </w:rPr>
        <w:t>‘The national interest’ and ‘the public interest’</w:t>
      </w:r>
      <w:r w:rsidR="009121C0">
        <w:rPr>
          <w:rFonts w:ascii="Times New Roman" w:hAnsi="Times New Roman" w:cs="Times New Roman"/>
          <w:b/>
          <w:bCs/>
          <w:i/>
          <w:iCs/>
          <w:sz w:val="24"/>
        </w:rPr>
        <w:t xml:space="preserve"> in the Migration Act</w:t>
      </w:r>
    </w:p>
    <w:p w14:paraId="00673D7B" w14:textId="77777777" w:rsidR="00FB745A" w:rsidRDefault="00FB745A" w:rsidP="0043423C">
      <w:pPr>
        <w:spacing w:line="360" w:lineRule="auto"/>
        <w:jc w:val="both"/>
        <w:rPr>
          <w:rFonts w:ascii="Times New Roman" w:hAnsi="Times New Roman" w:cs="Times New Roman"/>
          <w:sz w:val="24"/>
        </w:rPr>
      </w:pPr>
    </w:p>
    <w:p w14:paraId="68943BD6" w14:textId="3FF81EBD" w:rsidR="00FB745A" w:rsidRPr="00411383" w:rsidRDefault="00FB745A" w:rsidP="00FB745A">
      <w:pPr>
        <w:spacing w:line="360" w:lineRule="auto"/>
        <w:jc w:val="both"/>
        <w:rPr>
          <w:rFonts w:ascii="Times New Roman" w:hAnsi="Times New Roman" w:cs="Times New Roman"/>
          <w:sz w:val="24"/>
          <w:shd w:val="clear" w:color="auto" w:fill="FFFFFF"/>
        </w:rPr>
      </w:pPr>
      <w:r w:rsidRPr="00411383">
        <w:rPr>
          <w:rFonts w:ascii="Times New Roman" w:hAnsi="Times New Roman" w:cs="Times New Roman"/>
          <w:sz w:val="24"/>
          <w:shd w:val="clear" w:color="auto" w:fill="FFFFFF"/>
        </w:rPr>
        <w:t xml:space="preserve">The ‘national interest’ does not solely arise in relation to specific provisions or powers within the </w:t>
      </w:r>
      <w:r w:rsidRPr="00FE3B29">
        <w:rPr>
          <w:rFonts w:ascii="Times New Roman" w:hAnsi="Times New Roman" w:cs="Times New Roman"/>
          <w:i/>
          <w:iCs/>
          <w:sz w:val="24"/>
          <w:shd w:val="clear" w:color="auto" w:fill="FFFFFF"/>
        </w:rPr>
        <w:t>Migration Act</w:t>
      </w:r>
      <w:r w:rsidRPr="00411383">
        <w:rPr>
          <w:rFonts w:ascii="Times New Roman" w:hAnsi="Times New Roman" w:cs="Times New Roman"/>
          <w:sz w:val="24"/>
          <w:shd w:val="clear" w:color="auto" w:fill="FFFFFF"/>
        </w:rPr>
        <w:t>.</w:t>
      </w:r>
      <w:r w:rsidRPr="00411383">
        <w:rPr>
          <w:rFonts w:ascii="Times New Roman" w:hAnsi="Times New Roman" w:cs="Times New Roman"/>
          <w:i/>
          <w:iCs/>
          <w:sz w:val="24"/>
          <w:shd w:val="clear" w:color="auto" w:fill="FFFFFF"/>
        </w:rPr>
        <w:t xml:space="preserve"> </w:t>
      </w:r>
      <w:r w:rsidRPr="00411383">
        <w:rPr>
          <w:rFonts w:ascii="Times New Roman" w:hAnsi="Times New Roman" w:cs="Times New Roman"/>
          <w:sz w:val="24"/>
          <w:shd w:val="clear" w:color="auto" w:fill="FFFFFF"/>
        </w:rPr>
        <w:t>It forms part of the ‘object’ of the Act itself</w:t>
      </w:r>
      <w:r w:rsidR="00FB2432">
        <w:rPr>
          <w:rFonts w:ascii="Times New Roman" w:hAnsi="Times New Roman" w:cs="Times New Roman"/>
          <w:sz w:val="24"/>
          <w:shd w:val="clear" w:color="auto" w:fill="FFFFFF"/>
        </w:rPr>
        <w:t>:</w:t>
      </w:r>
      <w:r w:rsidRPr="00411383">
        <w:rPr>
          <w:rFonts w:ascii="Times New Roman" w:hAnsi="Times New Roman" w:cs="Times New Roman"/>
          <w:sz w:val="24"/>
          <w:shd w:val="clear" w:color="auto" w:fill="FFFFFF"/>
        </w:rPr>
        <w:t xml:space="preserve"> that ‘[t]he object of this Act is to regulate, in the national interest, the coming into, and presence in, Australia of non-citizens.’</w:t>
      </w:r>
      <w:r w:rsidRPr="00411383">
        <w:rPr>
          <w:rStyle w:val="FootnoteReference"/>
          <w:rFonts w:ascii="Times New Roman" w:hAnsi="Times New Roman" w:cs="Times New Roman"/>
          <w:sz w:val="24"/>
          <w:shd w:val="clear" w:color="auto" w:fill="FFFFFF"/>
        </w:rPr>
        <w:footnoteReference w:id="14"/>
      </w:r>
      <w:r w:rsidRPr="00411383">
        <w:rPr>
          <w:rFonts w:ascii="Times New Roman" w:hAnsi="Times New Roman" w:cs="Times New Roman"/>
          <w:sz w:val="24"/>
          <w:shd w:val="clear" w:color="auto" w:fill="FFFFFF"/>
        </w:rPr>
        <w:t xml:space="preserve"> Furthermore, the ‘national interest’ does not solely relate to </w:t>
      </w:r>
      <w:r w:rsidR="00B776A9">
        <w:rPr>
          <w:rFonts w:ascii="Times New Roman" w:hAnsi="Times New Roman" w:cs="Times New Roman"/>
          <w:sz w:val="24"/>
          <w:shd w:val="clear" w:color="auto" w:fill="FFFFFF"/>
        </w:rPr>
        <w:t>discretionary powers</w:t>
      </w:r>
      <w:r w:rsidRPr="00411383">
        <w:rPr>
          <w:rFonts w:ascii="Times New Roman" w:hAnsi="Times New Roman" w:cs="Times New Roman"/>
          <w:sz w:val="24"/>
          <w:shd w:val="clear" w:color="auto" w:fill="FFFFFF"/>
        </w:rPr>
        <w:t xml:space="preserve">; it is a criterion for many visas under the </w:t>
      </w:r>
      <w:r w:rsidRPr="00411383">
        <w:rPr>
          <w:rFonts w:ascii="Times New Roman" w:hAnsi="Times New Roman" w:cs="Times New Roman"/>
          <w:i/>
          <w:iCs/>
          <w:sz w:val="24"/>
          <w:shd w:val="clear" w:color="auto" w:fill="FFFFFF"/>
        </w:rPr>
        <w:t>Migration Regulations</w:t>
      </w:r>
      <w:r w:rsidRPr="00411383">
        <w:rPr>
          <w:rFonts w:ascii="Times New Roman" w:hAnsi="Times New Roman" w:cs="Times New Roman"/>
          <w:sz w:val="24"/>
          <w:shd w:val="clear" w:color="auto" w:fill="FFFFFF"/>
        </w:rPr>
        <w:t xml:space="preserve"> (promulgated pursuant to the </w:t>
      </w:r>
      <w:r w:rsidRPr="00FE3B29">
        <w:rPr>
          <w:rFonts w:ascii="Times New Roman" w:hAnsi="Times New Roman" w:cs="Times New Roman"/>
          <w:i/>
          <w:iCs/>
          <w:sz w:val="24"/>
          <w:shd w:val="clear" w:color="auto" w:fill="FFFFFF"/>
        </w:rPr>
        <w:t>Migration Act</w:t>
      </w:r>
      <w:r w:rsidRPr="00411383">
        <w:rPr>
          <w:rFonts w:ascii="Times New Roman" w:hAnsi="Times New Roman" w:cs="Times New Roman"/>
          <w:sz w:val="24"/>
          <w:shd w:val="clear" w:color="auto" w:fill="FFFFFF"/>
        </w:rPr>
        <w:t>) that the Minister be satisfied that it is in the ‘national interest’ to grant the visa.</w:t>
      </w:r>
      <w:r w:rsidRPr="00411383">
        <w:rPr>
          <w:rStyle w:val="FootnoteReference"/>
          <w:rFonts w:ascii="Times New Roman" w:hAnsi="Times New Roman" w:cs="Times New Roman"/>
          <w:sz w:val="24"/>
          <w:shd w:val="clear" w:color="auto" w:fill="FFFFFF"/>
        </w:rPr>
        <w:footnoteReference w:id="15"/>
      </w:r>
    </w:p>
    <w:p w14:paraId="19C87FD3" w14:textId="77777777" w:rsidR="00FB745A" w:rsidRPr="00411383" w:rsidRDefault="00FB745A" w:rsidP="00FB745A">
      <w:pPr>
        <w:spacing w:line="360" w:lineRule="auto"/>
        <w:jc w:val="both"/>
        <w:rPr>
          <w:rFonts w:ascii="Times New Roman" w:hAnsi="Times New Roman" w:cs="Times New Roman"/>
          <w:bCs/>
          <w:sz w:val="24"/>
        </w:rPr>
      </w:pPr>
    </w:p>
    <w:p w14:paraId="3BDC7787" w14:textId="6016C439" w:rsidR="00FB745A" w:rsidRPr="00411383" w:rsidRDefault="00FB745A" w:rsidP="00FB745A">
      <w:pPr>
        <w:spacing w:line="360" w:lineRule="auto"/>
        <w:jc w:val="both"/>
        <w:rPr>
          <w:rFonts w:ascii="Times New Roman" w:hAnsi="Times New Roman" w:cs="Times New Roman"/>
          <w:sz w:val="24"/>
        </w:rPr>
      </w:pPr>
      <w:r w:rsidRPr="00411383">
        <w:rPr>
          <w:rFonts w:ascii="Times New Roman" w:hAnsi="Times New Roman" w:cs="Times New Roman"/>
          <w:bCs/>
          <w:sz w:val="24"/>
        </w:rPr>
        <w:t>The term ‘national interest’ must be understood and defined in comparison and contrast with the term ‘public interest’.</w:t>
      </w:r>
      <w:r>
        <w:rPr>
          <w:rFonts w:ascii="Times New Roman" w:hAnsi="Times New Roman" w:cs="Times New Roman"/>
          <w:bCs/>
          <w:sz w:val="24"/>
        </w:rPr>
        <w:t xml:space="preserve"> </w:t>
      </w:r>
      <w:r w:rsidRPr="00B903B6">
        <w:rPr>
          <w:rFonts w:ascii="Times New Roman" w:hAnsi="Times New Roman" w:cs="Times New Roman"/>
          <w:bCs/>
          <w:sz w:val="24"/>
        </w:rPr>
        <w:t xml:space="preserve">In Appleby and Reilly’s analysis, the term ‘public interest’ in the </w:t>
      </w:r>
      <w:r w:rsidRPr="00FE3B29">
        <w:rPr>
          <w:rFonts w:ascii="Times New Roman" w:hAnsi="Times New Roman" w:cs="Times New Roman"/>
          <w:bCs/>
          <w:i/>
          <w:iCs/>
          <w:sz w:val="24"/>
        </w:rPr>
        <w:t>Migration Act</w:t>
      </w:r>
      <w:r w:rsidRPr="00B903B6">
        <w:rPr>
          <w:rFonts w:ascii="Times New Roman" w:hAnsi="Times New Roman" w:cs="Times New Roman"/>
          <w:bCs/>
          <w:sz w:val="24"/>
        </w:rPr>
        <w:t xml:space="preserve"> </w:t>
      </w:r>
      <w:r>
        <w:rPr>
          <w:rFonts w:ascii="Times New Roman" w:hAnsi="Times New Roman" w:cs="Times New Roman"/>
          <w:sz w:val="24"/>
        </w:rPr>
        <w:t>‘</w:t>
      </w:r>
      <w:r w:rsidRPr="00B903B6">
        <w:rPr>
          <w:rFonts w:ascii="Times New Roman" w:hAnsi="Times New Roman" w:cs="Times New Roman"/>
          <w:sz w:val="24"/>
        </w:rPr>
        <w:t>is invoked in circumstances where the Minister is asked to balance the rights of migrants against those of the wider Australian community – rather than being focused on international relations or national security</w:t>
      </w:r>
      <w:r w:rsidRPr="00B903B6">
        <w:rPr>
          <w:rFonts w:ascii="Times New Roman" w:hAnsi="Times New Roman" w:cs="Times New Roman"/>
          <w:bCs/>
          <w:sz w:val="24"/>
        </w:rPr>
        <w:t>.</w:t>
      </w:r>
      <w:r w:rsidRPr="00B903B6">
        <w:rPr>
          <w:rStyle w:val="FootnoteReference"/>
          <w:rFonts w:ascii="Times New Roman" w:hAnsi="Times New Roman" w:cs="Times New Roman"/>
          <w:bCs/>
          <w:sz w:val="24"/>
        </w:rPr>
        <w:footnoteReference w:id="16"/>
      </w:r>
      <w:r w:rsidRPr="00411383">
        <w:rPr>
          <w:rFonts w:ascii="Times New Roman" w:hAnsi="Times New Roman" w:cs="Times New Roman"/>
          <w:bCs/>
          <w:sz w:val="24"/>
        </w:rPr>
        <w:t xml:space="preserve"> The relationship between the two terms was </w:t>
      </w:r>
      <w:r w:rsidRPr="00411383">
        <w:rPr>
          <w:rFonts w:ascii="Times New Roman" w:hAnsi="Times New Roman" w:cs="Times New Roman"/>
          <w:bCs/>
          <w:sz w:val="24"/>
        </w:rPr>
        <w:lastRenderedPageBreak/>
        <w:t xml:space="preserve">considered by Tamberlin J in </w:t>
      </w:r>
      <w:r w:rsidRPr="00411383">
        <w:rPr>
          <w:rFonts w:ascii="Times New Roman" w:hAnsi="Times New Roman" w:cs="Times New Roman"/>
          <w:bCs/>
          <w:i/>
          <w:iCs/>
          <w:sz w:val="24"/>
        </w:rPr>
        <w:t>Wong v Minister for Immigration and Ethnic Affairs</w:t>
      </w:r>
      <w:r w:rsidRPr="00411383">
        <w:rPr>
          <w:rFonts w:ascii="Times New Roman" w:hAnsi="Times New Roman" w:cs="Times New Roman"/>
          <w:bCs/>
          <w:sz w:val="24"/>
        </w:rPr>
        <w:t>.</w:t>
      </w:r>
      <w:r w:rsidRPr="00411383">
        <w:rPr>
          <w:rStyle w:val="FootnoteReference"/>
          <w:rFonts w:ascii="Times New Roman" w:hAnsi="Times New Roman" w:cs="Times New Roman"/>
          <w:bCs/>
          <w:sz w:val="24"/>
        </w:rPr>
        <w:footnoteReference w:id="17"/>
      </w:r>
      <w:r w:rsidRPr="00411383">
        <w:rPr>
          <w:rFonts w:ascii="Times New Roman" w:hAnsi="Times New Roman" w:cs="Times New Roman"/>
          <w:bCs/>
          <w:sz w:val="24"/>
        </w:rPr>
        <w:t xml:space="preserve"> As his Honour observed, the term ‘national’ ‘directs attention to the interests of Australia as a whole as distinct from local or regional interests within Australia’ – in contradistinction to the term ‘public interest’, ‘</w:t>
      </w:r>
      <w:r w:rsidRPr="00411383">
        <w:rPr>
          <w:rFonts w:ascii="Times New Roman" w:hAnsi="Times New Roman" w:cs="Times New Roman"/>
          <w:sz w:val="24"/>
        </w:rPr>
        <w:t>which can embrace, among other matters, local, regional and municipal concerns’.</w:t>
      </w:r>
      <w:r w:rsidRPr="00411383">
        <w:rPr>
          <w:rStyle w:val="FootnoteReference"/>
          <w:rFonts w:ascii="Times New Roman" w:hAnsi="Times New Roman" w:cs="Times New Roman"/>
          <w:sz w:val="24"/>
        </w:rPr>
        <w:footnoteReference w:id="18"/>
      </w:r>
    </w:p>
    <w:p w14:paraId="13E24086" w14:textId="77777777" w:rsidR="00FB745A" w:rsidRPr="00411383" w:rsidRDefault="00FB745A" w:rsidP="00FB745A">
      <w:pPr>
        <w:spacing w:line="360" w:lineRule="auto"/>
        <w:jc w:val="both"/>
        <w:rPr>
          <w:rFonts w:ascii="Times New Roman" w:hAnsi="Times New Roman" w:cs="Times New Roman"/>
          <w:sz w:val="24"/>
        </w:rPr>
      </w:pPr>
    </w:p>
    <w:p w14:paraId="69D21D48" w14:textId="77777777" w:rsidR="00FB745A" w:rsidRPr="00B903B6" w:rsidRDefault="00FB745A" w:rsidP="00FB745A">
      <w:pPr>
        <w:spacing w:line="360" w:lineRule="auto"/>
        <w:jc w:val="both"/>
        <w:rPr>
          <w:rFonts w:ascii="Times New Roman" w:hAnsi="Times New Roman" w:cs="Times New Roman"/>
          <w:sz w:val="24"/>
        </w:rPr>
      </w:pPr>
      <w:r w:rsidRPr="00411383">
        <w:rPr>
          <w:rFonts w:ascii="Times New Roman" w:hAnsi="Times New Roman" w:cs="Times New Roman"/>
          <w:sz w:val="24"/>
        </w:rPr>
        <w:t xml:space="preserve">In </w:t>
      </w:r>
      <w:r w:rsidRPr="00411383">
        <w:rPr>
          <w:rFonts w:ascii="Times New Roman" w:hAnsi="Times New Roman" w:cs="Times New Roman"/>
          <w:i/>
          <w:iCs/>
          <w:sz w:val="24"/>
        </w:rPr>
        <w:t>Wong</w:t>
      </w:r>
      <w:r w:rsidRPr="00411383">
        <w:rPr>
          <w:rFonts w:ascii="Times New Roman" w:hAnsi="Times New Roman" w:cs="Times New Roman"/>
          <w:sz w:val="24"/>
        </w:rPr>
        <w:t>,</w:t>
      </w:r>
      <w:r w:rsidRPr="00411383">
        <w:rPr>
          <w:rFonts w:ascii="Times New Roman" w:hAnsi="Times New Roman" w:cs="Times New Roman"/>
          <w:i/>
          <w:iCs/>
          <w:sz w:val="24"/>
        </w:rPr>
        <w:t xml:space="preserve"> </w:t>
      </w:r>
      <w:r w:rsidRPr="00411383">
        <w:rPr>
          <w:rFonts w:ascii="Times New Roman" w:hAnsi="Times New Roman" w:cs="Times New Roman"/>
          <w:sz w:val="24"/>
        </w:rPr>
        <w:t xml:space="preserve">Tamberlin J </w:t>
      </w:r>
      <w:r w:rsidRPr="00411383">
        <w:rPr>
          <w:rFonts w:ascii="Times New Roman" w:hAnsi="Times New Roman" w:cs="Times New Roman"/>
          <w:bCs/>
          <w:sz w:val="24"/>
        </w:rPr>
        <w:t>observed that the term ‘national’ ‘is often used in contrast to expressions such as local, municipal, state-wide or international as a reference to the interests of the country as a whole’.</w:t>
      </w:r>
      <w:r w:rsidRPr="00411383">
        <w:rPr>
          <w:rStyle w:val="FootnoteReference"/>
          <w:rFonts w:ascii="Times New Roman" w:hAnsi="Times New Roman" w:cs="Times New Roman"/>
          <w:bCs/>
          <w:sz w:val="24"/>
        </w:rPr>
        <w:footnoteReference w:id="19"/>
      </w:r>
      <w:r w:rsidRPr="00411383">
        <w:rPr>
          <w:rFonts w:ascii="Times New Roman" w:hAnsi="Times New Roman" w:cs="Times New Roman"/>
          <w:bCs/>
          <w:sz w:val="24"/>
        </w:rPr>
        <w:t xml:space="preserve"> In particular, reference to the ‘national interest’ ‘can include a consideration of Australia’s position as a nation in relation to other nations’, including perceptions of Australia </w:t>
      </w:r>
      <w:r w:rsidRPr="00B903B6">
        <w:rPr>
          <w:rFonts w:ascii="Times New Roman" w:hAnsi="Times New Roman" w:cs="Times New Roman"/>
          <w:bCs/>
          <w:sz w:val="24"/>
        </w:rPr>
        <w:t>as a member of the international community.</w:t>
      </w:r>
      <w:r w:rsidRPr="00B903B6">
        <w:rPr>
          <w:rStyle w:val="FootnoteReference"/>
          <w:rFonts w:ascii="Times New Roman" w:hAnsi="Times New Roman" w:cs="Times New Roman"/>
          <w:bCs/>
          <w:sz w:val="24"/>
        </w:rPr>
        <w:footnoteReference w:id="20"/>
      </w:r>
      <w:r w:rsidRPr="00B903B6">
        <w:rPr>
          <w:rFonts w:ascii="Times New Roman" w:hAnsi="Times New Roman" w:cs="Times New Roman"/>
          <w:bCs/>
          <w:sz w:val="24"/>
        </w:rPr>
        <w:t xml:space="preserve"> To similar effect, Kenny J observed in </w:t>
      </w:r>
      <w:r w:rsidRPr="00B903B6">
        <w:rPr>
          <w:rFonts w:ascii="Times New Roman" w:hAnsi="Times New Roman" w:cs="Times New Roman"/>
          <w:bCs/>
          <w:i/>
          <w:iCs/>
          <w:sz w:val="24"/>
        </w:rPr>
        <w:t>Applicant M117 of 2007 v Minister for Immigration and Citizenship</w:t>
      </w:r>
      <w:r w:rsidRPr="00B903B6">
        <w:rPr>
          <w:rFonts w:ascii="Times New Roman" w:hAnsi="Times New Roman" w:cs="Times New Roman"/>
          <w:bCs/>
          <w:sz w:val="24"/>
        </w:rPr>
        <w:t xml:space="preserve"> that damage to Australia’s international reputation ‘plainly falls within the ordinary conception of national interest’.</w:t>
      </w:r>
      <w:r w:rsidRPr="00B903B6">
        <w:rPr>
          <w:rStyle w:val="FootnoteReference"/>
          <w:rFonts w:ascii="Times New Roman" w:hAnsi="Times New Roman" w:cs="Times New Roman"/>
          <w:bCs/>
          <w:sz w:val="24"/>
        </w:rPr>
        <w:footnoteReference w:id="21"/>
      </w:r>
      <w:r w:rsidRPr="00B903B6">
        <w:rPr>
          <w:rFonts w:ascii="Times New Roman" w:hAnsi="Times New Roman" w:cs="Times New Roman"/>
          <w:bCs/>
          <w:sz w:val="24"/>
        </w:rPr>
        <w:t xml:space="preserve"> </w:t>
      </w:r>
    </w:p>
    <w:p w14:paraId="3CBA53BC" w14:textId="77777777" w:rsidR="00FB745A" w:rsidRPr="00B903B6" w:rsidRDefault="00FB745A" w:rsidP="00FB745A">
      <w:pPr>
        <w:spacing w:line="360" w:lineRule="auto"/>
        <w:jc w:val="both"/>
        <w:rPr>
          <w:rFonts w:ascii="Times New Roman" w:hAnsi="Times New Roman" w:cs="Times New Roman"/>
          <w:bCs/>
          <w:sz w:val="24"/>
        </w:rPr>
      </w:pPr>
    </w:p>
    <w:p w14:paraId="532B2172" w14:textId="77777777" w:rsidR="00FB745A" w:rsidRPr="00411383" w:rsidRDefault="00FB745A" w:rsidP="00FB745A">
      <w:pPr>
        <w:spacing w:line="360" w:lineRule="auto"/>
        <w:jc w:val="both"/>
        <w:rPr>
          <w:rFonts w:ascii="Times New Roman" w:hAnsi="Times New Roman" w:cs="Times New Roman"/>
          <w:sz w:val="24"/>
        </w:rPr>
      </w:pPr>
      <w:r w:rsidRPr="00411383">
        <w:rPr>
          <w:rFonts w:ascii="Times New Roman" w:hAnsi="Times New Roman" w:cs="Times New Roman"/>
          <w:bCs/>
          <w:sz w:val="24"/>
        </w:rPr>
        <w:t xml:space="preserve">The term ‘national interest’ is one of broad ambit. As Tamberlin J emphasised in </w:t>
      </w:r>
      <w:r w:rsidRPr="00411383">
        <w:rPr>
          <w:rFonts w:ascii="Times New Roman" w:hAnsi="Times New Roman" w:cs="Times New Roman"/>
          <w:bCs/>
          <w:i/>
          <w:iCs/>
          <w:sz w:val="24"/>
        </w:rPr>
        <w:t>Wong</w:t>
      </w:r>
      <w:r w:rsidRPr="00411383">
        <w:rPr>
          <w:rFonts w:ascii="Times New Roman" w:hAnsi="Times New Roman" w:cs="Times New Roman"/>
          <w:bCs/>
          <w:sz w:val="24"/>
        </w:rPr>
        <w:t xml:space="preserve">, ‘[t]he </w:t>
      </w:r>
      <w:r w:rsidRPr="00411383">
        <w:rPr>
          <w:rFonts w:ascii="Times New Roman" w:hAnsi="Times New Roman" w:cs="Times New Roman"/>
          <w:sz w:val="24"/>
        </w:rPr>
        <w:t>primary determination of what is in the national interest is for the Minister and not for the Court’.</w:t>
      </w:r>
      <w:r w:rsidRPr="00411383">
        <w:rPr>
          <w:rStyle w:val="FootnoteReference"/>
          <w:rFonts w:ascii="Times New Roman" w:hAnsi="Times New Roman" w:cs="Times New Roman"/>
          <w:sz w:val="24"/>
        </w:rPr>
        <w:footnoteReference w:id="22"/>
      </w:r>
      <w:r w:rsidRPr="00411383">
        <w:rPr>
          <w:rFonts w:ascii="Times New Roman" w:hAnsi="Times New Roman" w:cs="Times New Roman"/>
          <w:sz w:val="24"/>
        </w:rPr>
        <w:t xml:space="preserve"> The High Court has similarly stated that ‘[w]hat is in the national interest is largely a political question’.</w:t>
      </w:r>
      <w:r w:rsidRPr="00411383">
        <w:rPr>
          <w:rStyle w:val="FootnoteReference"/>
          <w:rFonts w:ascii="Times New Roman" w:hAnsi="Times New Roman" w:cs="Times New Roman"/>
          <w:sz w:val="24"/>
        </w:rPr>
        <w:footnoteReference w:id="23"/>
      </w:r>
      <w:r w:rsidRPr="00411383">
        <w:rPr>
          <w:rFonts w:ascii="Times New Roman" w:hAnsi="Times New Roman" w:cs="Times New Roman"/>
          <w:sz w:val="24"/>
        </w:rPr>
        <w:t xml:space="preserve"> This, in turn, excludes ‘mandatory relevant considerations’ in the </w:t>
      </w:r>
      <w:r w:rsidRPr="00411383">
        <w:rPr>
          <w:rFonts w:ascii="Times New Roman" w:hAnsi="Times New Roman" w:cs="Times New Roman"/>
          <w:i/>
          <w:iCs/>
          <w:sz w:val="24"/>
        </w:rPr>
        <w:t xml:space="preserve">Peko-Wallsend </w:t>
      </w:r>
      <w:r w:rsidRPr="00411383">
        <w:rPr>
          <w:rFonts w:ascii="Times New Roman" w:hAnsi="Times New Roman" w:cs="Times New Roman"/>
          <w:sz w:val="24"/>
        </w:rPr>
        <w:t xml:space="preserve">sense – that is, matters expressly or implicitly required by the relevant statute to be considered prior to the lawful formation of the relevant state of satisfaction. In </w:t>
      </w:r>
      <w:r w:rsidRPr="00411383">
        <w:rPr>
          <w:rFonts w:ascii="Times New Roman" w:hAnsi="Times New Roman" w:cs="Times New Roman"/>
          <w:i/>
          <w:iCs/>
          <w:sz w:val="24"/>
        </w:rPr>
        <w:t>Minister for Immigration and Multicultural and Indigenous Affairs v Huynh</w:t>
      </w:r>
      <w:r w:rsidRPr="00411383">
        <w:rPr>
          <w:rFonts w:ascii="Times New Roman" w:hAnsi="Times New Roman" w:cs="Times New Roman"/>
          <w:sz w:val="24"/>
        </w:rPr>
        <w:t>, Kiefel and Bennett JJ considered Ministerial powers to cancel a visa ‘in the national interest’, observing that:</w:t>
      </w:r>
    </w:p>
    <w:p w14:paraId="38AEFD90" w14:textId="77777777" w:rsidR="00FB745A" w:rsidRPr="00411383" w:rsidRDefault="00FB745A" w:rsidP="00FB745A">
      <w:pPr>
        <w:ind w:left="720"/>
        <w:jc w:val="both"/>
        <w:rPr>
          <w:rFonts w:ascii="Times New Roman" w:hAnsi="Times New Roman" w:cs="Times New Roman"/>
          <w:bCs/>
          <w:i/>
          <w:iCs/>
          <w:sz w:val="24"/>
          <w:u w:val="single"/>
        </w:rPr>
      </w:pPr>
      <w:r w:rsidRPr="00411383">
        <w:rPr>
          <w:rFonts w:ascii="Times New Roman" w:hAnsi="Times New Roman" w:cs="Times New Roman"/>
          <w:sz w:val="24"/>
        </w:rPr>
        <w:t>If the Minister were able, consistent with the object of the Act, to consider a matter as broad as the national interest, in determining whether a person ought to be permitted to remain in Australia, it does not seem possible to imply some obligation on the Minister’s part to consider specific factors, personal to the visa holder, such as the circumstances surrounding the offences they have committed.</w:t>
      </w:r>
      <w:r w:rsidRPr="00411383">
        <w:rPr>
          <w:rStyle w:val="FootnoteReference"/>
          <w:rFonts w:ascii="Times New Roman" w:hAnsi="Times New Roman" w:cs="Times New Roman"/>
          <w:sz w:val="24"/>
        </w:rPr>
        <w:footnoteReference w:id="24"/>
      </w:r>
    </w:p>
    <w:p w14:paraId="2C424D6A" w14:textId="77777777" w:rsidR="00FB745A" w:rsidRPr="00411383" w:rsidRDefault="00FB745A" w:rsidP="00FB745A">
      <w:pPr>
        <w:spacing w:line="360" w:lineRule="auto"/>
        <w:jc w:val="both"/>
        <w:rPr>
          <w:rFonts w:ascii="Times New Roman" w:hAnsi="Times New Roman" w:cs="Times New Roman"/>
          <w:bCs/>
          <w:sz w:val="24"/>
        </w:rPr>
      </w:pPr>
    </w:p>
    <w:p w14:paraId="06A095A8" w14:textId="77777777" w:rsidR="00FB745A" w:rsidRPr="00411383" w:rsidRDefault="00FB745A" w:rsidP="00FB745A">
      <w:pPr>
        <w:spacing w:line="360" w:lineRule="auto"/>
        <w:jc w:val="both"/>
        <w:rPr>
          <w:rFonts w:ascii="Times New Roman" w:hAnsi="Times New Roman" w:cs="Times New Roman"/>
          <w:bCs/>
          <w:sz w:val="24"/>
        </w:rPr>
      </w:pPr>
      <w:r w:rsidRPr="00411383">
        <w:rPr>
          <w:rFonts w:ascii="Times New Roman" w:hAnsi="Times New Roman" w:cs="Times New Roman"/>
          <w:bCs/>
          <w:sz w:val="24"/>
        </w:rPr>
        <w:lastRenderedPageBreak/>
        <w:t xml:space="preserve">In </w:t>
      </w:r>
      <w:r w:rsidRPr="00411383">
        <w:rPr>
          <w:rFonts w:ascii="Times New Roman" w:hAnsi="Times New Roman" w:cs="Times New Roman"/>
          <w:bCs/>
          <w:i/>
          <w:iCs/>
          <w:sz w:val="24"/>
        </w:rPr>
        <w:t>Minister for Immigration and Multicultural and Indigenous Affairs v Nystrom</w:t>
      </w:r>
      <w:r w:rsidRPr="00411383">
        <w:rPr>
          <w:rFonts w:ascii="Times New Roman" w:hAnsi="Times New Roman" w:cs="Times New Roman"/>
          <w:bCs/>
          <w:sz w:val="24"/>
        </w:rPr>
        <w:t xml:space="preserve">, the Minister challenged reasoning by the Full Court that, in deciding to cancel a visa in the ‘national interest’ pursuant to s 501(2) of the </w:t>
      </w:r>
      <w:r w:rsidRPr="00FE3B29">
        <w:rPr>
          <w:rFonts w:ascii="Times New Roman" w:hAnsi="Times New Roman" w:cs="Times New Roman"/>
          <w:bCs/>
          <w:i/>
          <w:iCs/>
          <w:sz w:val="24"/>
        </w:rPr>
        <w:t>Migration Act</w:t>
      </w:r>
      <w:r w:rsidRPr="00411383">
        <w:rPr>
          <w:rFonts w:ascii="Times New Roman" w:hAnsi="Times New Roman" w:cs="Times New Roman"/>
          <w:bCs/>
          <w:sz w:val="24"/>
        </w:rPr>
        <w:t xml:space="preserve">, the Minister was required to take into account the nature of the visa to be cancelled – arguing, in accordance with </w:t>
      </w:r>
      <w:r w:rsidRPr="00411383">
        <w:rPr>
          <w:rFonts w:ascii="Times New Roman" w:hAnsi="Times New Roman" w:cs="Times New Roman"/>
          <w:bCs/>
          <w:i/>
          <w:iCs/>
          <w:sz w:val="24"/>
        </w:rPr>
        <w:t>Huynh</w:t>
      </w:r>
      <w:r w:rsidRPr="00411383">
        <w:rPr>
          <w:rFonts w:ascii="Times New Roman" w:hAnsi="Times New Roman" w:cs="Times New Roman"/>
          <w:bCs/>
          <w:sz w:val="24"/>
        </w:rPr>
        <w:t>, that ‘it is primarily for [the Minister] to determine the factors she regards as relevant to the exercise of the power conferred on her by s 501(2), and that neither the text of s 501(2) nor its scope or purpose require her to take into account the ‘nature’ of the visa to be cancelled’.</w:t>
      </w:r>
      <w:r w:rsidRPr="00411383">
        <w:rPr>
          <w:rStyle w:val="FootnoteReference"/>
          <w:rFonts w:ascii="Times New Roman" w:hAnsi="Times New Roman" w:cs="Times New Roman"/>
          <w:bCs/>
          <w:sz w:val="24"/>
        </w:rPr>
        <w:footnoteReference w:id="25"/>
      </w:r>
      <w:r w:rsidRPr="00411383">
        <w:rPr>
          <w:rFonts w:ascii="Times New Roman" w:hAnsi="Times New Roman" w:cs="Times New Roman"/>
          <w:bCs/>
          <w:sz w:val="24"/>
        </w:rPr>
        <w:t xml:space="preserve"> In allowing the Minister’s appeal, Heydon and Crennan JJ (with whom Gleeson CJ agreed) observed that ‘Parliament has left it to the Minister to decide the matters which are relevant to whether a person who fails the character test should be permitted to remain in Australia’.</w:t>
      </w:r>
      <w:r w:rsidRPr="00411383">
        <w:rPr>
          <w:rStyle w:val="FootnoteReference"/>
          <w:rFonts w:ascii="Times New Roman" w:hAnsi="Times New Roman" w:cs="Times New Roman"/>
          <w:bCs/>
          <w:sz w:val="24"/>
        </w:rPr>
        <w:footnoteReference w:id="26"/>
      </w:r>
      <w:r w:rsidRPr="00411383">
        <w:rPr>
          <w:rFonts w:ascii="Times New Roman" w:hAnsi="Times New Roman" w:cs="Times New Roman"/>
          <w:bCs/>
          <w:sz w:val="24"/>
        </w:rPr>
        <w:t xml:space="preserve"> This may include (but is not limited to) a person’s criminal offending.</w:t>
      </w:r>
      <w:r w:rsidRPr="00411383">
        <w:rPr>
          <w:rStyle w:val="FootnoteReference"/>
          <w:rFonts w:ascii="Times New Roman" w:hAnsi="Times New Roman" w:cs="Times New Roman"/>
          <w:bCs/>
          <w:sz w:val="24"/>
        </w:rPr>
        <w:footnoteReference w:id="27"/>
      </w:r>
    </w:p>
    <w:p w14:paraId="5999FFB5" w14:textId="77777777" w:rsidR="00FB745A" w:rsidRPr="00411383" w:rsidRDefault="00FB745A" w:rsidP="00FB745A">
      <w:pPr>
        <w:spacing w:line="360" w:lineRule="auto"/>
        <w:jc w:val="both"/>
        <w:rPr>
          <w:rFonts w:ascii="Times New Roman" w:hAnsi="Times New Roman" w:cs="Times New Roman"/>
          <w:bCs/>
          <w:sz w:val="24"/>
        </w:rPr>
      </w:pPr>
    </w:p>
    <w:p w14:paraId="03F3AD02" w14:textId="096E1191" w:rsidR="00FB745A" w:rsidRPr="00411383" w:rsidRDefault="00FB745A" w:rsidP="00FB745A">
      <w:pPr>
        <w:spacing w:line="360" w:lineRule="auto"/>
        <w:jc w:val="both"/>
        <w:rPr>
          <w:rFonts w:ascii="Times New Roman" w:hAnsi="Times New Roman" w:cs="Times New Roman"/>
          <w:bCs/>
          <w:sz w:val="24"/>
          <w:u w:val="single"/>
        </w:rPr>
      </w:pPr>
      <w:r w:rsidRPr="00411383">
        <w:rPr>
          <w:rFonts w:ascii="Times New Roman" w:hAnsi="Times New Roman" w:cs="Times New Roman"/>
          <w:bCs/>
          <w:sz w:val="24"/>
        </w:rPr>
        <w:t>But, ‘although broad and evaluative’, the concept of the ‘national interest’ ‘is not unbounded’.</w:t>
      </w:r>
      <w:r w:rsidRPr="00411383">
        <w:rPr>
          <w:rStyle w:val="FootnoteReference"/>
          <w:rFonts w:ascii="Times New Roman" w:hAnsi="Times New Roman" w:cs="Times New Roman"/>
          <w:bCs/>
          <w:sz w:val="24"/>
        </w:rPr>
        <w:footnoteReference w:id="28"/>
      </w:r>
      <w:r w:rsidRPr="00411383">
        <w:rPr>
          <w:rFonts w:ascii="Times New Roman" w:hAnsi="Times New Roman" w:cs="Times New Roman"/>
          <w:bCs/>
          <w:sz w:val="24"/>
        </w:rPr>
        <w:t xml:space="preserve"> In particular, the relevant state of satisfaction must be formed ‘reasonably and on a correct understanding of the law’.</w:t>
      </w:r>
      <w:r w:rsidRPr="00411383">
        <w:rPr>
          <w:rStyle w:val="FootnoteReference"/>
          <w:rFonts w:ascii="Times New Roman" w:hAnsi="Times New Roman" w:cs="Times New Roman"/>
          <w:bCs/>
          <w:sz w:val="24"/>
        </w:rPr>
        <w:footnoteReference w:id="29"/>
      </w:r>
      <w:r w:rsidRPr="00411383">
        <w:rPr>
          <w:rFonts w:ascii="Times New Roman" w:hAnsi="Times New Roman" w:cs="Times New Roman"/>
          <w:bCs/>
          <w:sz w:val="24"/>
        </w:rPr>
        <w:t xml:space="preserve"> It is these restrictions which have given rise to significant legal controversy in recent years in respect of decisions ‘in the national interest’ which would cause Australia to breach its non-</w:t>
      </w:r>
      <w:r w:rsidRPr="00411383">
        <w:rPr>
          <w:rFonts w:ascii="Times New Roman" w:hAnsi="Times New Roman" w:cs="Times New Roman"/>
          <w:bCs/>
          <w:i/>
          <w:iCs/>
          <w:sz w:val="24"/>
        </w:rPr>
        <w:t xml:space="preserve">refoulement </w:t>
      </w:r>
      <w:r w:rsidRPr="00411383">
        <w:rPr>
          <w:rFonts w:ascii="Times New Roman" w:hAnsi="Times New Roman" w:cs="Times New Roman"/>
          <w:bCs/>
          <w:sz w:val="24"/>
        </w:rPr>
        <w:t>obligations</w:t>
      </w:r>
      <w:r>
        <w:rPr>
          <w:rFonts w:ascii="Times New Roman" w:hAnsi="Times New Roman" w:cs="Times New Roman"/>
          <w:bCs/>
          <w:sz w:val="24"/>
        </w:rPr>
        <w:t>, discussed further below</w:t>
      </w:r>
      <w:r w:rsidRPr="00411383">
        <w:rPr>
          <w:rFonts w:ascii="Times New Roman" w:hAnsi="Times New Roman" w:cs="Times New Roman"/>
          <w:bCs/>
          <w:sz w:val="24"/>
        </w:rPr>
        <w:t>.</w:t>
      </w:r>
    </w:p>
    <w:p w14:paraId="1E41C60F" w14:textId="77777777" w:rsidR="00E50DD4" w:rsidRDefault="00E50DD4" w:rsidP="0043423C">
      <w:pPr>
        <w:spacing w:line="360" w:lineRule="auto"/>
        <w:jc w:val="both"/>
        <w:rPr>
          <w:rFonts w:ascii="Times New Roman" w:hAnsi="Times New Roman" w:cs="Times New Roman"/>
          <w:sz w:val="24"/>
        </w:rPr>
      </w:pPr>
    </w:p>
    <w:p w14:paraId="3DD489F9" w14:textId="317B9C2C" w:rsidR="00E50DD4" w:rsidRPr="00BE6C7F" w:rsidRDefault="00E50DD4" w:rsidP="0043423C">
      <w:pPr>
        <w:spacing w:line="360" w:lineRule="auto"/>
        <w:jc w:val="both"/>
        <w:rPr>
          <w:rFonts w:ascii="Times New Roman" w:hAnsi="Times New Roman" w:cs="Times New Roman"/>
          <w:b/>
          <w:bCs/>
          <w:i/>
          <w:iCs/>
          <w:sz w:val="24"/>
        </w:rPr>
      </w:pPr>
      <w:r>
        <w:rPr>
          <w:rFonts w:ascii="Times New Roman" w:hAnsi="Times New Roman" w:cs="Times New Roman"/>
          <w:b/>
          <w:bCs/>
          <w:i/>
          <w:iCs/>
          <w:sz w:val="24"/>
        </w:rPr>
        <w:t>2.</w:t>
      </w:r>
      <w:r w:rsidR="002C425B">
        <w:rPr>
          <w:rFonts w:ascii="Times New Roman" w:hAnsi="Times New Roman" w:cs="Times New Roman"/>
          <w:b/>
          <w:bCs/>
          <w:i/>
          <w:iCs/>
          <w:sz w:val="24"/>
        </w:rPr>
        <w:t>3</w:t>
      </w:r>
      <w:r>
        <w:rPr>
          <w:rFonts w:ascii="Times New Roman" w:hAnsi="Times New Roman" w:cs="Times New Roman"/>
          <w:b/>
          <w:bCs/>
          <w:i/>
          <w:iCs/>
          <w:sz w:val="24"/>
        </w:rPr>
        <w:tab/>
        <w:t>Administrative law, judicial review and the rule of law</w:t>
      </w:r>
    </w:p>
    <w:p w14:paraId="4D859A62" w14:textId="77777777" w:rsidR="004067AC" w:rsidRDefault="004067AC" w:rsidP="0043423C">
      <w:pPr>
        <w:spacing w:line="360" w:lineRule="auto"/>
        <w:jc w:val="both"/>
        <w:rPr>
          <w:rFonts w:ascii="Times New Roman" w:hAnsi="Times New Roman" w:cs="Times New Roman"/>
          <w:sz w:val="24"/>
        </w:rPr>
      </w:pPr>
    </w:p>
    <w:p w14:paraId="73277C97" w14:textId="59D57BA4" w:rsidR="003D491E" w:rsidRPr="00144FC2" w:rsidRDefault="00BC7333" w:rsidP="002634C7">
      <w:pPr>
        <w:spacing w:line="360" w:lineRule="auto"/>
        <w:jc w:val="both"/>
        <w:rPr>
          <w:rFonts w:ascii="Times New Roman" w:hAnsi="Times New Roman" w:cs="Times New Roman"/>
          <w:sz w:val="24"/>
        </w:rPr>
      </w:pPr>
      <w:r>
        <w:rPr>
          <w:rFonts w:ascii="Times New Roman" w:hAnsi="Times New Roman" w:cs="Times New Roman"/>
          <w:sz w:val="24"/>
        </w:rPr>
        <w:t>Judicial review is a central component of the rule of law</w:t>
      </w:r>
      <w:r w:rsidR="00B74670">
        <w:rPr>
          <w:rFonts w:ascii="Times New Roman" w:hAnsi="Times New Roman" w:cs="Times New Roman"/>
          <w:sz w:val="24"/>
        </w:rPr>
        <w:t xml:space="preserve"> – ‘neither more nor less than the enforcement of the rule of law over executive action’.</w:t>
      </w:r>
      <w:r w:rsidR="00B74670" w:rsidRPr="00B74670">
        <w:rPr>
          <w:rFonts w:ascii="Times New Roman" w:hAnsi="Times New Roman" w:cs="Times New Roman"/>
          <w:sz w:val="24"/>
          <w:vertAlign w:val="superscript"/>
        </w:rPr>
        <w:footnoteReference w:id="30"/>
      </w:r>
      <w:r w:rsidR="00B74670">
        <w:rPr>
          <w:rFonts w:ascii="Times New Roman" w:hAnsi="Times New Roman" w:cs="Times New Roman"/>
          <w:sz w:val="24"/>
        </w:rPr>
        <w:t xml:space="preserve"> </w:t>
      </w:r>
      <w:r w:rsidR="00A06741">
        <w:rPr>
          <w:rFonts w:ascii="Times New Roman" w:hAnsi="Times New Roman" w:cs="Times New Roman"/>
          <w:sz w:val="24"/>
        </w:rPr>
        <w:t xml:space="preserve">In particular, the </w:t>
      </w:r>
      <w:r w:rsidR="00FD2A6E">
        <w:rPr>
          <w:rFonts w:ascii="Times New Roman" w:hAnsi="Times New Roman" w:cs="Times New Roman"/>
          <w:sz w:val="24"/>
        </w:rPr>
        <w:t xml:space="preserve">Commonwealth </w:t>
      </w:r>
      <w:r w:rsidR="00A06741">
        <w:rPr>
          <w:rFonts w:ascii="Times New Roman" w:hAnsi="Times New Roman" w:cs="Times New Roman"/>
          <w:sz w:val="24"/>
        </w:rPr>
        <w:t>executive cannot conclusively determine the metes and bounds of its own power or the meaning or effect of the laws which confer power upon it</w:t>
      </w:r>
      <w:r w:rsidR="00FD2A6E">
        <w:rPr>
          <w:rFonts w:ascii="Times New Roman" w:hAnsi="Times New Roman" w:cs="Times New Roman"/>
          <w:sz w:val="24"/>
        </w:rPr>
        <w:t>; that power solely rests with the federal judiciary</w:t>
      </w:r>
      <w:r w:rsidR="00A06741">
        <w:rPr>
          <w:rFonts w:ascii="Times New Roman" w:hAnsi="Times New Roman" w:cs="Times New Roman"/>
          <w:sz w:val="24"/>
        </w:rPr>
        <w:t xml:space="preserve">. </w:t>
      </w:r>
      <w:r w:rsidR="00FD2A6E">
        <w:rPr>
          <w:rFonts w:ascii="Times New Roman" w:hAnsi="Times New Roman" w:cs="Times New Roman"/>
          <w:sz w:val="24"/>
        </w:rPr>
        <w:t>To that end, n</w:t>
      </w:r>
      <w:r w:rsidR="003D491E">
        <w:rPr>
          <w:rFonts w:ascii="Times New Roman" w:hAnsi="Times New Roman" w:cs="Times New Roman"/>
          <w:sz w:val="24"/>
        </w:rPr>
        <w:t xml:space="preserve">otwithstanding </w:t>
      </w:r>
      <w:r w:rsidR="00144FC2">
        <w:rPr>
          <w:rFonts w:ascii="Times New Roman" w:hAnsi="Times New Roman" w:cs="Times New Roman"/>
          <w:sz w:val="24"/>
        </w:rPr>
        <w:t xml:space="preserve">a broad privative clause excluding many forms of decision under the </w:t>
      </w:r>
      <w:r w:rsidR="00144FC2">
        <w:rPr>
          <w:rFonts w:ascii="Times New Roman" w:hAnsi="Times New Roman" w:cs="Times New Roman"/>
          <w:i/>
          <w:iCs/>
          <w:sz w:val="24"/>
        </w:rPr>
        <w:t xml:space="preserve">Migration Act </w:t>
      </w:r>
      <w:r w:rsidR="00144FC2">
        <w:rPr>
          <w:rFonts w:ascii="Times New Roman" w:hAnsi="Times New Roman" w:cs="Times New Roman"/>
          <w:sz w:val="24"/>
        </w:rPr>
        <w:t>from judicial review,</w:t>
      </w:r>
      <w:r w:rsidR="008D0CAF">
        <w:rPr>
          <w:rStyle w:val="FootnoteReference"/>
          <w:rFonts w:ascii="Times New Roman" w:hAnsi="Times New Roman" w:cs="Times New Roman"/>
          <w:sz w:val="24"/>
        </w:rPr>
        <w:footnoteReference w:id="31"/>
      </w:r>
      <w:r w:rsidR="00144FC2">
        <w:rPr>
          <w:rFonts w:ascii="Times New Roman" w:hAnsi="Times New Roman" w:cs="Times New Roman"/>
          <w:sz w:val="24"/>
        </w:rPr>
        <w:t xml:space="preserve"> </w:t>
      </w:r>
      <w:r w:rsidR="008D0CAF">
        <w:rPr>
          <w:rFonts w:ascii="Times New Roman" w:hAnsi="Times New Roman" w:cs="Times New Roman"/>
          <w:sz w:val="24"/>
        </w:rPr>
        <w:t xml:space="preserve">the courts retain constitutional (and associated statutory) jurisdiction to </w:t>
      </w:r>
      <w:r w:rsidR="006C0461">
        <w:rPr>
          <w:rFonts w:ascii="Times New Roman" w:hAnsi="Times New Roman" w:cs="Times New Roman"/>
          <w:sz w:val="24"/>
        </w:rPr>
        <w:t>review</w:t>
      </w:r>
      <w:r w:rsidR="00A84129">
        <w:rPr>
          <w:rFonts w:ascii="Times New Roman" w:hAnsi="Times New Roman" w:cs="Times New Roman"/>
          <w:sz w:val="24"/>
        </w:rPr>
        <w:t xml:space="preserve"> and quash</w:t>
      </w:r>
      <w:r w:rsidR="006C0461">
        <w:rPr>
          <w:rFonts w:ascii="Times New Roman" w:hAnsi="Times New Roman" w:cs="Times New Roman"/>
          <w:sz w:val="24"/>
        </w:rPr>
        <w:t xml:space="preserve"> decisions affected by ‘jurisdictional error’ </w:t>
      </w:r>
      <w:r w:rsidR="006C0461">
        <w:rPr>
          <w:rFonts w:ascii="Times New Roman" w:hAnsi="Times New Roman" w:cs="Times New Roman"/>
          <w:sz w:val="24"/>
        </w:rPr>
        <w:lastRenderedPageBreak/>
        <w:t>– that is, which are not authorised by the statutes to which they purportedly relate, including because they have breached mandatory (express or implied) conditions on the exercise of power.</w:t>
      </w:r>
      <w:r w:rsidR="006C0461">
        <w:rPr>
          <w:rStyle w:val="FootnoteReference"/>
          <w:rFonts w:ascii="Times New Roman" w:hAnsi="Times New Roman" w:cs="Times New Roman"/>
          <w:sz w:val="24"/>
        </w:rPr>
        <w:footnoteReference w:id="32"/>
      </w:r>
      <w:r w:rsidR="006C0461">
        <w:rPr>
          <w:rFonts w:ascii="Times New Roman" w:hAnsi="Times New Roman" w:cs="Times New Roman"/>
          <w:sz w:val="24"/>
        </w:rPr>
        <w:t xml:space="preserve"> </w:t>
      </w:r>
    </w:p>
    <w:p w14:paraId="74FB0AD8" w14:textId="77777777" w:rsidR="003D491E" w:rsidRDefault="003D491E" w:rsidP="002634C7">
      <w:pPr>
        <w:spacing w:line="360" w:lineRule="auto"/>
        <w:jc w:val="both"/>
        <w:rPr>
          <w:rFonts w:ascii="Times New Roman" w:hAnsi="Times New Roman" w:cs="Times New Roman"/>
          <w:sz w:val="24"/>
        </w:rPr>
      </w:pPr>
    </w:p>
    <w:p w14:paraId="7FD05869" w14:textId="53D75DDA" w:rsidR="002634C7" w:rsidRDefault="00B22582" w:rsidP="002634C7">
      <w:pPr>
        <w:spacing w:line="360" w:lineRule="auto"/>
        <w:jc w:val="both"/>
        <w:rPr>
          <w:rFonts w:ascii="Times New Roman" w:hAnsi="Times New Roman" w:cs="Times New Roman"/>
          <w:sz w:val="24"/>
        </w:rPr>
      </w:pPr>
      <w:r>
        <w:rPr>
          <w:rFonts w:ascii="Times New Roman" w:hAnsi="Times New Roman" w:cs="Times New Roman"/>
          <w:sz w:val="24"/>
        </w:rPr>
        <w:t xml:space="preserve">This jurisdiction, however, is limited to </w:t>
      </w:r>
      <w:r w:rsidR="005D73A4">
        <w:rPr>
          <w:rFonts w:ascii="Times New Roman" w:hAnsi="Times New Roman" w:cs="Times New Roman"/>
          <w:sz w:val="24"/>
        </w:rPr>
        <w:t xml:space="preserve">reviewing </w:t>
      </w:r>
      <w:r w:rsidR="00D678B4">
        <w:rPr>
          <w:rFonts w:ascii="Times New Roman" w:hAnsi="Times New Roman" w:cs="Times New Roman"/>
          <w:sz w:val="24"/>
        </w:rPr>
        <w:t xml:space="preserve">errors of law. This creates significant hurdles </w:t>
      </w:r>
      <w:r w:rsidR="000020E4">
        <w:rPr>
          <w:rFonts w:ascii="Times New Roman" w:hAnsi="Times New Roman" w:cs="Times New Roman"/>
          <w:sz w:val="24"/>
        </w:rPr>
        <w:t xml:space="preserve">in </w:t>
      </w:r>
      <w:r w:rsidR="00D678B4">
        <w:rPr>
          <w:rFonts w:ascii="Times New Roman" w:hAnsi="Times New Roman" w:cs="Times New Roman"/>
          <w:sz w:val="24"/>
        </w:rPr>
        <w:t xml:space="preserve">reviewing exercises of </w:t>
      </w:r>
      <w:r w:rsidR="004C513E">
        <w:rPr>
          <w:rFonts w:ascii="Times New Roman" w:hAnsi="Times New Roman" w:cs="Times New Roman"/>
          <w:sz w:val="24"/>
        </w:rPr>
        <w:t xml:space="preserve">broad </w:t>
      </w:r>
      <w:r w:rsidR="002A5AA2">
        <w:rPr>
          <w:rFonts w:ascii="Times New Roman" w:hAnsi="Times New Roman" w:cs="Times New Roman"/>
          <w:sz w:val="24"/>
        </w:rPr>
        <w:t xml:space="preserve">powers conditioned on a state of satisfaction regarding ‘the national interest’. How can courts responsibly review </w:t>
      </w:r>
      <w:r w:rsidR="002634C7">
        <w:rPr>
          <w:rFonts w:ascii="Times New Roman" w:hAnsi="Times New Roman" w:cs="Times New Roman"/>
          <w:sz w:val="24"/>
        </w:rPr>
        <w:t xml:space="preserve">these states of satisfaction, balancing elected officials’ ability to weigh complex matters of policy with their own role in policing the boundaries of power? </w:t>
      </w:r>
    </w:p>
    <w:p w14:paraId="4EFBD8C1" w14:textId="4CFE51BA" w:rsidR="002634C7" w:rsidRDefault="002634C7" w:rsidP="002634C7">
      <w:pPr>
        <w:spacing w:line="360" w:lineRule="auto"/>
        <w:jc w:val="both"/>
        <w:rPr>
          <w:rFonts w:ascii="Times New Roman" w:hAnsi="Times New Roman" w:cs="Times New Roman"/>
          <w:sz w:val="24"/>
        </w:rPr>
      </w:pPr>
    </w:p>
    <w:p w14:paraId="708C9935" w14:textId="3741CEBE" w:rsidR="004C0B2F" w:rsidRDefault="003A51FB" w:rsidP="002634C7">
      <w:pPr>
        <w:spacing w:line="360" w:lineRule="auto"/>
        <w:jc w:val="both"/>
        <w:rPr>
          <w:rFonts w:ascii="Times New Roman" w:hAnsi="Times New Roman" w:cs="Times New Roman"/>
          <w:sz w:val="24"/>
        </w:rPr>
      </w:pPr>
      <w:r>
        <w:rPr>
          <w:rFonts w:ascii="Times New Roman" w:hAnsi="Times New Roman" w:cs="Times New Roman"/>
          <w:sz w:val="24"/>
        </w:rPr>
        <w:t xml:space="preserve">Provisions and powers </w:t>
      </w:r>
      <w:r w:rsidR="002634C7">
        <w:rPr>
          <w:rFonts w:ascii="Times New Roman" w:hAnsi="Times New Roman" w:cs="Times New Roman"/>
          <w:sz w:val="24"/>
        </w:rPr>
        <w:t>re</w:t>
      </w:r>
      <w:r>
        <w:rPr>
          <w:rFonts w:ascii="Times New Roman" w:hAnsi="Times New Roman" w:cs="Times New Roman"/>
          <w:sz w:val="24"/>
        </w:rPr>
        <w:t>garding the ‘national interest’</w:t>
      </w:r>
      <w:r>
        <w:t xml:space="preserve"> </w:t>
      </w:r>
      <w:r w:rsidR="007028C1">
        <w:rPr>
          <w:rFonts w:ascii="Times New Roman" w:hAnsi="Times New Roman" w:cs="Times New Roman"/>
          <w:sz w:val="24"/>
        </w:rPr>
        <w:t xml:space="preserve">typically do not </w:t>
      </w:r>
      <w:r w:rsidR="00355384">
        <w:rPr>
          <w:rFonts w:ascii="Times New Roman" w:hAnsi="Times New Roman" w:cs="Times New Roman"/>
          <w:sz w:val="24"/>
        </w:rPr>
        <w:t>contain</w:t>
      </w:r>
      <w:r w:rsidR="007028C1">
        <w:rPr>
          <w:rFonts w:ascii="Times New Roman" w:hAnsi="Times New Roman" w:cs="Times New Roman"/>
          <w:sz w:val="24"/>
        </w:rPr>
        <w:t xml:space="preserve"> specific criteria</w:t>
      </w:r>
      <w:r w:rsidR="00355384">
        <w:rPr>
          <w:rFonts w:ascii="Times New Roman" w:hAnsi="Times New Roman" w:cs="Times New Roman"/>
          <w:sz w:val="24"/>
        </w:rPr>
        <w:t xml:space="preserve"> for what will constitute the ‘national interest’</w:t>
      </w:r>
      <w:r w:rsidR="007028C1">
        <w:rPr>
          <w:rFonts w:ascii="Times New Roman" w:hAnsi="Times New Roman" w:cs="Times New Roman"/>
          <w:sz w:val="24"/>
        </w:rPr>
        <w:t xml:space="preserve"> (such as relevant or irrelevant considerations).</w:t>
      </w:r>
      <w:r w:rsidR="005F0A12">
        <w:rPr>
          <w:rStyle w:val="FootnoteReference"/>
          <w:rFonts w:ascii="Times New Roman" w:hAnsi="Times New Roman" w:cs="Times New Roman"/>
          <w:sz w:val="24"/>
        </w:rPr>
        <w:footnoteReference w:id="33"/>
      </w:r>
      <w:r w:rsidR="007028C1">
        <w:rPr>
          <w:rFonts w:ascii="Times New Roman" w:hAnsi="Times New Roman" w:cs="Times New Roman"/>
          <w:sz w:val="24"/>
        </w:rPr>
        <w:t xml:space="preserve"> </w:t>
      </w:r>
      <w:r>
        <w:rPr>
          <w:rFonts w:ascii="Times New Roman" w:hAnsi="Times New Roman" w:cs="Times New Roman"/>
          <w:sz w:val="24"/>
        </w:rPr>
        <w:t>This significantly limits the potential role of courts in reviewing decision-makers’ assessments of what is in the ‘national interest’.</w:t>
      </w:r>
      <w:r w:rsidR="00E21022">
        <w:rPr>
          <w:rFonts w:ascii="Times New Roman" w:hAnsi="Times New Roman" w:cs="Times New Roman"/>
          <w:sz w:val="24"/>
        </w:rPr>
        <w:t xml:space="preserve"> </w:t>
      </w:r>
      <w:r w:rsidR="007028C1">
        <w:rPr>
          <w:rFonts w:ascii="Times New Roman" w:hAnsi="Times New Roman" w:cs="Times New Roman"/>
          <w:sz w:val="24"/>
        </w:rPr>
        <w:t>If Parliament explicitly states in legislation that a power is to be exercised according to what the decision-maker considers to be in the ‘national interest’, then</w:t>
      </w:r>
      <w:r w:rsidR="00A43A40">
        <w:rPr>
          <w:rFonts w:ascii="Times New Roman" w:hAnsi="Times New Roman" w:cs="Times New Roman"/>
          <w:sz w:val="24"/>
        </w:rPr>
        <w:t xml:space="preserve"> </w:t>
      </w:r>
      <w:r w:rsidR="007F1148">
        <w:rPr>
          <w:rFonts w:ascii="Times New Roman" w:hAnsi="Times New Roman" w:cs="Times New Roman"/>
          <w:sz w:val="24"/>
        </w:rPr>
        <w:t xml:space="preserve">it may be presumed that Parliament has intended </w:t>
      </w:r>
      <w:r w:rsidR="00A43A40">
        <w:rPr>
          <w:rFonts w:ascii="Times New Roman" w:hAnsi="Times New Roman" w:cs="Times New Roman"/>
          <w:sz w:val="24"/>
        </w:rPr>
        <w:t xml:space="preserve">that this matter </w:t>
      </w:r>
      <w:r w:rsidR="007F1148">
        <w:rPr>
          <w:rFonts w:ascii="Times New Roman" w:hAnsi="Times New Roman" w:cs="Times New Roman"/>
          <w:sz w:val="24"/>
        </w:rPr>
        <w:t xml:space="preserve">is ultimately to be judged according to considerations of politics and policy – matters which are quintessentially those of </w:t>
      </w:r>
      <w:r w:rsidR="00A43A40">
        <w:rPr>
          <w:rFonts w:ascii="Times New Roman" w:hAnsi="Times New Roman" w:cs="Times New Roman"/>
          <w:sz w:val="24"/>
        </w:rPr>
        <w:t>the executive</w:t>
      </w:r>
      <w:r w:rsidR="007F1148">
        <w:rPr>
          <w:rFonts w:ascii="Times New Roman" w:hAnsi="Times New Roman" w:cs="Times New Roman"/>
          <w:sz w:val="24"/>
        </w:rPr>
        <w:t>, not judicial,</w:t>
      </w:r>
      <w:r w:rsidR="00A43A40">
        <w:rPr>
          <w:rFonts w:ascii="Times New Roman" w:hAnsi="Times New Roman" w:cs="Times New Roman"/>
          <w:sz w:val="24"/>
        </w:rPr>
        <w:t xml:space="preserve"> arm of government. </w:t>
      </w:r>
    </w:p>
    <w:p w14:paraId="79BCE28B" w14:textId="77777777" w:rsidR="00912D85" w:rsidRDefault="00912D85" w:rsidP="00EC3A94">
      <w:pPr>
        <w:spacing w:line="360" w:lineRule="auto"/>
        <w:jc w:val="both"/>
        <w:rPr>
          <w:rFonts w:ascii="Times New Roman" w:hAnsi="Times New Roman" w:cs="Times New Roman"/>
          <w:sz w:val="24"/>
        </w:rPr>
      </w:pPr>
    </w:p>
    <w:p w14:paraId="40F0420A" w14:textId="71A6917E" w:rsidR="00EC3A94" w:rsidRPr="00AA449F" w:rsidRDefault="00D2385D" w:rsidP="00EC3A94">
      <w:pPr>
        <w:spacing w:line="360" w:lineRule="auto"/>
        <w:jc w:val="both"/>
        <w:rPr>
          <w:rFonts w:ascii="Times New Roman" w:hAnsi="Times New Roman" w:cs="Times New Roman"/>
          <w:sz w:val="24"/>
        </w:rPr>
      </w:pPr>
      <w:r>
        <w:rPr>
          <w:rFonts w:ascii="Times New Roman" w:hAnsi="Times New Roman" w:cs="Times New Roman"/>
          <w:sz w:val="24"/>
        </w:rPr>
        <w:t xml:space="preserve">These </w:t>
      </w:r>
      <w:r w:rsidR="00A43A40">
        <w:rPr>
          <w:rFonts w:ascii="Times New Roman" w:hAnsi="Times New Roman" w:cs="Times New Roman"/>
          <w:sz w:val="24"/>
        </w:rPr>
        <w:t>tensions are demonstrated by the legislation governing</w:t>
      </w:r>
      <w:r w:rsidR="00EC3A94">
        <w:rPr>
          <w:rFonts w:ascii="Times New Roman" w:hAnsi="Times New Roman" w:cs="Times New Roman"/>
          <w:bCs/>
          <w:sz w:val="24"/>
        </w:rPr>
        <w:t xml:space="preserve"> offshore processing of asylum-seekers</w:t>
      </w:r>
      <w:r w:rsidR="00A43A40">
        <w:rPr>
          <w:rFonts w:ascii="Times New Roman" w:hAnsi="Times New Roman" w:cs="Times New Roman"/>
          <w:bCs/>
          <w:sz w:val="24"/>
        </w:rPr>
        <w:t xml:space="preserve"> </w:t>
      </w:r>
      <w:r w:rsidR="007D7BA0">
        <w:rPr>
          <w:rFonts w:ascii="Times New Roman" w:hAnsi="Times New Roman" w:cs="Times New Roman"/>
          <w:bCs/>
          <w:sz w:val="24"/>
        </w:rPr>
        <w:t>–</w:t>
      </w:r>
      <w:r w:rsidR="00A43A40">
        <w:rPr>
          <w:rFonts w:ascii="Times New Roman" w:hAnsi="Times New Roman" w:cs="Times New Roman"/>
          <w:bCs/>
          <w:sz w:val="24"/>
        </w:rPr>
        <w:t xml:space="preserve"> specifically,</w:t>
      </w:r>
      <w:r w:rsidR="00EC3A94">
        <w:rPr>
          <w:rFonts w:ascii="Times New Roman" w:hAnsi="Times New Roman" w:cs="Times New Roman"/>
          <w:bCs/>
          <w:sz w:val="24"/>
        </w:rPr>
        <w:t xml:space="preserve"> </w:t>
      </w:r>
      <w:r w:rsidR="00EC3A94" w:rsidRPr="00411383">
        <w:rPr>
          <w:rFonts w:ascii="Times New Roman" w:hAnsi="Times New Roman" w:cs="Times New Roman"/>
          <w:bCs/>
          <w:sz w:val="24"/>
        </w:rPr>
        <w:t xml:space="preserve">the designation of a country as a ‘regional processing country’ under </w:t>
      </w:r>
      <w:r w:rsidR="00403264" w:rsidRPr="00411383">
        <w:rPr>
          <w:rFonts w:ascii="Times New Roman" w:hAnsi="Times New Roman" w:cs="Times New Roman"/>
          <w:bCs/>
          <w:sz w:val="24"/>
        </w:rPr>
        <w:t>s</w:t>
      </w:r>
      <w:r w:rsidR="00403264">
        <w:rPr>
          <w:rFonts w:ascii="Times New Roman" w:hAnsi="Times New Roman" w:cs="Times New Roman"/>
          <w:bCs/>
          <w:sz w:val="24"/>
        </w:rPr>
        <w:t> </w:t>
      </w:r>
      <w:r w:rsidR="00EC3A94" w:rsidRPr="00411383">
        <w:rPr>
          <w:rFonts w:ascii="Times New Roman" w:hAnsi="Times New Roman" w:cs="Times New Roman"/>
          <w:bCs/>
          <w:sz w:val="24"/>
        </w:rPr>
        <w:t xml:space="preserve">198AB of the </w:t>
      </w:r>
      <w:r w:rsidR="00EC3A94" w:rsidRPr="00FE3B29">
        <w:rPr>
          <w:rFonts w:ascii="Times New Roman" w:hAnsi="Times New Roman" w:cs="Times New Roman"/>
          <w:bCs/>
          <w:i/>
          <w:iCs/>
          <w:sz w:val="24"/>
        </w:rPr>
        <w:t>Migration Act</w:t>
      </w:r>
      <w:r w:rsidR="00EC3A94" w:rsidRPr="00411383">
        <w:rPr>
          <w:rFonts w:ascii="Times New Roman" w:hAnsi="Times New Roman" w:cs="Times New Roman"/>
          <w:bCs/>
          <w:sz w:val="24"/>
        </w:rPr>
        <w:t>.</w:t>
      </w:r>
      <w:r w:rsidR="00EC3A94">
        <w:rPr>
          <w:rFonts w:ascii="Times New Roman" w:hAnsi="Times New Roman" w:cs="Times New Roman"/>
          <w:bCs/>
          <w:sz w:val="24"/>
        </w:rPr>
        <w:t xml:space="preserve"> </w:t>
      </w:r>
      <w:r w:rsidR="00EC3A94" w:rsidRPr="00411383">
        <w:rPr>
          <w:rFonts w:ascii="Times New Roman" w:hAnsi="Times New Roman" w:cs="Times New Roman"/>
          <w:bCs/>
          <w:sz w:val="24"/>
        </w:rPr>
        <w:t xml:space="preserve"> That designation power</w:t>
      </w:r>
      <w:r w:rsidR="00AC15EA">
        <w:rPr>
          <w:rFonts w:ascii="Times New Roman" w:hAnsi="Times New Roman" w:cs="Times New Roman"/>
          <w:bCs/>
          <w:sz w:val="24"/>
        </w:rPr>
        <w:t>, which is to be exercised by the Minister personally,</w:t>
      </w:r>
      <w:r w:rsidR="00244BDF">
        <w:rPr>
          <w:rStyle w:val="FootnoteReference"/>
          <w:rFonts w:ascii="Times New Roman" w:hAnsi="Times New Roman" w:cs="Times New Roman"/>
          <w:bCs/>
          <w:sz w:val="24"/>
        </w:rPr>
        <w:footnoteReference w:id="34"/>
      </w:r>
      <w:r w:rsidR="00EC3A94" w:rsidRPr="00411383">
        <w:rPr>
          <w:rFonts w:ascii="Times New Roman" w:hAnsi="Times New Roman" w:cs="Times New Roman"/>
          <w:bCs/>
          <w:sz w:val="24"/>
        </w:rPr>
        <w:t xml:space="preserve"> is only conditioned by the requirement that the Minister ‘thinks it is in the national interest to designate the country to be a regional processing country’</w:t>
      </w:r>
      <w:r w:rsidR="007A1EB8">
        <w:rPr>
          <w:rFonts w:ascii="Times New Roman" w:hAnsi="Times New Roman" w:cs="Times New Roman"/>
          <w:bCs/>
          <w:sz w:val="24"/>
        </w:rPr>
        <w:t>.</w:t>
      </w:r>
      <w:r w:rsidR="007A1EB8">
        <w:rPr>
          <w:rStyle w:val="FootnoteReference"/>
          <w:rFonts w:ascii="Times New Roman" w:hAnsi="Times New Roman" w:cs="Times New Roman"/>
          <w:bCs/>
          <w:sz w:val="24"/>
        </w:rPr>
        <w:footnoteReference w:id="35"/>
      </w:r>
      <w:r w:rsidR="00A80E58">
        <w:rPr>
          <w:rFonts w:ascii="Times New Roman" w:hAnsi="Times New Roman" w:cs="Times New Roman"/>
          <w:bCs/>
          <w:sz w:val="24"/>
        </w:rPr>
        <w:t xml:space="preserve"> In considering this provision, the High Court </w:t>
      </w:r>
      <w:r w:rsidR="00A80E58" w:rsidRPr="00A80E58">
        <w:rPr>
          <w:rFonts w:ascii="Times New Roman" w:hAnsi="Times New Roman" w:cs="Times New Roman"/>
          <w:bCs/>
          <w:sz w:val="24"/>
        </w:rPr>
        <w:t>held that ‘[w]hat is in the national interest is largely a political question’</w:t>
      </w:r>
      <w:r w:rsidR="00A80E58">
        <w:rPr>
          <w:rFonts w:ascii="Times New Roman" w:hAnsi="Times New Roman" w:cs="Times New Roman"/>
          <w:bCs/>
          <w:sz w:val="24"/>
        </w:rPr>
        <w:t>.</w:t>
      </w:r>
      <w:r w:rsidR="00A80E58">
        <w:rPr>
          <w:rStyle w:val="FootnoteReference"/>
          <w:rFonts w:ascii="Times New Roman" w:hAnsi="Times New Roman" w:cs="Times New Roman"/>
          <w:bCs/>
          <w:sz w:val="24"/>
        </w:rPr>
        <w:footnoteReference w:id="36"/>
      </w:r>
      <w:r w:rsidR="00AC15EA">
        <w:rPr>
          <w:rFonts w:ascii="Times New Roman" w:hAnsi="Times New Roman" w:cs="Times New Roman"/>
          <w:bCs/>
          <w:sz w:val="24"/>
        </w:rPr>
        <w:t xml:space="preserve"> </w:t>
      </w:r>
      <w:r w:rsidR="006133B4">
        <w:rPr>
          <w:rFonts w:ascii="Times New Roman" w:hAnsi="Times New Roman" w:cs="Times New Roman"/>
          <w:bCs/>
          <w:sz w:val="24"/>
        </w:rPr>
        <w:t xml:space="preserve">This </w:t>
      </w:r>
      <w:r w:rsidR="00A80E58">
        <w:rPr>
          <w:rFonts w:ascii="Times New Roman" w:hAnsi="Times New Roman" w:cs="Times New Roman"/>
          <w:bCs/>
          <w:sz w:val="24"/>
        </w:rPr>
        <w:t xml:space="preserve">illustrates </w:t>
      </w:r>
      <w:r w:rsidR="006133B4" w:rsidRPr="006133B4">
        <w:rPr>
          <w:rFonts w:ascii="Times New Roman" w:hAnsi="Times New Roman" w:cs="Times New Roman"/>
          <w:bCs/>
          <w:sz w:val="24"/>
        </w:rPr>
        <w:t>Parliament</w:t>
      </w:r>
      <w:r w:rsidR="00A80E58">
        <w:rPr>
          <w:rFonts w:ascii="Times New Roman" w:hAnsi="Times New Roman" w:cs="Times New Roman"/>
          <w:bCs/>
          <w:sz w:val="24"/>
        </w:rPr>
        <w:t xml:space="preserve">’s ability </w:t>
      </w:r>
      <w:r w:rsidR="005005E2">
        <w:rPr>
          <w:rFonts w:ascii="Times New Roman" w:hAnsi="Times New Roman" w:cs="Times New Roman"/>
          <w:bCs/>
          <w:sz w:val="24"/>
        </w:rPr>
        <w:t>to</w:t>
      </w:r>
      <w:r w:rsidR="006133B4" w:rsidRPr="006133B4">
        <w:rPr>
          <w:rFonts w:ascii="Times New Roman" w:hAnsi="Times New Roman" w:cs="Times New Roman"/>
          <w:bCs/>
          <w:sz w:val="24"/>
        </w:rPr>
        <w:t xml:space="preserve"> grant wide, discretionary powers </w:t>
      </w:r>
      <w:r w:rsidR="005005E2">
        <w:rPr>
          <w:rFonts w:ascii="Times New Roman" w:hAnsi="Times New Roman" w:cs="Times New Roman"/>
          <w:bCs/>
          <w:sz w:val="24"/>
        </w:rPr>
        <w:t xml:space="preserve">to the </w:t>
      </w:r>
      <w:r w:rsidR="005005E2">
        <w:rPr>
          <w:rFonts w:ascii="Times New Roman" w:hAnsi="Times New Roman" w:cs="Times New Roman"/>
          <w:bCs/>
          <w:sz w:val="24"/>
        </w:rPr>
        <w:lastRenderedPageBreak/>
        <w:t xml:space="preserve">Executive </w:t>
      </w:r>
      <w:r w:rsidR="006133B4" w:rsidRPr="006133B4">
        <w:rPr>
          <w:rFonts w:ascii="Times New Roman" w:hAnsi="Times New Roman" w:cs="Times New Roman"/>
          <w:bCs/>
          <w:sz w:val="24"/>
        </w:rPr>
        <w:t>in a way which significantly limits the ability of courts to effectively limit those powers</w:t>
      </w:r>
      <w:r w:rsidR="006133B4">
        <w:rPr>
          <w:rFonts w:ascii="Times New Roman" w:hAnsi="Times New Roman" w:cs="Times New Roman"/>
          <w:bCs/>
          <w:sz w:val="24"/>
        </w:rPr>
        <w:t xml:space="preserve">. </w:t>
      </w:r>
      <w:r w:rsidR="00EC3A94" w:rsidRPr="00411383">
        <w:rPr>
          <w:rFonts w:ascii="Times New Roman" w:hAnsi="Times New Roman" w:cs="Times New Roman"/>
          <w:bCs/>
          <w:sz w:val="24"/>
        </w:rPr>
        <w:t>As Sangeetha Pillai and Shreeya Smith</w:t>
      </w:r>
      <w:r w:rsidR="00EC3A94">
        <w:rPr>
          <w:rFonts w:ascii="Times New Roman" w:hAnsi="Times New Roman" w:cs="Times New Roman"/>
          <w:sz w:val="24"/>
        </w:rPr>
        <w:t xml:space="preserve"> have </w:t>
      </w:r>
      <w:r w:rsidR="00EC3A94" w:rsidRPr="00411383">
        <w:rPr>
          <w:rFonts w:ascii="Times New Roman" w:hAnsi="Times New Roman" w:cs="Times New Roman"/>
          <w:bCs/>
          <w:sz w:val="24"/>
        </w:rPr>
        <w:t>observed:</w:t>
      </w:r>
    </w:p>
    <w:p w14:paraId="5C225BF0" w14:textId="77777777" w:rsidR="00EC3A94" w:rsidRPr="00411383" w:rsidRDefault="00EC3A94" w:rsidP="00EC3A94">
      <w:pPr>
        <w:pStyle w:val="Quote"/>
      </w:pPr>
      <w:r w:rsidRPr="00411383">
        <w:t>… the adoption of a national interest test as the sole criterion for the exercise of power might be described as statutory code that triggers a restrained judicial approach to reviewing exercises of power by the executive. As a number of commentators have explained, courts have overwhelmingly tended to treat the “national interest” and the “public interest” as matters for political determination. The explicit statement that Parliament considers that “it is a matter for the Minister and Parliament to decide which countries should be designated as regional processing countries” underscores the political nature of the designation.</w:t>
      </w:r>
      <w:r w:rsidRPr="00411383">
        <w:rPr>
          <w:rStyle w:val="FootnoteReference"/>
          <w:bCs/>
        </w:rPr>
        <w:footnoteReference w:id="37"/>
      </w:r>
    </w:p>
    <w:p w14:paraId="0A066F32" w14:textId="2D2DEC04" w:rsidR="00BF695A" w:rsidRPr="00BE6C7F" w:rsidRDefault="00BF695A" w:rsidP="00ED4039">
      <w:pPr>
        <w:spacing w:line="360" w:lineRule="auto"/>
        <w:jc w:val="both"/>
        <w:rPr>
          <w:sz w:val="24"/>
        </w:rPr>
      </w:pPr>
    </w:p>
    <w:p w14:paraId="76C546BD" w14:textId="1E2884F0" w:rsidR="002E7964" w:rsidRPr="00BE6C7F" w:rsidRDefault="002E7964" w:rsidP="00ED4039">
      <w:pPr>
        <w:spacing w:line="360" w:lineRule="auto"/>
        <w:jc w:val="both"/>
        <w:rPr>
          <w:rFonts w:ascii="Times New Roman" w:hAnsi="Times New Roman" w:cs="Times New Roman"/>
          <w:b/>
          <w:bCs/>
          <w:i/>
          <w:iCs/>
          <w:sz w:val="24"/>
        </w:rPr>
      </w:pPr>
      <w:r w:rsidRPr="00BE6C7F">
        <w:rPr>
          <w:rFonts w:ascii="Times New Roman" w:hAnsi="Times New Roman" w:cs="Times New Roman"/>
          <w:b/>
          <w:bCs/>
          <w:i/>
          <w:iCs/>
          <w:sz w:val="24"/>
        </w:rPr>
        <w:t>2.</w:t>
      </w:r>
      <w:r w:rsidR="002C425B">
        <w:rPr>
          <w:rFonts w:ascii="Times New Roman" w:hAnsi="Times New Roman" w:cs="Times New Roman"/>
          <w:b/>
          <w:bCs/>
          <w:i/>
          <w:iCs/>
          <w:sz w:val="24"/>
        </w:rPr>
        <w:t>4</w:t>
      </w:r>
      <w:r w:rsidRPr="00BE6C7F">
        <w:rPr>
          <w:rFonts w:ascii="Times New Roman" w:hAnsi="Times New Roman" w:cs="Times New Roman"/>
          <w:b/>
          <w:bCs/>
          <w:i/>
          <w:iCs/>
          <w:sz w:val="24"/>
        </w:rPr>
        <w:tab/>
        <w:t xml:space="preserve">Judicial review for </w:t>
      </w:r>
      <w:r>
        <w:rPr>
          <w:rFonts w:ascii="Times New Roman" w:hAnsi="Times New Roman" w:cs="Times New Roman"/>
          <w:b/>
          <w:bCs/>
          <w:i/>
          <w:iCs/>
          <w:sz w:val="24"/>
        </w:rPr>
        <w:t>legal unreasonableness</w:t>
      </w:r>
      <w:r w:rsidR="002C425B">
        <w:rPr>
          <w:rFonts w:ascii="Times New Roman" w:hAnsi="Times New Roman" w:cs="Times New Roman"/>
          <w:b/>
          <w:bCs/>
          <w:i/>
          <w:iCs/>
          <w:sz w:val="24"/>
        </w:rPr>
        <w:t xml:space="preserve"> and irrationality</w:t>
      </w:r>
    </w:p>
    <w:p w14:paraId="7CA21FCE" w14:textId="77777777" w:rsidR="002E7964" w:rsidRPr="00BE6C7F" w:rsidRDefault="002E7964" w:rsidP="00ED4039">
      <w:pPr>
        <w:spacing w:line="360" w:lineRule="auto"/>
        <w:jc w:val="both"/>
        <w:rPr>
          <w:sz w:val="24"/>
        </w:rPr>
      </w:pPr>
    </w:p>
    <w:p w14:paraId="277AF3EF" w14:textId="610DC534" w:rsidR="002C6A7B" w:rsidRDefault="0003620C" w:rsidP="00BE6C7F">
      <w:pPr>
        <w:spacing w:line="360" w:lineRule="auto"/>
        <w:jc w:val="both"/>
      </w:pPr>
      <w:r>
        <w:rPr>
          <w:rFonts w:ascii="Times New Roman" w:hAnsi="Times New Roman" w:cs="Times New Roman"/>
          <w:sz w:val="24"/>
        </w:rPr>
        <w:t xml:space="preserve">Many of these cases </w:t>
      </w:r>
      <w:r w:rsidR="00A43A40">
        <w:rPr>
          <w:rFonts w:ascii="Times New Roman" w:hAnsi="Times New Roman" w:cs="Times New Roman"/>
          <w:sz w:val="24"/>
        </w:rPr>
        <w:t xml:space="preserve">discussed in </w:t>
      </w:r>
      <w:r w:rsidR="001342DD">
        <w:rPr>
          <w:rFonts w:ascii="Times New Roman" w:hAnsi="Times New Roman" w:cs="Times New Roman"/>
          <w:sz w:val="24"/>
        </w:rPr>
        <w:t xml:space="preserve">Part 4 of </w:t>
      </w:r>
      <w:r w:rsidR="00A43A40">
        <w:rPr>
          <w:rFonts w:ascii="Times New Roman" w:hAnsi="Times New Roman" w:cs="Times New Roman"/>
          <w:sz w:val="24"/>
        </w:rPr>
        <w:t xml:space="preserve">this </w:t>
      </w:r>
      <w:r w:rsidR="002D6440">
        <w:rPr>
          <w:rFonts w:ascii="Times New Roman" w:hAnsi="Times New Roman" w:cs="Times New Roman"/>
          <w:sz w:val="24"/>
        </w:rPr>
        <w:t xml:space="preserve">article </w:t>
      </w:r>
      <w:r>
        <w:rPr>
          <w:rFonts w:ascii="Times New Roman" w:hAnsi="Times New Roman" w:cs="Times New Roman"/>
          <w:sz w:val="24"/>
        </w:rPr>
        <w:t xml:space="preserve">address </w:t>
      </w:r>
      <w:r w:rsidR="00A43A40">
        <w:rPr>
          <w:rFonts w:ascii="Times New Roman" w:hAnsi="Times New Roman" w:cs="Times New Roman"/>
          <w:sz w:val="24"/>
        </w:rPr>
        <w:t xml:space="preserve">the judicial review ground of unreasonableness. </w:t>
      </w:r>
      <w:r w:rsidR="002C6A7B" w:rsidRPr="002C6A7B">
        <w:rPr>
          <w:rFonts w:ascii="Times New Roman" w:hAnsi="Times New Roman" w:cs="Times New Roman"/>
          <w:sz w:val="24"/>
        </w:rPr>
        <w:t>Chief Justice French, writing extra-judicially, has described reasonableness in the exercise of governmental power as ‘an aspect of the rule of law’</w:t>
      </w:r>
      <w:r w:rsidR="002C6A7B">
        <w:rPr>
          <w:rFonts w:ascii="Times New Roman" w:hAnsi="Times New Roman" w:cs="Times New Roman"/>
          <w:sz w:val="24"/>
        </w:rPr>
        <w:t>.</w:t>
      </w:r>
      <w:r w:rsidR="002C6A7B">
        <w:rPr>
          <w:rStyle w:val="FootnoteReference"/>
          <w:rFonts w:ascii="Times New Roman" w:hAnsi="Times New Roman" w:cs="Times New Roman"/>
          <w:sz w:val="24"/>
        </w:rPr>
        <w:footnoteReference w:id="38"/>
      </w:r>
      <w:r w:rsidR="002C6A7B">
        <w:rPr>
          <w:rFonts w:ascii="Times New Roman" w:hAnsi="Times New Roman" w:cs="Times New Roman"/>
          <w:sz w:val="24"/>
        </w:rPr>
        <w:t xml:space="preserve"> </w:t>
      </w:r>
      <w:r w:rsidR="00023F10" w:rsidRPr="00023F10">
        <w:rPr>
          <w:rFonts w:ascii="Times New Roman" w:hAnsi="Times New Roman" w:cs="Times New Roman"/>
          <w:sz w:val="24"/>
        </w:rPr>
        <w:t>Michael Barker and Alice Nagel</w:t>
      </w:r>
      <w:r w:rsidR="002C6A7B">
        <w:rPr>
          <w:rFonts w:ascii="Times New Roman" w:hAnsi="Times New Roman" w:cs="Times New Roman"/>
          <w:sz w:val="24"/>
        </w:rPr>
        <w:t xml:space="preserve"> have also </w:t>
      </w:r>
      <w:r w:rsidR="00150DE0">
        <w:rPr>
          <w:rFonts w:ascii="Times New Roman" w:hAnsi="Times New Roman" w:cs="Times New Roman"/>
          <w:sz w:val="24"/>
        </w:rPr>
        <w:t>observed</w:t>
      </w:r>
      <w:r w:rsidR="00C1562A">
        <w:rPr>
          <w:rFonts w:ascii="Times New Roman" w:hAnsi="Times New Roman" w:cs="Times New Roman"/>
          <w:sz w:val="24"/>
        </w:rPr>
        <w:t xml:space="preserve"> that ‘[i]t is </w:t>
      </w:r>
      <w:r w:rsidR="00C1562A" w:rsidRPr="00C1562A">
        <w:rPr>
          <w:rFonts w:ascii="Times New Roman" w:hAnsi="Times New Roman" w:cs="Times New Roman"/>
          <w:sz w:val="24"/>
        </w:rPr>
        <w:t>a core component of the rule of law that administrative decisions are made in accordance with the subject matter, scope and purpose of enacting legislation, which includes the requirement of reasonableness</w:t>
      </w:r>
      <w:r w:rsidR="00C1562A">
        <w:rPr>
          <w:rFonts w:ascii="Times New Roman" w:hAnsi="Times New Roman" w:cs="Times New Roman"/>
          <w:sz w:val="24"/>
        </w:rPr>
        <w:t>’.</w:t>
      </w:r>
      <w:r w:rsidR="00C1562A" w:rsidRPr="00C1562A">
        <w:rPr>
          <w:rFonts w:ascii="Times New Roman" w:hAnsi="Times New Roman" w:cs="Times New Roman"/>
          <w:sz w:val="24"/>
          <w:vertAlign w:val="superscript"/>
        </w:rPr>
        <w:footnoteReference w:id="39"/>
      </w:r>
      <w:r w:rsidR="00C1562A" w:rsidDel="00C1562A">
        <w:t xml:space="preserve"> </w:t>
      </w:r>
    </w:p>
    <w:p w14:paraId="3C43CE66" w14:textId="77777777" w:rsidR="002C6A7B" w:rsidRDefault="002C6A7B" w:rsidP="0043423C">
      <w:pPr>
        <w:spacing w:line="360" w:lineRule="auto"/>
        <w:jc w:val="both"/>
        <w:rPr>
          <w:rFonts w:ascii="Times New Roman" w:hAnsi="Times New Roman" w:cs="Times New Roman"/>
          <w:sz w:val="24"/>
        </w:rPr>
      </w:pPr>
    </w:p>
    <w:p w14:paraId="1DC532CB" w14:textId="5809A709" w:rsidR="000F2F7C" w:rsidRDefault="000F2F7C" w:rsidP="004D61E8">
      <w:pPr>
        <w:spacing w:line="360" w:lineRule="auto"/>
        <w:jc w:val="both"/>
        <w:rPr>
          <w:rFonts w:ascii="Times New Roman" w:hAnsi="Times New Roman" w:cs="Times New Roman"/>
          <w:sz w:val="24"/>
        </w:rPr>
      </w:pPr>
      <w:r w:rsidRPr="004D61E8">
        <w:rPr>
          <w:rFonts w:ascii="Times New Roman" w:hAnsi="Times New Roman" w:cs="Times New Roman"/>
          <w:sz w:val="24"/>
        </w:rPr>
        <w:t>Unreasonableness</w:t>
      </w:r>
      <w:r w:rsidR="00150DE0">
        <w:rPr>
          <w:rFonts w:ascii="Times New Roman" w:hAnsi="Times New Roman" w:cs="Times New Roman"/>
          <w:sz w:val="24"/>
        </w:rPr>
        <w:t xml:space="preserve">, </w:t>
      </w:r>
      <w:r w:rsidR="00150DE0" w:rsidRPr="004D61E8">
        <w:rPr>
          <w:rFonts w:ascii="Times New Roman" w:hAnsi="Times New Roman" w:cs="Times New Roman"/>
          <w:sz w:val="24"/>
        </w:rPr>
        <w:t>aptly described by Ariella Gordon as the ‘black sheep’ of judicial review</w:t>
      </w:r>
      <w:r w:rsidR="00150DE0">
        <w:rPr>
          <w:rFonts w:ascii="Times New Roman" w:hAnsi="Times New Roman" w:cs="Times New Roman"/>
          <w:sz w:val="24"/>
        </w:rPr>
        <w:t>,</w:t>
      </w:r>
      <w:r w:rsidR="00150DE0" w:rsidRPr="004D61E8">
        <w:rPr>
          <w:rStyle w:val="FootnoteReference"/>
          <w:rFonts w:ascii="Times New Roman" w:hAnsi="Times New Roman" w:cs="Times New Roman"/>
          <w:sz w:val="24"/>
        </w:rPr>
        <w:footnoteReference w:id="40"/>
      </w:r>
      <w:r w:rsidRPr="004D61E8">
        <w:rPr>
          <w:rFonts w:ascii="Times New Roman" w:hAnsi="Times New Roman" w:cs="Times New Roman"/>
          <w:sz w:val="24"/>
        </w:rPr>
        <w:t xml:space="preserve"> has long been regarded as raising concerns for </w:t>
      </w:r>
      <w:r w:rsidR="002F2C79" w:rsidRPr="004D61E8">
        <w:rPr>
          <w:rFonts w:ascii="Times New Roman" w:hAnsi="Times New Roman" w:cs="Times New Roman"/>
          <w:sz w:val="24"/>
        </w:rPr>
        <w:t>the</w:t>
      </w:r>
      <w:r w:rsidRPr="004D61E8">
        <w:rPr>
          <w:rFonts w:ascii="Times New Roman" w:hAnsi="Times New Roman" w:cs="Times New Roman"/>
          <w:sz w:val="24"/>
        </w:rPr>
        <w:t xml:space="preserve"> separation of powers</w:t>
      </w:r>
      <w:r w:rsidR="00035549" w:rsidRPr="004D61E8">
        <w:rPr>
          <w:rFonts w:ascii="Times New Roman" w:hAnsi="Times New Roman" w:cs="Times New Roman"/>
          <w:sz w:val="24"/>
        </w:rPr>
        <w:t xml:space="preserve">. </w:t>
      </w:r>
      <w:r w:rsidR="00150DE0">
        <w:rPr>
          <w:rFonts w:ascii="Times New Roman" w:hAnsi="Times New Roman" w:cs="Times New Roman"/>
          <w:sz w:val="24"/>
        </w:rPr>
        <w:t xml:space="preserve">It has been alleged </w:t>
      </w:r>
      <w:r w:rsidR="00035549" w:rsidRPr="004D61E8">
        <w:rPr>
          <w:rFonts w:ascii="Times New Roman" w:hAnsi="Times New Roman" w:cs="Times New Roman"/>
          <w:sz w:val="24"/>
        </w:rPr>
        <w:t xml:space="preserve">that the unreasonableness ground allows courts to trespass onto the merits of the executive decision, thereby challenging </w:t>
      </w:r>
      <w:r w:rsidRPr="004D61E8">
        <w:rPr>
          <w:rFonts w:ascii="Times New Roman" w:hAnsi="Times New Roman" w:cs="Times New Roman"/>
          <w:sz w:val="24"/>
        </w:rPr>
        <w:t xml:space="preserve">the </w:t>
      </w:r>
      <w:r w:rsidR="002F2C79" w:rsidRPr="004D61E8">
        <w:rPr>
          <w:rFonts w:ascii="Times New Roman" w:hAnsi="Times New Roman" w:cs="Times New Roman"/>
          <w:sz w:val="24"/>
        </w:rPr>
        <w:t>distinction between merits and legality review</w:t>
      </w:r>
      <w:r w:rsidRPr="004D61E8">
        <w:rPr>
          <w:rFonts w:ascii="Times New Roman" w:hAnsi="Times New Roman" w:cs="Times New Roman"/>
          <w:sz w:val="24"/>
        </w:rPr>
        <w:t xml:space="preserve"> in Australian administrative law.</w:t>
      </w:r>
      <w:r w:rsidRPr="004D61E8">
        <w:rPr>
          <w:rStyle w:val="FootnoteReference"/>
          <w:rFonts w:ascii="Times New Roman" w:hAnsi="Times New Roman" w:cs="Times New Roman"/>
          <w:sz w:val="24"/>
        </w:rPr>
        <w:footnoteReference w:id="41"/>
      </w:r>
      <w:r w:rsidRPr="004D61E8">
        <w:rPr>
          <w:rFonts w:ascii="Times New Roman" w:hAnsi="Times New Roman" w:cs="Times New Roman"/>
          <w:sz w:val="24"/>
        </w:rPr>
        <w:t xml:space="preserve"> </w:t>
      </w:r>
      <w:r w:rsidR="00150DE0">
        <w:rPr>
          <w:rFonts w:ascii="Times New Roman" w:hAnsi="Times New Roman" w:cs="Times New Roman"/>
          <w:sz w:val="24"/>
        </w:rPr>
        <w:t xml:space="preserve">This is not invariably the case. </w:t>
      </w:r>
      <w:r w:rsidRPr="004D61E8">
        <w:rPr>
          <w:rFonts w:ascii="Times New Roman" w:hAnsi="Times New Roman" w:cs="Times New Roman"/>
          <w:sz w:val="24"/>
        </w:rPr>
        <w:t xml:space="preserve">As Hayne, Kiefel and Bell </w:t>
      </w:r>
      <w:r w:rsidR="00150DE0">
        <w:rPr>
          <w:rFonts w:ascii="Times New Roman" w:hAnsi="Times New Roman" w:cs="Times New Roman"/>
          <w:sz w:val="24"/>
        </w:rPr>
        <w:t xml:space="preserve">JJ </w:t>
      </w:r>
      <w:r w:rsidRPr="004D61E8">
        <w:rPr>
          <w:rFonts w:ascii="Times New Roman" w:hAnsi="Times New Roman" w:cs="Times New Roman"/>
          <w:sz w:val="24"/>
        </w:rPr>
        <w:t xml:space="preserve">noted in </w:t>
      </w:r>
      <w:r w:rsidRPr="004D61E8">
        <w:rPr>
          <w:rFonts w:ascii="Times New Roman" w:hAnsi="Times New Roman" w:cs="Times New Roman"/>
          <w:i/>
          <w:iCs/>
          <w:sz w:val="24"/>
        </w:rPr>
        <w:t xml:space="preserve">Minister for Immigration </w:t>
      </w:r>
      <w:r w:rsidR="00BE667E">
        <w:rPr>
          <w:rFonts w:ascii="Times New Roman" w:hAnsi="Times New Roman" w:cs="Times New Roman"/>
          <w:i/>
          <w:iCs/>
          <w:sz w:val="24"/>
        </w:rPr>
        <w:t xml:space="preserve">and Citizenship </w:t>
      </w:r>
      <w:r w:rsidRPr="004D61E8">
        <w:rPr>
          <w:rFonts w:ascii="Times New Roman" w:hAnsi="Times New Roman" w:cs="Times New Roman"/>
          <w:i/>
          <w:iCs/>
          <w:sz w:val="24"/>
        </w:rPr>
        <w:t>v Li</w:t>
      </w:r>
      <w:r w:rsidR="004D61E8" w:rsidRPr="004D61E8">
        <w:rPr>
          <w:rFonts w:ascii="Times New Roman" w:hAnsi="Times New Roman" w:cs="Times New Roman"/>
          <w:sz w:val="24"/>
        </w:rPr>
        <w:t>, ‘</w:t>
      </w:r>
      <w:r w:rsidR="00401FD8">
        <w:rPr>
          <w:rFonts w:ascii="Times New Roman" w:hAnsi="Times New Roman" w:cs="Times New Roman"/>
          <w:sz w:val="24"/>
        </w:rPr>
        <w:t>[</w:t>
      </w:r>
      <w:r w:rsidR="004D61E8" w:rsidRPr="004D61E8">
        <w:rPr>
          <w:rFonts w:ascii="Times New Roman" w:hAnsi="Times New Roman" w:cs="Times New Roman"/>
          <w:sz w:val="24"/>
        </w:rPr>
        <w:t>p</w:t>
      </w:r>
      <w:r w:rsidR="00401FD8">
        <w:rPr>
          <w:rFonts w:ascii="Times New Roman" w:hAnsi="Times New Roman" w:cs="Times New Roman"/>
          <w:sz w:val="24"/>
        </w:rPr>
        <w:t>]</w:t>
      </w:r>
      <w:r w:rsidR="00BA4414" w:rsidRPr="004D61E8">
        <w:rPr>
          <w:rFonts w:ascii="Times New Roman" w:hAnsi="Times New Roman" w:cs="Times New Roman"/>
          <w:sz w:val="24"/>
        </w:rPr>
        <w:t>roperly applied, a standard of legal reasonableness does not involve substituting a court's view as to how a discretion should be exercised for that of a decision-maker</w:t>
      </w:r>
      <w:r w:rsidR="004D61E8" w:rsidRPr="004D61E8">
        <w:rPr>
          <w:rFonts w:ascii="Times New Roman" w:hAnsi="Times New Roman" w:cs="Times New Roman"/>
          <w:sz w:val="24"/>
        </w:rPr>
        <w:t>’</w:t>
      </w:r>
      <w:r w:rsidR="00BA4414" w:rsidRPr="004D61E8">
        <w:rPr>
          <w:rFonts w:ascii="Times New Roman" w:hAnsi="Times New Roman" w:cs="Times New Roman"/>
          <w:sz w:val="24"/>
        </w:rPr>
        <w:t>.</w:t>
      </w:r>
      <w:r w:rsidRPr="004D61E8">
        <w:rPr>
          <w:rStyle w:val="FootnoteReference"/>
          <w:rFonts w:ascii="Times New Roman" w:hAnsi="Times New Roman" w:cs="Times New Roman"/>
          <w:sz w:val="24"/>
        </w:rPr>
        <w:footnoteReference w:id="42"/>
      </w:r>
      <w:r w:rsidR="00833C29">
        <w:rPr>
          <w:rFonts w:ascii="Times New Roman" w:hAnsi="Times New Roman" w:cs="Times New Roman"/>
          <w:sz w:val="24"/>
        </w:rPr>
        <w:t xml:space="preserve"> Instead, review for unreasonableness is properly </w:t>
      </w:r>
      <w:r w:rsidR="00833C29">
        <w:rPr>
          <w:rFonts w:ascii="Times New Roman" w:hAnsi="Times New Roman" w:cs="Times New Roman"/>
          <w:sz w:val="24"/>
        </w:rPr>
        <w:lastRenderedPageBreak/>
        <w:t xml:space="preserve">understood as an exercise in </w:t>
      </w:r>
      <w:r w:rsidR="000F4702">
        <w:rPr>
          <w:rFonts w:ascii="Times New Roman" w:hAnsi="Times New Roman" w:cs="Times New Roman"/>
          <w:sz w:val="24"/>
        </w:rPr>
        <w:t>statutory interpretation, deriving what is ‘reasonable’ from the text and context of the statute conferring the power under which the decision-maker has purportedly acted.</w:t>
      </w:r>
      <w:r w:rsidR="000F4702">
        <w:rPr>
          <w:rStyle w:val="FootnoteReference"/>
          <w:rFonts w:ascii="Times New Roman" w:hAnsi="Times New Roman" w:cs="Times New Roman"/>
          <w:sz w:val="24"/>
        </w:rPr>
        <w:footnoteReference w:id="43"/>
      </w:r>
      <w:r w:rsidR="004D61E8">
        <w:rPr>
          <w:rFonts w:ascii="Times New Roman" w:hAnsi="Times New Roman" w:cs="Times New Roman"/>
          <w:sz w:val="24"/>
        </w:rPr>
        <w:t xml:space="preserve"> </w:t>
      </w:r>
      <w:r w:rsidR="00833C29">
        <w:rPr>
          <w:rFonts w:ascii="Times New Roman" w:hAnsi="Times New Roman" w:cs="Times New Roman"/>
          <w:sz w:val="24"/>
        </w:rPr>
        <w:t xml:space="preserve">Nonetheless, it is difficult to be categorical about what review for unreasonableness will permit or prohibit in broad or abstract terms; </w:t>
      </w:r>
      <w:r w:rsidR="004D61E8">
        <w:rPr>
          <w:rFonts w:ascii="Times New Roman" w:hAnsi="Times New Roman" w:cs="Times New Roman"/>
          <w:sz w:val="24"/>
        </w:rPr>
        <w:t xml:space="preserve">the precise contours of unreasonableness </w:t>
      </w:r>
      <w:r w:rsidR="002303C4">
        <w:rPr>
          <w:rFonts w:ascii="Times New Roman" w:hAnsi="Times New Roman" w:cs="Times New Roman"/>
          <w:sz w:val="24"/>
        </w:rPr>
        <w:t>are contingent on the circumstances of individual cases</w:t>
      </w:r>
      <w:r w:rsidR="002303C4">
        <w:rPr>
          <w:rStyle w:val="FootnoteReference"/>
          <w:rFonts w:ascii="Times New Roman" w:hAnsi="Times New Roman" w:cs="Times New Roman"/>
          <w:sz w:val="24"/>
        </w:rPr>
        <w:footnoteReference w:id="44"/>
      </w:r>
      <w:r w:rsidR="002303C4">
        <w:rPr>
          <w:rFonts w:ascii="Times New Roman" w:hAnsi="Times New Roman" w:cs="Times New Roman"/>
          <w:sz w:val="24"/>
        </w:rPr>
        <w:t xml:space="preserve"> and may hence be contested or uncertain</w:t>
      </w:r>
      <w:r w:rsidR="004D61E8">
        <w:rPr>
          <w:rFonts w:ascii="Times New Roman" w:hAnsi="Times New Roman" w:cs="Times New Roman"/>
          <w:sz w:val="24"/>
        </w:rPr>
        <w:t>.</w:t>
      </w:r>
    </w:p>
    <w:p w14:paraId="09A765CD" w14:textId="77777777" w:rsidR="00DC7C9D" w:rsidRDefault="00DC7C9D" w:rsidP="004D61E8">
      <w:pPr>
        <w:spacing w:line="360" w:lineRule="auto"/>
        <w:jc w:val="both"/>
        <w:rPr>
          <w:rFonts w:ascii="Times New Roman" w:hAnsi="Times New Roman" w:cs="Times New Roman"/>
          <w:sz w:val="24"/>
        </w:rPr>
      </w:pPr>
    </w:p>
    <w:p w14:paraId="08A64250" w14:textId="6853338E" w:rsidR="008E127D" w:rsidRDefault="00DC7C9D" w:rsidP="00DC7C9D">
      <w:pPr>
        <w:spacing w:line="360" w:lineRule="auto"/>
        <w:jc w:val="both"/>
        <w:rPr>
          <w:rFonts w:ascii="Times New Roman" w:hAnsi="Times New Roman" w:cs="Times New Roman"/>
          <w:sz w:val="24"/>
        </w:rPr>
      </w:pPr>
      <w:r>
        <w:rPr>
          <w:rFonts w:ascii="Times New Roman" w:hAnsi="Times New Roman" w:cs="Times New Roman"/>
          <w:sz w:val="24"/>
        </w:rPr>
        <w:t>The relationship between the ground of ‘unreasonableness’ and the ground of ‘irrationality or illogicality’,</w:t>
      </w:r>
      <w:r w:rsidR="005D51D3">
        <w:rPr>
          <w:rStyle w:val="FootnoteReference"/>
          <w:rFonts w:ascii="Times New Roman" w:hAnsi="Times New Roman" w:cs="Times New Roman"/>
          <w:sz w:val="24"/>
        </w:rPr>
        <w:footnoteReference w:id="45"/>
      </w:r>
      <w:r>
        <w:rPr>
          <w:rFonts w:ascii="Times New Roman" w:hAnsi="Times New Roman" w:cs="Times New Roman"/>
          <w:sz w:val="24"/>
        </w:rPr>
        <w:t xml:space="preserve"> and whether there is a meaningful difference between them, is unclear and disputed.</w:t>
      </w:r>
      <w:r w:rsidR="00557E89">
        <w:rPr>
          <w:rFonts w:ascii="Times New Roman" w:hAnsi="Times New Roman" w:cs="Times New Roman"/>
          <w:sz w:val="24"/>
        </w:rPr>
        <w:t xml:space="preserve"> A decision may </w:t>
      </w:r>
      <w:r w:rsidR="009F2212">
        <w:rPr>
          <w:rFonts w:ascii="Times New Roman" w:hAnsi="Times New Roman" w:cs="Times New Roman"/>
          <w:sz w:val="24"/>
        </w:rPr>
        <w:t>be ‘illogical or irrational’ where the state of satisfaction reached by the decision-maker ‘is one at which no rational logical decision maker could arrive on the same evidence’</w:t>
      </w:r>
      <w:r w:rsidR="003C5961">
        <w:rPr>
          <w:rFonts w:ascii="Times New Roman" w:hAnsi="Times New Roman" w:cs="Times New Roman"/>
          <w:sz w:val="24"/>
        </w:rPr>
        <w:t xml:space="preserve"> or where ‘there is no logical connection between the evidence and the inferences or conclusions drawn’</w:t>
      </w:r>
      <w:r w:rsidR="009F2212">
        <w:rPr>
          <w:rFonts w:ascii="Times New Roman" w:hAnsi="Times New Roman" w:cs="Times New Roman"/>
          <w:sz w:val="24"/>
        </w:rPr>
        <w:t xml:space="preserve">, </w:t>
      </w:r>
      <w:r w:rsidR="00C21F9B">
        <w:rPr>
          <w:rFonts w:ascii="Times New Roman" w:hAnsi="Times New Roman" w:cs="Times New Roman"/>
          <w:sz w:val="24"/>
        </w:rPr>
        <w:t>having regard to ‘whether it was open to the [decision maker] to engage in the process of reasoning in which it did engage and to make the findings it did make on the material before it’.</w:t>
      </w:r>
      <w:r w:rsidR="00C21F9B">
        <w:rPr>
          <w:rStyle w:val="FootnoteReference"/>
          <w:rFonts w:ascii="Times New Roman" w:hAnsi="Times New Roman" w:cs="Times New Roman"/>
          <w:sz w:val="24"/>
        </w:rPr>
        <w:footnoteReference w:id="46"/>
      </w:r>
      <w:r w:rsidR="00CD0DF5">
        <w:rPr>
          <w:rFonts w:ascii="Times New Roman" w:hAnsi="Times New Roman" w:cs="Times New Roman"/>
          <w:sz w:val="24"/>
        </w:rPr>
        <w:t xml:space="preserve"> This may include review of </w:t>
      </w:r>
      <w:r w:rsidR="00F93D57">
        <w:rPr>
          <w:rFonts w:ascii="Times New Roman" w:hAnsi="Times New Roman" w:cs="Times New Roman"/>
          <w:sz w:val="24"/>
        </w:rPr>
        <w:t xml:space="preserve">‘intermediate’ factual </w:t>
      </w:r>
      <w:r w:rsidR="00CD0DF5">
        <w:rPr>
          <w:rFonts w:ascii="Times New Roman" w:hAnsi="Times New Roman" w:cs="Times New Roman"/>
          <w:sz w:val="24"/>
        </w:rPr>
        <w:t xml:space="preserve">findings made by a decision maker </w:t>
      </w:r>
      <w:r w:rsidR="00F93D57">
        <w:rPr>
          <w:rFonts w:ascii="Times New Roman" w:hAnsi="Times New Roman" w:cs="Times New Roman"/>
          <w:sz w:val="24"/>
        </w:rPr>
        <w:t>as part of, and which were material to, their process of reaching a final state of satisfaction, rather than necessarily the final state of satisfaction itself.</w:t>
      </w:r>
      <w:r w:rsidR="00F93D57">
        <w:rPr>
          <w:rStyle w:val="FootnoteReference"/>
          <w:rFonts w:ascii="Times New Roman" w:hAnsi="Times New Roman" w:cs="Times New Roman"/>
          <w:sz w:val="24"/>
        </w:rPr>
        <w:footnoteReference w:id="47"/>
      </w:r>
      <w:r w:rsidR="005F31D0">
        <w:rPr>
          <w:rFonts w:ascii="Times New Roman" w:hAnsi="Times New Roman" w:cs="Times New Roman"/>
          <w:sz w:val="24"/>
        </w:rPr>
        <w:t xml:space="preserve"> There is an obvious overlap between this form of error and unreasonableness.</w:t>
      </w:r>
      <w:r w:rsidR="005D51D3">
        <w:rPr>
          <w:rFonts w:ascii="Times New Roman" w:hAnsi="Times New Roman" w:cs="Times New Roman"/>
          <w:sz w:val="24"/>
        </w:rPr>
        <w:t xml:space="preserve"> In </w:t>
      </w:r>
      <w:r w:rsidR="005D51D3">
        <w:rPr>
          <w:rFonts w:ascii="Times New Roman" w:hAnsi="Times New Roman" w:cs="Times New Roman"/>
          <w:i/>
          <w:iCs/>
          <w:sz w:val="24"/>
        </w:rPr>
        <w:t>BFH16</w:t>
      </w:r>
      <w:r w:rsidR="008E127D">
        <w:rPr>
          <w:rFonts w:ascii="Times New Roman" w:hAnsi="Times New Roman" w:cs="Times New Roman"/>
          <w:i/>
          <w:iCs/>
          <w:sz w:val="24"/>
        </w:rPr>
        <w:t xml:space="preserve"> v Minister for Immigration and Border Protection</w:t>
      </w:r>
      <w:r w:rsidR="005D51D3">
        <w:rPr>
          <w:rFonts w:ascii="Times New Roman" w:hAnsi="Times New Roman" w:cs="Times New Roman"/>
          <w:sz w:val="24"/>
        </w:rPr>
        <w:t xml:space="preserve">, </w:t>
      </w:r>
      <w:r w:rsidR="00C45D49">
        <w:rPr>
          <w:rFonts w:ascii="Times New Roman" w:hAnsi="Times New Roman" w:cs="Times New Roman"/>
          <w:sz w:val="24"/>
        </w:rPr>
        <w:t xml:space="preserve">Murphy and O’Bryan JJ </w:t>
      </w:r>
      <w:r w:rsidR="005D51D3">
        <w:rPr>
          <w:rFonts w:ascii="Times New Roman" w:hAnsi="Times New Roman" w:cs="Times New Roman"/>
          <w:sz w:val="24"/>
        </w:rPr>
        <w:t>considered a submission that ‘unreasonableness’ is confined to the exercise of statutory discretions, whereas ‘irrationality’ and ‘illogicality’</w:t>
      </w:r>
      <w:r w:rsidR="00C45D49">
        <w:rPr>
          <w:rFonts w:ascii="Times New Roman" w:hAnsi="Times New Roman" w:cs="Times New Roman"/>
          <w:sz w:val="24"/>
        </w:rPr>
        <w:t xml:space="preserve"> arise in respect of errors in forming a state of satisfaction; in rejecting this submission, the Court </w:t>
      </w:r>
      <w:r w:rsidR="005404B2">
        <w:rPr>
          <w:rFonts w:ascii="Times New Roman" w:hAnsi="Times New Roman" w:cs="Times New Roman"/>
          <w:sz w:val="24"/>
        </w:rPr>
        <w:t>cautioned against ‘the adoption of rigid categories and formulae in the explication of principles of jurisdictional error’, and noted that in judicial review ‘the language of acting reasonably and rationally are often used collectively or interchangeably’.</w:t>
      </w:r>
      <w:r w:rsidR="005404B2">
        <w:rPr>
          <w:rStyle w:val="FootnoteReference"/>
          <w:rFonts w:ascii="Times New Roman" w:hAnsi="Times New Roman" w:cs="Times New Roman"/>
          <w:sz w:val="24"/>
        </w:rPr>
        <w:footnoteReference w:id="48"/>
      </w:r>
      <w:r w:rsidR="00900367">
        <w:rPr>
          <w:rFonts w:ascii="Times New Roman" w:hAnsi="Times New Roman" w:cs="Times New Roman"/>
          <w:sz w:val="24"/>
        </w:rPr>
        <w:t xml:space="preserve"> </w:t>
      </w:r>
    </w:p>
    <w:p w14:paraId="6279F519" w14:textId="77777777" w:rsidR="008E127D" w:rsidRDefault="008E127D" w:rsidP="00DC7C9D">
      <w:pPr>
        <w:spacing w:line="360" w:lineRule="auto"/>
        <w:jc w:val="both"/>
        <w:rPr>
          <w:rFonts w:ascii="Times New Roman" w:hAnsi="Times New Roman" w:cs="Times New Roman"/>
          <w:sz w:val="24"/>
        </w:rPr>
      </w:pPr>
    </w:p>
    <w:p w14:paraId="64DF2A4D" w14:textId="094B9CB8" w:rsidR="00DC7C9D" w:rsidRPr="005D51D3" w:rsidRDefault="000E5800" w:rsidP="00DC7C9D">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The </w:t>
      </w:r>
      <w:r w:rsidR="005935DF">
        <w:rPr>
          <w:rFonts w:ascii="Times New Roman" w:hAnsi="Times New Roman" w:cs="Times New Roman"/>
          <w:sz w:val="24"/>
        </w:rPr>
        <w:t xml:space="preserve">overlap and </w:t>
      </w:r>
      <w:r>
        <w:rPr>
          <w:rFonts w:ascii="Times New Roman" w:hAnsi="Times New Roman" w:cs="Times New Roman"/>
          <w:sz w:val="24"/>
        </w:rPr>
        <w:t>distinction between the</w:t>
      </w:r>
      <w:r w:rsidR="005935DF">
        <w:rPr>
          <w:rFonts w:ascii="Times New Roman" w:hAnsi="Times New Roman" w:cs="Times New Roman"/>
          <w:sz w:val="24"/>
        </w:rPr>
        <w:t>se</w:t>
      </w:r>
      <w:r>
        <w:rPr>
          <w:rFonts w:ascii="Times New Roman" w:hAnsi="Times New Roman" w:cs="Times New Roman"/>
          <w:sz w:val="24"/>
        </w:rPr>
        <w:t xml:space="preserve"> grounds is </w:t>
      </w:r>
      <w:r w:rsidR="005935DF">
        <w:rPr>
          <w:rFonts w:ascii="Times New Roman" w:hAnsi="Times New Roman" w:cs="Times New Roman"/>
          <w:sz w:val="24"/>
        </w:rPr>
        <w:t xml:space="preserve">interesting, but is </w:t>
      </w:r>
      <w:r>
        <w:rPr>
          <w:rFonts w:ascii="Times New Roman" w:hAnsi="Times New Roman" w:cs="Times New Roman"/>
          <w:sz w:val="24"/>
        </w:rPr>
        <w:t xml:space="preserve">not the focus of this article. </w:t>
      </w:r>
      <w:r w:rsidR="00900367">
        <w:rPr>
          <w:rFonts w:ascii="Times New Roman" w:hAnsi="Times New Roman" w:cs="Times New Roman"/>
          <w:sz w:val="24"/>
        </w:rPr>
        <w:t xml:space="preserve">For present purposes, </w:t>
      </w:r>
      <w:r w:rsidR="00184F8F">
        <w:rPr>
          <w:rFonts w:ascii="Times New Roman" w:hAnsi="Times New Roman" w:cs="Times New Roman"/>
          <w:sz w:val="24"/>
        </w:rPr>
        <w:t xml:space="preserve">both </w:t>
      </w:r>
      <w:r w:rsidR="00900367">
        <w:rPr>
          <w:rFonts w:ascii="Times New Roman" w:hAnsi="Times New Roman" w:cs="Times New Roman"/>
          <w:sz w:val="24"/>
        </w:rPr>
        <w:t>of these grounds raise equivalent issues</w:t>
      </w:r>
      <w:r w:rsidR="008E127D">
        <w:rPr>
          <w:rFonts w:ascii="Times New Roman" w:hAnsi="Times New Roman" w:cs="Times New Roman"/>
          <w:sz w:val="24"/>
        </w:rPr>
        <w:t xml:space="preserve">: what is the limit to a decision-maker’s </w:t>
      </w:r>
      <w:r w:rsidR="00871D43">
        <w:rPr>
          <w:rFonts w:ascii="Times New Roman" w:hAnsi="Times New Roman" w:cs="Times New Roman"/>
          <w:sz w:val="24"/>
        </w:rPr>
        <w:t>decisional freedom in reasonably or rationally forming a state of satisfaction?</w:t>
      </w:r>
    </w:p>
    <w:p w14:paraId="24CF8283" w14:textId="77777777" w:rsidR="0012012C" w:rsidRPr="00152315" w:rsidRDefault="0012012C" w:rsidP="0043423C">
      <w:pPr>
        <w:spacing w:line="360" w:lineRule="auto"/>
        <w:jc w:val="both"/>
        <w:rPr>
          <w:rFonts w:ascii="Times New Roman" w:hAnsi="Times New Roman" w:cs="Times New Roman"/>
          <w:sz w:val="24"/>
        </w:rPr>
      </w:pPr>
    </w:p>
    <w:p w14:paraId="70CBB6E1" w14:textId="0F434A60" w:rsidR="00152315" w:rsidRPr="00BE6C7F" w:rsidRDefault="00152315" w:rsidP="0043423C">
      <w:pPr>
        <w:spacing w:line="360" w:lineRule="auto"/>
        <w:jc w:val="both"/>
        <w:rPr>
          <w:rFonts w:ascii="Times New Roman" w:hAnsi="Times New Roman" w:cs="Times New Roman"/>
          <w:b/>
          <w:bCs/>
          <w:i/>
          <w:iCs/>
          <w:sz w:val="24"/>
        </w:rPr>
      </w:pPr>
      <w:r w:rsidRPr="00152315">
        <w:rPr>
          <w:rFonts w:ascii="Times New Roman" w:hAnsi="Times New Roman" w:cs="Times New Roman"/>
          <w:b/>
          <w:bCs/>
          <w:i/>
          <w:iCs/>
          <w:sz w:val="24"/>
        </w:rPr>
        <w:t>2.</w:t>
      </w:r>
      <w:r w:rsidR="005415FF">
        <w:rPr>
          <w:rFonts w:ascii="Times New Roman" w:hAnsi="Times New Roman" w:cs="Times New Roman"/>
          <w:b/>
          <w:bCs/>
          <w:i/>
          <w:iCs/>
          <w:sz w:val="24"/>
        </w:rPr>
        <w:t>5</w:t>
      </w:r>
      <w:r w:rsidRPr="00152315">
        <w:rPr>
          <w:rFonts w:ascii="Times New Roman" w:hAnsi="Times New Roman" w:cs="Times New Roman"/>
          <w:b/>
          <w:bCs/>
          <w:i/>
          <w:iCs/>
          <w:sz w:val="24"/>
        </w:rPr>
        <w:tab/>
      </w:r>
      <w:r>
        <w:rPr>
          <w:rFonts w:ascii="Times New Roman" w:hAnsi="Times New Roman" w:cs="Times New Roman"/>
          <w:b/>
          <w:bCs/>
          <w:i/>
          <w:iCs/>
          <w:sz w:val="24"/>
        </w:rPr>
        <w:t>International law and Australian administrative law</w:t>
      </w:r>
    </w:p>
    <w:p w14:paraId="1A6870B9" w14:textId="77777777" w:rsidR="00152315" w:rsidRPr="00152315" w:rsidRDefault="00152315" w:rsidP="0043423C">
      <w:pPr>
        <w:spacing w:line="360" w:lineRule="auto"/>
        <w:jc w:val="both"/>
        <w:rPr>
          <w:rFonts w:ascii="Times New Roman" w:hAnsi="Times New Roman" w:cs="Times New Roman"/>
          <w:sz w:val="24"/>
        </w:rPr>
      </w:pPr>
    </w:p>
    <w:p w14:paraId="1B7D8A08" w14:textId="5A6152B5" w:rsidR="00330E18" w:rsidRDefault="004A0F01" w:rsidP="0043423C">
      <w:pPr>
        <w:spacing w:line="360" w:lineRule="auto"/>
        <w:jc w:val="both"/>
        <w:rPr>
          <w:rFonts w:ascii="Times New Roman" w:hAnsi="Times New Roman" w:cs="Times New Roman"/>
          <w:sz w:val="24"/>
        </w:rPr>
      </w:pPr>
      <w:r>
        <w:rPr>
          <w:rFonts w:ascii="Times New Roman" w:hAnsi="Times New Roman" w:cs="Times New Roman"/>
          <w:iCs/>
          <w:sz w:val="24"/>
        </w:rPr>
        <w:t>T</w:t>
      </w:r>
      <w:r w:rsidR="0043423C" w:rsidRPr="00CB6EE8">
        <w:rPr>
          <w:rFonts w:ascii="Times New Roman" w:hAnsi="Times New Roman" w:cs="Times New Roman"/>
          <w:iCs/>
          <w:sz w:val="24"/>
        </w:rPr>
        <w:t xml:space="preserve">he cases discussed in this </w:t>
      </w:r>
      <w:r w:rsidR="002D6440">
        <w:rPr>
          <w:rFonts w:ascii="Times New Roman" w:hAnsi="Times New Roman" w:cs="Times New Roman"/>
          <w:iCs/>
          <w:sz w:val="24"/>
        </w:rPr>
        <w:t>article</w:t>
      </w:r>
      <w:r w:rsidR="002D6440" w:rsidRPr="00CB6EE8">
        <w:rPr>
          <w:rFonts w:ascii="Times New Roman" w:hAnsi="Times New Roman" w:cs="Times New Roman"/>
          <w:iCs/>
          <w:sz w:val="24"/>
        </w:rPr>
        <w:t xml:space="preserve"> </w:t>
      </w:r>
      <w:r w:rsidR="0043423C" w:rsidRPr="00CB6EE8">
        <w:rPr>
          <w:rFonts w:ascii="Times New Roman" w:hAnsi="Times New Roman" w:cs="Times New Roman"/>
          <w:iCs/>
          <w:sz w:val="24"/>
        </w:rPr>
        <w:t xml:space="preserve">should </w:t>
      </w:r>
      <w:r w:rsidR="002F1242">
        <w:rPr>
          <w:rFonts w:ascii="Times New Roman" w:hAnsi="Times New Roman" w:cs="Times New Roman"/>
          <w:iCs/>
          <w:sz w:val="24"/>
        </w:rPr>
        <w:t xml:space="preserve">also </w:t>
      </w:r>
      <w:r w:rsidR="0043423C" w:rsidRPr="00CB6EE8">
        <w:rPr>
          <w:rFonts w:ascii="Times New Roman" w:hAnsi="Times New Roman" w:cs="Times New Roman"/>
          <w:iCs/>
          <w:sz w:val="24"/>
        </w:rPr>
        <w:t xml:space="preserve">be understood against the context of the interaction between international law and Australian administrative law principles. </w:t>
      </w:r>
      <w:r w:rsidR="0027151E" w:rsidRPr="00CB6EE8">
        <w:rPr>
          <w:rFonts w:ascii="Times New Roman" w:hAnsi="Times New Roman" w:cs="Times New Roman"/>
          <w:iCs/>
          <w:sz w:val="24"/>
        </w:rPr>
        <w:t xml:space="preserve"> </w:t>
      </w:r>
      <w:r w:rsidR="002B0DE7">
        <w:rPr>
          <w:rFonts w:ascii="Times New Roman" w:hAnsi="Times New Roman" w:cs="Times New Roman"/>
          <w:iCs/>
          <w:sz w:val="24"/>
        </w:rPr>
        <w:t>Australia operates under a dualist system</w:t>
      </w:r>
      <w:r w:rsidR="00367330">
        <w:rPr>
          <w:rFonts w:ascii="Times New Roman" w:hAnsi="Times New Roman" w:cs="Times New Roman"/>
          <w:iCs/>
          <w:sz w:val="24"/>
        </w:rPr>
        <w:t xml:space="preserve"> of international law which reflects a strict separation of powers. Under this,</w:t>
      </w:r>
      <w:r w:rsidR="002B0DE7">
        <w:rPr>
          <w:rFonts w:ascii="Times New Roman" w:hAnsi="Times New Roman" w:cs="Times New Roman"/>
          <w:iCs/>
          <w:sz w:val="24"/>
        </w:rPr>
        <w:t xml:space="preserve"> t</w:t>
      </w:r>
      <w:r w:rsidR="0027151E" w:rsidRPr="00CB6EE8">
        <w:rPr>
          <w:rFonts w:ascii="Times New Roman" w:hAnsi="Times New Roman" w:cs="Times New Roman"/>
          <w:sz w:val="24"/>
        </w:rPr>
        <w:t xml:space="preserve">he signing of a treaty is </w:t>
      </w:r>
      <w:r w:rsidR="00367330">
        <w:rPr>
          <w:rFonts w:ascii="Times New Roman" w:hAnsi="Times New Roman" w:cs="Times New Roman"/>
          <w:sz w:val="24"/>
        </w:rPr>
        <w:t>an act of</w:t>
      </w:r>
      <w:r w:rsidR="0027151E" w:rsidRPr="00CB6EE8">
        <w:rPr>
          <w:rFonts w:ascii="Times New Roman" w:hAnsi="Times New Roman" w:cs="Times New Roman"/>
          <w:sz w:val="24"/>
        </w:rPr>
        <w:t xml:space="preserve"> the executive arm of government and</w:t>
      </w:r>
      <w:r w:rsidR="00367330">
        <w:rPr>
          <w:rFonts w:ascii="Times New Roman" w:hAnsi="Times New Roman" w:cs="Times New Roman"/>
          <w:sz w:val="24"/>
        </w:rPr>
        <w:t xml:space="preserve"> must be legislatively </w:t>
      </w:r>
      <w:r w:rsidR="0027151E" w:rsidRPr="00CB6EE8">
        <w:rPr>
          <w:rFonts w:ascii="Times New Roman" w:hAnsi="Times New Roman" w:cs="Times New Roman"/>
          <w:sz w:val="24"/>
        </w:rPr>
        <w:t>incorporat</w:t>
      </w:r>
      <w:r w:rsidR="00367330">
        <w:rPr>
          <w:rFonts w:ascii="Times New Roman" w:hAnsi="Times New Roman" w:cs="Times New Roman"/>
          <w:sz w:val="24"/>
        </w:rPr>
        <w:t>ed to become part of</w:t>
      </w:r>
      <w:r w:rsidR="0027151E" w:rsidRPr="00CB6EE8">
        <w:rPr>
          <w:rFonts w:ascii="Times New Roman" w:hAnsi="Times New Roman" w:cs="Times New Roman"/>
          <w:sz w:val="24"/>
        </w:rPr>
        <w:t xml:space="preserve"> domestic law.</w:t>
      </w:r>
      <w:r w:rsidR="00367330">
        <w:rPr>
          <w:rStyle w:val="FootnoteReference"/>
          <w:rFonts w:ascii="Times New Roman" w:hAnsi="Times New Roman" w:cs="Times New Roman"/>
          <w:sz w:val="24"/>
        </w:rPr>
        <w:footnoteReference w:id="49"/>
      </w:r>
      <w:r w:rsidR="00CB6EE8" w:rsidRPr="00CB6EE8">
        <w:rPr>
          <w:rFonts w:ascii="Times New Roman" w:hAnsi="Times New Roman" w:cs="Times New Roman"/>
          <w:sz w:val="24"/>
        </w:rPr>
        <w:t xml:space="preserve"> </w:t>
      </w:r>
      <w:r w:rsidR="00C34E93">
        <w:rPr>
          <w:rFonts w:ascii="Times New Roman" w:hAnsi="Times New Roman" w:cs="Times New Roman"/>
          <w:sz w:val="24"/>
        </w:rPr>
        <w:t xml:space="preserve"> Australia is a party to </w:t>
      </w:r>
      <w:r w:rsidR="002F1242">
        <w:rPr>
          <w:rFonts w:ascii="Times New Roman" w:hAnsi="Times New Roman" w:cs="Times New Roman"/>
          <w:sz w:val="24"/>
        </w:rPr>
        <w:t xml:space="preserve">various </w:t>
      </w:r>
      <w:r w:rsidR="00330E18">
        <w:rPr>
          <w:rFonts w:ascii="Times New Roman" w:hAnsi="Times New Roman" w:cs="Times New Roman"/>
          <w:sz w:val="24"/>
        </w:rPr>
        <w:t xml:space="preserve">international human rights treaties </w:t>
      </w:r>
      <w:r w:rsidR="002F1242">
        <w:rPr>
          <w:rFonts w:ascii="Times New Roman" w:hAnsi="Times New Roman" w:cs="Times New Roman"/>
          <w:sz w:val="24"/>
        </w:rPr>
        <w:t>relevant to the rights and removal of non-citizens</w:t>
      </w:r>
      <w:r w:rsidR="00330E18">
        <w:rPr>
          <w:rFonts w:ascii="Times New Roman" w:hAnsi="Times New Roman" w:cs="Times New Roman"/>
          <w:sz w:val="24"/>
        </w:rPr>
        <w:t xml:space="preserve"> – the Refugee Convention</w:t>
      </w:r>
      <w:r w:rsidR="00152315">
        <w:rPr>
          <w:rFonts w:ascii="Times New Roman" w:hAnsi="Times New Roman" w:cs="Times New Roman"/>
          <w:sz w:val="24"/>
        </w:rPr>
        <w:t>,</w:t>
      </w:r>
      <w:r w:rsidR="00C84650">
        <w:rPr>
          <w:rStyle w:val="FootnoteReference"/>
          <w:rFonts w:ascii="Times New Roman" w:hAnsi="Times New Roman" w:cs="Times New Roman"/>
          <w:sz w:val="24"/>
        </w:rPr>
        <w:footnoteReference w:id="50"/>
      </w:r>
      <w:r w:rsidR="00330E18">
        <w:rPr>
          <w:rFonts w:ascii="Times New Roman" w:hAnsi="Times New Roman" w:cs="Times New Roman"/>
          <w:sz w:val="24"/>
        </w:rPr>
        <w:t xml:space="preserve"> the ICCPR</w:t>
      </w:r>
      <w:r w:rsidR="00245564">
        <w:rPr>
          <w:rFonts w:ascii="Times New Roman" w:hAnsi="Times New Roman" w:cs="Times New Roman"/>
          <w:sz w:val="24"/>
        </w:rPr>
        <w:t>,</w:t>
      </w:r>
      <w:r w:rsidR="00C84650">
        <w:rPr>
          <w:rStyle w:val="FootnoteReference"/>
          <w:rFonts w:ascii="Times New Roman" w:hAnsi="Times New Roman" w:cs="Times New Roman"/>
          <w:sz w:val="24"/>
        </w:rPr>
        <w:footnoteReference w:id="51"/>
      </w:r>
      <w:r w:rsidR="00245564">
        <w:rPr>
          <w:rFonts w:ascii="Times New Roman" w:hAnsi="Times New Roman" w:cs="Times New Roman"/>
          <w:sz w:val="24"/>
        </w:rPr>
        <w:t xml:space="preserve"> </w:t>
      </w:r>
      <w:r w:rsidR="00FF4947">
        <w:rPr>
          <w:rFonts w:ascii="Times New Roman" w:hAnsi="Times New Roman" w:cs="Times New Roman"/>
          <w:sz w:val="24"/>
        </w:rPr>
        <w:t xml:space="preserve">the </w:t>
      </w:r>
      <w:r w:rsidR="00245564" w:rsidRPr="00245564">
        <w:rPr>
          <w:rFonts w:ascii="Times New Roman" w:hAnsi="Times New Roman" w:cs="Times New Roman"/>
          <w:sz w:val="24"/>
        </w:rPr>
        <w:t>Convention Against Torture and Other Cruel, Inhuman or Degrading Treatment or Punishment</w:t>
      </w:r>
      <w:r w:rsidR="00245564">
        <w:rPr>
          <w:rStyle w:val="FootnoteReference"/>
          <w:rFonts w:ascii="Times New Roman" w:hAnsi="Times New Roman" w:cs="Times New Roman"/>
          <w:sz w:val="24"/>
        </w:rPr>
        <w:footnoteReference w:id="52"/>
      </w:r>
      <w:r w:rsidR="00245564">
        <w:rPr>
          <w:rFonts w:ascii="Times New Roman" w:hAnsi="Times New Roman" w:cs="Times New Roman"/>
          <w:sz w:val="24"/>
        </w:rPr>
        <w:t xml:space="preserve"> and </w:t>
      </w:r>
      <w:r w:rsidR="00FF4947">
        <w:rPr>
          <w:rFonts w:ascii="Times New Roman" w:hAnsi="Times New Roman" w:cs="Times New Roman"/>
          <w:sz w:val="24"/>
        </w:rPr>
        <w:t>the Convention on the Rights of the Child</w:t>
      </w:r>
      <w:r w:rsidR="00C34E93">
        <w:rPr>
          <w:rFonts w:ascii="Times New Roman" w:hAnsi="Times New Roman" w:cs="Times New Roman"/>
          <w:sz w:val="24"/>
        </w:rPr>
        <w:t>.</w:t>
      </w:r>
      <w:r w:rsidR="0084442E">
        <w:rPr>
          <w:rStyle w:val="FootnoteReference"/>
          <w:rFonts w:ascii="Times New Roman" w:hAnsi="Times New Roman" w:cs="Times New Roman"/>
          <w:sz w:val="24"/>
        </w:rPr>
        <w:footnoteReference w:id="53"/>
      </w:r>
      <w:r w:rsidR="00330E18">
        <w:rPr>
          <w:rFonts w:ascii="Times New Roman" w:hAnsi="Times New Roman" w:cs="Times New Roman"/>
          <w:sz w:val="24"/>
        </w:rPr>
        <w:t xml:space="preserve"> </w:t>
      </w:r>
      <w:r w:rsidR="00C34E93">
        <w:rPr>
          <w:rFonts w:ascii="Times New Roman" w:hAnsi="Times New Roman" w:cs="Times New Roman"/>
          <w:sz w:val="24"/>
        </w:rPr>
        <w:t xml:space="preserve">However, these are not </w:t>
      </w:r>
      <w:r w:rsidR="00C90625">
        <w:rPr>
          <w:rFonts w:ascii="Times New Roman" w:hAnsi="Times New Roman" w:cs="Times New Roman"/>
          <w:sz w:val="24"/>
        </w:rPr>
        <w:t xml:space="preserve">wholly </w:t>
      </w:r>
      <w:r w:rsidR="00C34E93">
        <w:rPr>
          <w:rFonts w:ascii="Times New Roman" w:hAnsi="Times New Roman" w:cs="Times New Roman"/>
          <w:sz w:val="24"/>
        </w:rPr>
        <w:t>incorporated into domestic law</w:t>
      </w:r>
      <w:r w:rsidR="00CD618B">
        <w:rPr>
          <w:rFonts w:ascii="Times New Roman" w:hAnsi="Times New Roman" w:cs="Times New Roman"/>
          <w:sz w:val="24"/>
        </w:rPr>
        <w:t xml:space="preserve"> via legislation</w:t>
      </w:r>
      <w:r w:rsidR="00330E18">
        <w:rPr>
          <w:rFonts w:ascii="Times New Roman" w:hAnsi="Times New Roman" w:cs="Times New Roman"/>
          <w:sz w:val="24"/>
        </w:rPr>
        <w:t>.</w:t>
      </w:r>
      <w:r w:rsidR="0044071F">
        <w:rPr>
          <w:rStyle w:val="FootnoteReference"/>
          <w:rFonts w:ascii="Times New Roman" w:hAnsi="Times New Roman" w:cs="Times New Roman"/>
          <w:sz w:val="24"/>
        </w:rPr>
        <w:footnoteReference w:id="54"/>
      </w:r>
    </w:p>
    <w:p w14:paraId="357A63B5" w14:textId="77777777" w:rsidR="00330E18" w:rsidRDefault="00330E18" w:rsidP="0043423C">
      <w:pPr>
        <w:spacing w:line="360" w:lineRule="auto"/>
        <w:jc w:val="both"/>
        <w:rPr>
          <w:rFonts w:ascii="Times New Roman" w:hAnsi="Times New Roman" w:cs="Times New Roman"/>
          <w:sz w:val="24"/>
        </w:rPr>
      </w:pPr>
    </w:p>
    <w:p w14:paraId="470F6838" w14:textId="0A978EF5" w:rsidR="0043423C" w:rsidRPr="00CB6EE8" w:rsidRDefault="00B27E3C" w:rsidP="0043423C">
      <w:pPr>
        <w:spacing w:line="360" w:lineRule="auto"/>
        <w:jc w:val="both"/>
        <w:rPr>
          <w:rFonts w:ascii="Times New Roman" w:hAnsi="Times New Roman" w:cs="Times New Roman"/>
          <w:iCs/>
          <w:sz w:val="24"/>
        </w:rPr>
      </w:pPr>
      <w:r>
        <w:rPr>
          <w:rFonts w:ascii="Times New Roman" w:hAnsi="Times New Roman" w:cs="Times New Roman"/>
          <w:sz w:val="24"/>
        </w:rPr>
        <w:t xml:space="preserve">Despite this lack of domestic incorporation, </w:t>
      </w:r>
      <w:r w:rsidR="00367330">
        <w:rPr>
          <w:rFonts w:ascii="Times New Roman" w:hAnsi="Times New Roman" w:cs="Times New Roman"/>
          <w:sz w:val="24"/>
          <w:shd w:val="clear" w:color="auto" w:fill="FFFFFF"/>
        </w:rPr>
        <w:t xml:space="preserve">the ratification by Australia of a treaty has </w:t>
      </w:r>
      <w:r w:rsidR="00367330" w:rsidRPr="00B27E3C">
        <w:rPr>
          <w:rFonts w:ascii="Times New Roman" w:hAnsi="Times New Roman" w:cs="Times New Roman"/>
          <w:i/>
          <w:iCs/>
          <w:sz w:val="24"/>
          <w:shd w:val="clear" w:color="auto" w:fill="FFFFFF"/>
        </w:rPr>
        <w:t>some</w:t>
      </w:r>
      <w:r w:rsidR="00367330">
        <w:rPr>
          <w:rFonts w:ascii="Times New Roman" w:hAnsi="Times New Roman" w:cs="Times New Roman"/>
          <w:sz w:val="24"/>
          <w:shd w:val="clear" w:color="auto" w:fill="FFFFFF"/>
        </w:rPr>
        <w:t xml:space="preserve"> effect at the domestic level</w:t>
      </w:r>
      <w:r w:rsidR="00B410ED">
        <w:rPr>
          <w:rFonts w:ascii="Times New Roman" w:hAnsi="Times New Roman" w:cs="Times New Roman"/>
          <w:sz w:val="24"/>
          <w:shd w:val="clear" w:color="auto" w:fill="FFFFFF"/>
        </w:rPr>
        <w:t>,</w:t>
      </w:r>
      <w:r w:rsidR="00B410ED" w:rsidRPr="00B410ED">
        <w:rPr>
          <w:rFonts w:ascii="Times New Roman" w:hAnsi="Times New Roman" w:cs="Times New Roman"/>
          <w:sz w:val="24"/>
        </w:rPr>
        <w:t xml:space="preserve"> </w:t>
      </w:r>
      <w:r w:rsidR="00B410ED">
        <w:rPr>
          <w:rFonts w:ascii="Times New Roman" w:hAnsi="Times New Roman" w:cs="Times New Roman"/>
          <w:sz w:val="24"/>
        </w:rPr>
        <w:t xml:space="preserve">as recognised by </w:t>
      </w:r>
      <w:r w:rsidR="00B410ED" w:rsidRPr="00CB6EE8">
        <w:rPr>
          <w:rFonts w:ascii="Times New Roman" w:hAnsi="Times New Roman" w:cs="Times New Roman"/>
          <w:sz w:val="24"/>
          <w:shd w:val="clear" w:color="auto" w:fill="FFFFFF"/>
        </w:rPr>
        <w:t xml:space="preserve">Mason CJ and Deane J in </w:t>
      </w:r>
      <w:r w:rsidR="00B410ED" w:rsidRPr="00CB6EE8">
        <w:rPr>
          <w:rFonts w:ascii="Times New Roman" w:hAnsi="Times New Roman" w:cs="Times New Roman"/>
          <w:i/>
          <w:iCs/>
          <w:sz w:val="24"/>
          <w:shd w:val="clear" w:color="auto" w:fill="FFFFFF"/>
        </w:rPr>
        <w:t>Teoh</w:t>
      </w:r>
      <w:r w:rsidR="0043423C" w:rsidRPr="00CB6EE8">
        <w:rPr>
          <w:rFonts w:ascii="Times New Roman" w:hAnsi="Times New Roman" w:cs="Times New Roman"/>
          <w:sz w:val="24"/>
          <w:shd w:val="clear" w:color="auto" w:fill="FFFFFF"/>
        </w:rPr>
        <w:t>:</w:t>
      </w:r>
    </w:p>
    <w:p w14:paraId="351E18FE" w14:textId="77777777" w:rsidR="0043423C" w:rsidRPr="00D40893" w:rsidRDefault="0043423C" w:rsidP="0043423C">
      <w:pPr>
        <w:pStyle w:val="Quote"/>
        <w:rPr>
          <w:iCs/>
        </w:rPr>
      </w:pPr>
      <w:r w:rsidRPr="00CB6EE8">
        <w:t xml:space="preserve">[R]atification by Australia of an international convention is not to be dismissed as a merely platitudinous or ineffectual act, particularly when the instrument evidences internationally accepted standards to be applied by courts and administrative authorities in dealing with basic human rights affecting the family and children. Rather, ratification of a </w:t>
      </w:r>
      <w:r w:rsidRPr="00D40893">
        <w:t xml:space="preserve">convention is a positive statement by the executive government of this country to the world and to the Australian people that the executive government and its agencies will act in accordance with the [convention]. That positive statement is an adequate foundation for a legitimate </w:t>
      </w:r>
      <w:r w:rsidRPr="00D40893">
        <w:lastRenderedPageBreak/>
        <w:t>expectation, absent statutory or executive indications to the contrary, that administrative decision-makers will act in conformity with the [convention]. </w:t>
      </w:r>
      <w:r>
        <w:rPr>
          <w:rStyle w:val="FootnoteReference"/>
        </w:rPr>
        <w:footnoteReference w:id="55"/>
      </w:r>
    </w:p>
    <w:p w14:paraId="5EB18A49" w14:textId="77777777" w:rsidR="0043423C" w:rsidRDefault="0043423C" w:rsidP="0043423C">
      <w:pPr>
        <w:spacing w:line="360" w:lineRule="auto"/>
        <w:jc w:val="both"/>
        <w:rPr>
          <w:rFonts w:ascii="Times New Roman" w:hAnsi="Times New Roman" w:cs="Times New Roman"/>
          <w:iCs/>
          <w:sz w:val="24"/>
        </w:rPr>
      </w:pPr>
    </w:p>
    <w:p w14:paraId="0F6A263F" w14:textId="56D32643" w:rsidR="008D3C2F" w:rsidRDefault="00CB6EE8" w:rsidP="00D102C7">
      <w:pPr>
        <w:spacing w:line="360" w:lineRule="auto"/>
        <w:jc w:val="both"/>
        <w:rPr>
          <w:rFonts w:ascii="Times New Roman" w:hAnsi="Times New Roman" w:cs="Times New Roman"/>
          <w:iCs/>
          <w:sz w:val="24"/>
        </w:rPr>
      </w:pPr>
      <w:r>
        <w:rPr>
          <w:rFonts w:ascii="Times New Roman" w:hAnsi="Times New Roman" w:cs="Times New Roman"/>
          <w:iCs/>
          <w:sz w:val="24"/>
        </w:rPr>
        <w:t xml:space="preserve">Although the doctrine of legitimate expectations established in </w:t>
      </w:r>
      <w:r w:rsidRPr="00197103">
        <w:rPr>
          <w:rFonts w:ascii="Times New Roman" w:hAnsi="Times New Roman" w:cs="Times New Roman"/>
          <w:i/>
          <w:sz w:val="24"/>
        </w:rPr>
        <w:t>Teoh</w:t>
      </w:r>
      <w:r>
        <w:rPr>
          <w:rFonts w:ascii="Times New Roman" w:hAnsi="Times New Roman" w:cs="Times New Roman"/>
          <w:iCs/>
          <w:sz w:val="24"/>
        </w:rPr>
        <w:t xml:space="preserve"> has been </w:t>
      </w:r>
      <w:r w:rsidR="007B7050">
        <w:rPr>
          <w:rFonts w:ascii="Times New Roman" w:hAnsi="Times New Roman" w:cs="Times New Roman"/>
          <w:iCs/>
          <w:sz w:val="24"/>
        </w:rPr>
        <w:t xml:space="preserve">rejected in </w:t>
      </w:r>
      <w:r>
        <w:rPr>
          <w:rFonts w:ascii="Times New Roman" w:hAnsi="Times New Roman" w:cs="Times New Roman"/>
          <w:iCs/>
          <w:sz w:val="24"/>
        </w:rPr>
        <w:t>later jurisprudence</w:t>
      </w:r>
      <w:r w:rsidR="00961BD5">
        <w:rPr>
          <w:rFonts w:ascii="Times New Roman" w:hAnsi="Times New Roman" w:cs="Times New Roman"/>
          <w:iCs/>
          <w:sz w:val="24"/>
        </w:rPr>
        <w:t>,</w:t>
      </w:r>
      <w:r w:rsidR="00197103">
        <w:rPr>
          <w:rStyle w:val="FootnoteReference"/>
          <w:rFonts w:ascii="Times New Roman" w:hAnsi="Times New Roman" w:cs="Times New Roman"/>
          <w:iCs/>
          <w:sz w:val="24"/>
        </w:rPr>
        <w:footnoteReference w:id="56"/>
      </w:r>
      <w:r>
        <w:rPr>
          <w:rFonts w:ascii="Times New Roman" w:hAnsi="Times New Roman" w:cs="Times New Roman"/>
          <w:iCs/>
          <w:sz w:val="24"/>
        </w:rPr>
        <w:t xml:space="preserve"> the</w:t>
      </w:r>
      <w:r w:rsidR="00197103">
        <w:rPr>
          <w:rFonts w:ascii="Times New Roman" w:hAnsi="Times New Roman" w:cs="Times New Roman"/>
          <w:iCs/>
          <w:sz w:val="24"/>
        </w:rPr>
        <w:t xml:space="preserve"> </w:t>
      </w:r>
      <w:r w:rsidR="00961BD5">
        <w:rPr>
          <w:rFonts w:ascii="Times New Roman" w:hAnsi="Times New Roman" w:cs="Times New Roman"/>
          <w:iCs/>
          <w:sz w:val="24"/>
        </w:rPr>
        <w:t xml:space="preserve">recent case law </w:t>
      </w:r>
      <w:r w:rsidR="00C360C3">
        <w:rPr>
          <w:rFonts w:ascii="Times New Roman" w:hAnsi="Times New Roman" w:cs="Times New Roman"/>
          <w:iCs/>
          <w:sz w:val="24"/>
        </w:rPr>
        <w:t xml:space="preserve">discussed </w:t>
      </w:r>
      <w:r>
        <w:rPr>
          <w:rFonts w:ascii="Times New Roman" w:hAnsi="Times New Roman" w:cs="Times New Roman"/>
          <w:iCs/>
          <w:sz w:val="24"/>
        </w:rPr>
        <w:t>in Part 4 demonstrates that</w:t>
      </w:r>
      <w:r w:rsidR="00197103">
        <w:rPr>
          <w:rFonts w:ascii="Times New Roman" w:hAnsi="Times New Roman" w:cs="Times New Roman"/>
          <w:iCs/>
          <w:sz w:val="24"/>
        </w:rPr>
        <w:t xml:space="preserve"> </w:t>
      </w:r>
      <w:r>
        <w:rPr>
          <w:rFonts w:ascii="Times New Roman" w:hAnsi="Times New Roman" w:cs="Times New Roman"/>
          <w:iCs/>
          <w:sz w:val="24"/>
        </w:rPr>
        <w:t>Australia’s international treaty obligations</w:t>
      </w:r>
      <w:r w:rsidR="00961BD5">
        <w:rPr>
          <w:rFonts w:ascii="Times New Roman" w:hAnsi="Times New Roman" w:cs="Times New Roman"/>
          <w:iCs/>
          <w:sz w:val="24"/>
        </w:rPr>
        <w:t xml:space="preserve"> and the above comments in </w:t>
      </w:r>
      <w:r w:rsidR="00961BD5">
        <w:rPr>
          <w:rFonts w:ascii="Times New Roman" w:hAnsi="Times New Roman" w:cs="Times New Roman"/>
          <w:i/>
          <w:sz w:val="24"/>
        </w:rPr>
        <w:t>Teoh</w:t>
      </w:r>
      <w:r w:rsidR="00197103">
        <w:rPr>
          <w:rFonts w:ascii="Times New Roman" w:hAnsi="Times New Roman" w:cs="Times New Roman"/>
          <w:iCs/>
          <w:sz w:val="24"/>
        </w:rPr>
        <w:t xml:space="preserve"> </w:t>
      </w:r>
      <w:r>
        <w:rPr>
          <w:rFonts w:ascii="Times New Roman" w:hAnsi="Times New Roman" w:cs="Times New Roman"/>
          <w:iCs/>
          <w:sz w:val="24"/>
        </w:rPr>
        <w:t xml:space="preserve">remain a </w:t>
      </w:r>
      <w:r w:rsidR="00961BD5">
        <w:rPr>
          <w:rFonts w:ascii="Times New Roman" w:hAnsi="Times New Roman" w:cs="Times New Roman"/>
          <w:iCs/>
          <w:sz w:val="24"/>
        </w:rPr>
        <w:t>live</w:t>
      </w:r>
      <w:r>
        <w:rPr>
          <w:rFonts w:ascii="Times New Roman" w:hAnsi="Times New Roman" w:cs="Times New Roman"/>
          <w:iCs/>
          <w:sz w:val="24"/>
        </w:rPr>
        <w:t xml:space="preserve"> </w:t>
      </w:r>
      <w:r w:rsidR="00961BD5">
        <w:rPr>
          <w:rFonts w:ascii="Times New Roman" w:hAnsi="Times New Roman" w:cs="Times New Roman"/>
          <w:iCs/>
          <w:sz w:val="24"/>
        </w:rPr>
        <w:t>administrative law</w:t>
      </w:r>
      <w:r>
        <w:rPr>
          <w:rFonts w:ascii="Times New Roman" w:hAnsi="Times New Roman" w:cs="Times New Roman"/>
          <w:iCs/>
          <w:sz w:val="24"/>
        </w:rPr>
        <w:t xml:space="preserve"> issue.</w:t>
      </w:r>
      <w:r w:rsidR="00970158">
        <w:rPr>
          <w:rStyle w:val="FootnoteReference"/>
          <w:rFonts w:ascii="Times New Roman" w:hAnsi="Times New Roman" w:cs="Times New Roman"/>
          <w:iCs/>
          <w:sz w:val="24"/>
        </w:rPr>
        <w:footnoteReference w:id="57"/>
      </w:r>
      <w:r w:rsidR="00C96390">
        <w:rPr>
          <w:rFonts w:ascii="Times New Roman" w:hAnsi="Times New Roman" w:cs="Times New Roman"/>
          <w:iCs/>
          <w:sz w:val="24"/>
        </w:rPr>
        <w:t xml:space="preserve"> </w:t>
      </w:r>
      <w:r w:rsidR="008227A7">
        <w:rPr>
          <w:rFonts w:ascii="Times New Roman" w:hAnsi="Times New Roman" w:cs="Times New Roman"/>
          <w:iCs/>
          <w:sz w:val="24"/>
        </w:rPr>
        <w:t xml:space="preserve">Indeed, whilst </w:t>
      </w:r>
      <w:r w:rsidR="008227A7" w:rsidRPr="00CB0E5F">
        <w:rPr>
          <w:rFonts w:ascii="Times New Roman" w:hAnsi="Times New Roman" w:cs="Times New Roman"/>
          <w:iCs/>
          <w:sz w:val="24"/>
        </w:rPr>
        <w:t>McHugh and Gummow JJ</w:t>
      </w:r>
      <w:r w:rsidR="008227A7">
        <w:rPr>
          <w:rFonts w:ascii="Times New Roman" w:hAnsi="Times New Roman" w:cs="Times New Roman"/>
          <w:iCs/>
          <w:sz w:val="24"/>
        </w:rPr>
        <w:t xml:space="preserve"> in </w:t>
      </w:r>
      <w:r w:rsidR="00B410ED">
        <w:rPr>
          <w:rFonts w:ascii="Times New Roman" w:hAnsi="Times New Roman" w:cs="Times New Roman"/>
          <w:i/>
          <w:sz w:val="24"/>
        </w:rPr>
        <w:t xml:space="preserve">Ex parte </w:t>
      </w:r>
      <w:r w:rsidR="008227A7">
        <w:rPr>
          <w:rFonts w:ascii="Times New Roman" w:hAnsi="Times New Roman" w:cs="Times New Roman"/>
          <w:i/>
          <w:sz w:val="24"/>
        </w:rPr>
        <w:t>Lam</w:t>
      </w:r>
      <w:r w:rsidR="008227A7">
        <w:rPr>
          <w:rFonts w:ascii="Times New Roman" w:hAnsi="Times New Roman" w:cs="Times New Roman"/>
          <w:iCs/>
          <w:sz w:val="24"/>
        </w:rPr>
        <w:t xml:space="preserve"> questioned the continued relevance of </w:t>
      </w:r>
      <w:r w:rsidR="008227A7">
        <w:rPr>
          <w:rFonts w:ascii="Times New Roman" w:hAnsi="Times New Roman" w:cs="Times New Roman"/>
          <w:i/>
          <w:sz w:val="24"/>
        </w:rPr>
        <w:t>Teoh</w:t>
      </w:r>
      <w:r w:rsidR="008227A7">
        <w:rPr>
          <w:rFonts w:ascii="Times New Roman" w:hAnsi="Times New Roman" w:cs="Times New Roman"/>
          <w:iCs/>
          <w:sz w:val="24"/>
        </w:rPr>
        <w:t>, they recognise</w:t>
      </w:r>
      <w:r w:rsidR="00BF64DF">
        <w:rPr>
          <w:rFonts w:ascii="Times New Roman" w:hAnsi="Times New Roman" w:cs="Times New Roman"/>
          <w:iCs/>
          <w:sz w:val="24"/>
        </w:rPr>
        <w:t>d</w:t>
      </w:r>
      <w:r w:rsidR="008227A7">
        <w:rPr>
          <w:rFonts w:ascii="Times New Roman" w:hAnsi="Times New Roman" w:cs="Times New Roman"/>
          <w:iCs/>
          <w:sz w:val="24"/>
        </w:rPr>
        <w:t xml:space="preserve"> that the executive act of ratification of a treaty </w:t>
      </w:r>
      <w:r w:rsidR="0015354B">
        <w:rPr>
          <w:rFonts w:ascii="Times New Roman" w:hAnsi="Times New Roman" w:cs="Times New Roman"/>
          <w:iCs/>
          <w:sz w:val="24"/>
        </w:rPr>
        <w:t xml:space="preserve">creates </w:t>
      </w:r>
      <w:r w:rsidR="008227A7">
        <w:rPr>
          <w:rFonts w:ascii="Times New Roman" w:hAnsi="Times New Roman" w:cs="Times New Roman"/>
          <w:iCs/>
          <w:sz w:val="24"/>
        </w:rPr>
        <w:t>an obligation on behalf of Australia to the international community</w:t>
      </w:r>
      <w:r w:rsidR="00B410ED">
        <w:rPr>
          <w:rFonts w:ascii="Times New Roman" w:hAnsi="Times New Roman" w:cs="Times New Roman"/>
          <w:iCs/>
          <w:sz w:val="24"/>
        </w:rPr>
        <w:t>.</w:t>
      </w:r>
      <w:r w:rsidR="00B410ED">
        <w:rPr>
          <w:rStyle w:val="FootnoteReference"/>
        </w:rPr>
        <w:footnoteReference w:id="58"/>
      </w:r>
    </w:p>
    <w:p w14:paraId="0F6D79BE" w14:textId="77777777" w:rsidR="008D3C2F" w:rsidRDefault="008D3C2F" w:rsidP="00D102C7">
      <w:pPr>
        <w:spacing w:line="360" w:lineRule="auto"/>
        <w:jc w:val="both"/>
        <w:rPr>
          <w:rFonts w:ascii="Times New Roman" w:hAnsi="Times New Roman" w:cs="Times New Roman"/>
          <w:iCs/>
          <w:sz w:val="24"/>
        </w:rPr>
      </w:pPr>
    </w:p>
    <w:p w14:paraId="190A50CD" w14:textId="4DFE784C" w:rsidR="00D6683C" w:rsidRPr="008D3C2F" w:rsidRDefault="00D6683C" w:rsidP="00D102C7">
      <w:pPr>
        <w:spacing w:line="360" w:lineRule="auto"/>
        <w:jc w:val="both"/>
        <w:rPr>
          <w:rFonts w:ascii="Times New Roman" w:hAnsi="Times New Roman" w:cs="Times New Roman"/>
          <w:iCs/>
          <w:sz w:val="24"/>
        </w:rPr>
      </w:pPr>
      <w:r>
        <w:rPr>
          <w:rFonts w:ascii="Times New Roman" w:hAnsi="Times New Roman" w:cs="Times New Roman"/>
          <w:sz w:val="24"/>
        </w:rPr>
        <w:t>Australia does not have a Bill of Rights or other</w:t>
      </w:r>
      <w:r w:rsidR="005116D7">
        <w:rPr>
          <w:rFonts w:ascii="Times New Roman" w:hAnsi="Times New Roman" w:cs="Times New Roman"/>
          <w:sz w:val="24"/>
        </w:rPr>
        <w:t xml:space="preserve"> human rights charter at the Commonwealth level. This is in contrast to comparable jurisdictions such as the UK</w:t>
      </w:r>
      <w:r w:rsidR="008D3C2F">
        <w:rPr>
          <w:rFonts w:ascii="Times New Roman" w:hAnsi="Times New Roman" w:cs="Times New Roman"/>
          <w:sz w:val="24"/>
        </w:rPr>
        <w:t>,</w:t>
      </w:r>
      <w:r w:rsidR="005116D7">
        <w:rPr>
          <w:rFonts w:ascii="Times New Roman" w:hAnsi="Times New Roman" w:cs="Times New Roman"/>
          <w:sz w:val="24"/>
        </w:rPr>
        <w:t xml:space="preserve"> which has </w:t>
      </w:r>
      <w:r w:rsidR="00561CAC">
        <w:rPr>
          <w:rFonts w:ascii="Times New Roman" w:hAnsi="Times New Roman" w:cs="Times New Roman"/>
          <w:sz w:val="24"/>
        </w:rPr>
        <w:t>robust</w:t>
      </w:r>
      <w:r w:rsidR="00D3788C">
        <w:rPr>
          <w:rFonts w:ascii="Times New Roman" w:hAnsi="Times New Roman" w:cs="Times New Roman"/>
          <w:sz w:val="24"/>
        </w:rPr>
        <w:t xml:space="preserve"> </w:t>
      </w:r>
      <w:r w:rsidR="005116D7">
        <w:rPr>
          <w:rFonts w:ascii="Times New Roman" w:hAnsi="Times New Roman" w:cs="Times New Roman"/>
          <w:sz w:val="24"/>
        </w:rPr>
        <w:t>domestic human rights</w:t>
      </w:r>
      <w:r w:rsidR="00D3788C">
        <w:rPr>
          <w:rFonts w:ascii="Times New Roman" w:hAnsi="Times New Roman" w:cs="Times New Roman"/>
          <w:sz w:val="24"/>
        </w:rPr>
        <w:t xml:space="preserve"> legislation</w:t>
      </w:r>
      <w:r w:rsidR="005116D7">
        <w:rPr>
          <w:rFonts w:ascii="Times New Roman" w:hAnsi="Times New Roman" w:cs="Times New Roman"/>
          <w:sz w:val="24"/>
        </w:rPr>
        <w:t>.</w:t>
      </w:r>
      <w:r w:rsidR="002E4645">
        <w:rPr>
          <w:rStyle w:val="FootnoteReference"/>
          <w:rFonts w:ascii="Times New Roman" w:hAnsi="Times New Roman" w:cs="Times New Roman"/>
          <w:sz w:val="24"/>
        </w:rPr>
        <w:footnoteReference w:id="59"/>
      </w:r>
      <w:r w:rsidR="005116D7">
        <w:rPr>
          <w:rFonts w:ascii="Times New Roman" w:hAnsi="Times New Roman" w:cs="Times New Roman"/>
          <w:sz w:val="24"/>
        </w:rPr>
        <w:t xml:space="preserve"> Th</w:t>
      </w:r>
      <w:r w:rsidR="00C47D0F">
        <w:rPr>
          <w:rFonts w:ascii="Times New Roman" w:hAnsi="Times New Roman" w:cs="Times New Roman"/>
          <w:sz w:val="24"/>
        </w:rPr>
        <w:t>e lack of a federal human rights charter in Australia</w:t>
      </w:r>
      <w:r w:rsidR="005116D7">
        <w:rPr>
          <w:rFonts w:ascii="Times New Roman" w:hAnsi="Times New Roman" w:cs="Times New Roman"/>
          <w:sz w:val="24"/>
        </w:rPr>
        <w:t xml:space="preserve"> means that </w:t>
      </w:r>
      <w:r w:rsidR="00C47D0F">
        <w:rPr>
          <w:rFonts w:ascii="Times New Roman" w:hAnsi="Times New Roman" w:cs="Times New Roman"/>
          <w:sz w:val="24"/>
        </w:rPr>
        <w:t>much of the ‘heavy lifting’ in the legal protection of individual rights must be done via judicial review</w:t>
      </w:r>
      <w:r w:rsidR="00410402">
        <w:rPr>
          <w:rFonts w:ascii="Times New Roman" w:hAnsi="Times New Roman" w:cs="Times New Roman"/>
          <w:sz w:val="24"/>
        </w:rPr>
        <w:t xml:space="preserve"> (via procedural protections such as natural justice)</w:t>
      </w:r>
      <w:r w:rsidR="00362878">
        <w:rPr>
          <w:rFonts w:ascii="Times New Roman" w:hAnsi="Times New Roman" w:cs="Times New Roman"/>
          <w:sz w:val="24"/>
        </w:rPr>
        <w:t>.</w:t>
      </w:r>
      <w:r w:rsidR="00362878">
        <w:rPr>
          <w:rStyle w:val="FootnoteReference"/>
          <w:rFonts w:ascii="Times New Roman" w:hAnsi="Times New Roman" w:cs="Times New Roman"/>
          <w:sz w:val="24"/>
        </w:rPr>
        <w:footnoteReference w:id="60"/>
      </w:r>
      <w:r w:rsidR="00E0633E">
        <w:rPr>
          <w:rFonts w:ascii="Times New Roman" w:hAnsi="Times New Roman" w:cs="Times New Roman"/>
          <w:sz w:val="24"/>
        </w:rPr>
        <w:t xml:space="preserve"> </w:t>
      </w:r>
      <w:r w:rsidR="008D3C2F">
        <w:rPr>
          <w:rFonts w:ascii="Times New Roman" w:hAnsi="Times New Roman" w:cs="Times New Roman"/>
          <w:sz w:val="24"/>
        </w:rPr>
        <w:t>Nonetheless</w:t>
      </w:r>
      <w:r w:rsidR="00E0633E">
        <w:rPr>
          <w:rFonts w:ascii="Times New Roman" w:hAnsi="Times New Roman" w:cs="Times New Roman"/>
          <w:sz w:val="24"/>
        </w:rPr>
        <w:t xml:space="preserve">, the prevalence of broad discretionary ‘national interest’ powers in the </w:t>
      </w:r>
      <w:r w:rsidR="00E0633E" w:rsidRPr="00FE3B29">
        <w:rPr>
          <w:rFonts w:ascii="Times New Roman" w:hAnsi="Times New Roman" w:cs="Times New Roman"/>
          <w:i/>
          <w:iCs/>
          <w:sz w:val="24"/>
        </w:rPr>
        <w:t>Migration Act</w:t>
      </w:r>
      <w:r w:rsidR="00E0633E">
        <w:rPr>
          <w:rFonts w:ascii="Times New Roman" w:hAnsi="Times New Roman" w:cs="Times New Roman"/>
          <w:sz w:val="24"/>
        </w:rPr>
        <w:t xml:space="preserve"> </w:t>
      </w:r>
      <w:r w:rsidR="008D3C2F">
        <w:rPr>
          <w:rFonts w:ascii="Times New Roman" w:hAnsi="Times New Roman" w:cs="Times New Roman"/>
          <w:sz w:val="24"/>
        </w:rPr>
        <w:t xml:space="preserve">raises </w:t>
      </w:r>
      <w:r w:rsidR="00E0633E">
        <w:rPr>
          <w:rFonts w:ascii="Times New Roman" w:hAnsi="Times New Roman" w:cs="Times New Roman"/>
          <w:sz w:val="24"/>
        </w:rPr>
        <w:t>significant concern</w:t>
      </w:r>
      <w:r w:rsidR="008D3C2F">
        <w:rPr>
          <w:rFonts w:ascii="Times New Roman" w:hAnsi="Times New Roman" w:cs="Times New Roman"/>
          <w:sz w:val="24"/>
        </w:rPr>
        <w:t>s</w:t>
      </w:r>
      <w:r w:rsidR="00E0633E">
        <w:rPr>
          <w:rFonts w:ascii="Times New Roman" w:hAnsi="Times New Roman" w:cs="Times New Roman"/>
          <w:sz w:val="24"/>
        </w:rPr>
        <w:t xml:space="preserve"> </w:t>
      </w:r>
      <w:r w:rsidR="008D3C2F">
        <w:rPr>
          <w:rFonts w:ascii="Times New Roman" w:hAnsi="Times New Roman" w:cs="Times New Roman"/>
          <w:sz w:val="24"/>
        </w:rPr>
        <w:t xml:space="preserve">given </w:t>
      </w:r>
      <w:r w:rsidR="00E0633E">
        <w:rPr>
          <w:rFonts w:ascii="Times New Roman" w:hAnsi="Times New Roman" w:cs="Times New Roman"/>
          <w:sz w:val="24"/>
        </w:rPr>
        <w:t xml:space="preserve">the lack of </w:t>
      </w:r>
      <w:r w:rsidR="008D3C2F">
        <w:rPr>
          <w:rFonts w:ascii="Times New Roman" w:hAnsi="Times New Roman" w:cs="Times New Roman"/>
          <w:sz w:val="24"/>
        </w:rPr>
        <w:t xml:space="preserve">federal human rights guarantees </w:t>
      </w:r>
      <w:r w:rsidR="00E0633E">
        <w:rPr>
          <w:rFonts w:ascii="Times New Roman" w:hAnsi="Times New Roman" w:cs="Times New Roman"/>
          <w:sz w:val="24"/>
        </w:rPr>
        <w:t>in Australia.</w:t>
      </w:r>
      <w:r>
        <w:rPr>
          <w:rFonts w:ascii="Times New Roman" w:hAnsi="Times New Roman" w:cs="Times New Roman"/>
          <w:sz w:val="24"/>
        </w:rPr>
        <w:t xml:space="preserve"> </w:t>
      </w:r>
    </w:p>
    <w:p w14:paraId="6033F0AF" w14:textId="77777777" w:rsidR="00EA496F" w:rsidRDefault="00EA496F" w:rsidP="00D102C7">
      <w:pPr>
        <w:spacing w:line="360" w:lineRule="auto"/>
        <w:jc w:val="both"/>
        <w:rPr>
          <w:rFonts w:ascii="Times New Roman" w:hAnsi="Times New Roman" w:cs="Times New Roman"/>
          <w:sz w:val="24"/>
        </w:rPr>
      </w:pPr>
    </w:p>
    <w:p w14:paraId="3AEC1392" w14:textId="41108083" w:rsidR="00EA496F" w:rsidRPr="00BE6C7F" w:rsidRDefault="00EA496F" w:rsidP="00D102C7">
      <w:pPr>
        <w:spacing w:line="360" w:lineRule="auto"/>
        <w:jc w:val="both"/>
        <w:rPr>
          <w:rFonts w:ascii="Times New Roman" w:hAnsi="Times New Roman" w:cs="Times New Roman"/>
          <w:sz w:val="24"/>
        </w:rPr>
      </w:pPr>
      <w:r>
        <w:rPr>
          <w:rFonts w:ascii="Times New Roman" w:hAnsi="Times New Roman" w:cs="Times New Roman"/>
          <w:b/>
          <w:bCs/>
          <w:i/>
          <w:iCs/>
          <w:sz w:val="24"/>
        </w:rPr>
        <w:t>2.</w:t>
      </w:r>
      <w:r w:rsidR="00F20F78">
        <w:rPr>
          <w:rFonts w:ascii="Times New Roman" w:hAnsi="Times New Roman" w:cs="Times New Roman"/>
          <w:b/>
          <w:bCs/>
          <w:i/>
          <w:iCs/>
          <w:sz w:val="24"/>
        </w:rPr>
        <w:t>6</w:t>
      </w:r>
      <w:r>
        <w:rPr>
          <w:rFonts w:ascii="Times New Roman" w:hAnsi="Times New Roman" w:cs="Times New Roman"/>
          <w:b/>
          <w:bCs/>
          <w:i/>
          <w:iCs/>
          <w:sz w:val="24"/>
        </w:rPr>
        <w:tab/>
        <w:t>Section 197C and Non-Refoulement under the Migration Act</w:t>
      </w:r>
    </w:p>
    <w:p w14:paraId="2C507168" w14:textId="77777777" w:rsidR="00EA496F" w:rsidRPr="00BE6C7F" w:rsidRDefault="00EA496F" w:rsidP="00D102C7">
      <w:pPr>
        <w:spacing w:line="360" w:lineRule="auto"/>
        <w:jc w:val="both"/>
        <w:rPr>
          <w:rFonts w:ascii="Times New Roman" w:hAnsi="Times New Roman" w:cs="Times New Roman"/>
          <w:sz w:val="24"/>
        </w:rPr>
      </w:pPr>
    </w:p>
    <w:p w14:paraId="59C6B854" w14:textId="5E370C36" w:rsidR="00EA496F" w:rsidRDefault="00D1095C" w:rsidP="00D102C7">
      <w:pPr>
        <w:spacing w:line="360" w:lineRule="auto"/>
        <w:jc w:val="both"/>
        <w:rPr>
          <w:rFonts w:ascii="Times New Roman" w:hAnsi="Times New Roman" w:cs="Times New Roman"/>
          <w:sz w:val="24"/>
        </w:rPr>
      </w:pPr>
      <w:r>
        <w:rPr>
          <w:rFonts w:ascii="Times New Roman" w:hAnsi="Times New Roman" w:cs="Times New Roman"/>
          <w:sz w:val="24"/>
        </w:rPr>
        <w:t xml:space="preserve">Under </w:t>
      </w:r>
      <w:r w:rsidR="002B2D9D">
        <w:rPr>
          <w:rFonts w:ascii="Times New Roman" w:hAnsi="Times New Roman" w:cs="Times New Roman"/>
          <w:sz w:val="24"/>
        </w:rPr>
        <w:t>s</w:t>
      </w:r>
      <w:r>
        <w:rPr>
          <w:rFonts w:ascii="Times New Roman" w:hAnsi="Times New Roman" w:cs="Times New Roman"/>
          <w:sz w:val="24"/>
        </w:rPr>
        <w:t xml:space="preserve"> 501 of the </w:t>
      </w:r>
      <w:r w:rsidRPr="00FE3B29">
        <w:rPr>
          <w:rFonts w:ascii="Times New Roman" w:hAnsi="Times New Roman" w:cs="Times New Roman"/>
          <w:i/>
          <w:iCs/>
          <w:sz w:val="24"/>
        </w:rPr>
        <w:t>Migration Act</w:t>
      </w:r>
      <w:r>
        <w:rPr>
          <w:rFonts w:ascii="Times New Roman" w:hAnsi="Times New Roman" w:cs="Times New Roman"/>
          <w:sz w:val="24"/>
        </w:rPr>
        <w:t xml:space="preserve">, a person’s visa may be refused or cancelled where they fail the ‘character test’. Following the enactment of s 501(3A) by the </w:t>
      </w:r>
      <w:r>
        <w:rPr>
          <w:rFonts w:ascii="Times New Roman" w:hAnsi="Times New Roman" w:cs="Times New Roman"/>
          <w:i/>
          <w:iCs/>
          <w:sz w:val="24"/>
        </w:rPr>
        <w:t>Migration Amendment (Character and General Visa Cancellation) Act 2014</w:t>
      </w:r>
      <w:r>
        <w:rPr>
          <w:rFonts w:ascii="Times New Roman" w:hAnsi="Times New Roman" w:cs="Times New Roman"/>
          <w:sz w:val="24"/>
        </w:rPr>
        <w:t xml:space="preserve">, this can include </w:t>
      </w:r>
      <w:r w:rsidR="00B553F6">
        <w:rPr>
          <w:rFonts w:ascii="Times New Roman" w:hAnsi="Times New Roman" w:cs="Times New Roman"/>
          <w:i/>
          <w:iCs/>
          <w:sz w:val="24"/>
        </w:rPr>
        <w:t>mandatory</w:t>
      </w:r>
      <w:r w:rsidR="00B553F6">
        <w:rPr>
          <w:rFonts w:ascii="Times New Roman" w:hAnsi="Times New Roman" w:cs="Times New Roman"/>
          <w:sz w:val="24"/>
        </w:rPr>
        <w:t xml:space="preserve"> cancellation in specified circumstances; a visa holder may then seek to revoke the cancellation of their visa under s 501CA of the </w:t>
      </w:r>
      <w:r w:rsidR="00B553F6">
        <w:rPr>
          <w:rFonts w:ascii="Times New Roman" w:hAnsi="Times New Roman" w:cs="Times New Roman"/>
          <w:i/>
          <w:iCs/>
          <w:sz w:val="24"/>
        </w:rPr>
        <w:t>Act</w:t>
      </w:r>
      <w:r w:rsidR="00B553F6">
        <w:rPr>
          <w:rFonts w:ascii="Times New Roman" w:hAnsi="Times New Roman" w:cs="Times New Roman"/>
          <w:sz w:val="24"/>
        </w:rPr>
        <w:t>.</w:t>
      </w:r>
    </w:p>
    <w:p w14:paraId="1E81F6D5" w14:textId="77777777" w:rsidR="00B553F6" w:rsidRDefault="00B553F6" w:rsidP="00D102C7">
      <w:pPr>
        <w:spacing w:line="360" w:lineRule="auto"/>
        <w:jc w:val="both"/>
        <w:rPr>
          <w:rFonts w:ascii="Times New Roman" w:hAnsi="Times New Roman" w:cs="Times New Roman"/>
          <w:sz w:val="24"/>
        </w:rPr>
      </w:pPr>
    </w:p>
    <w:p w14:paraId="4AE4D405" w14:textId="311EFF2D" w:rsidR="00B553F6" w:rsidRDefault="00B553F6" w:rsidP="00D102C7">
      <w:pPr>
        <w:spacing w:line="360" w:lineRule="auto"/>
        <w:jc w:val="both"/>
        <w:rPr>
          <w:rFonts w:ascii="Times New Roman" w:hAnsi="Times New Roman" w:cs="Times New Roman"/>
          <w:sz w:val="24"/>
        </w:rPr>
      </w:pPr>
      <w:r>
        <w:rPr>
          <w:rFonts w:ascii="Times New Roman" w:hAnsi="Times New Roman" w:cs="Times New Roman"/>
          <w:sz w:val="24"/>
        </w:rPr>
        <w:t>Character cancellations have raised important issues with respect to Australia’s non-</w:t>
      </w:r>
      <w:r>
        <w:rPr>
          <w:rFonts w:ascii="Times New Roman" w:hAnsi="Times New Roman" w:cs="Times New Roman"/>
          <w:i/>
          <w:iCs/>
          <w:sz w:val="24"/>
        </w:rPr>
        <w:t xml:space="preserve">refoulement </w:t>
      </w:r>
      <w:r>
        <w:rPr>
          <w:rFonts w:ascii="Times New Roman" w:hAnsi="Times New Roman" w:cs="Times New Roman"/>
          <w:sz w:val="24"/>
        </w:rPr>
        <w:t xml:space="preserve">obligations. In particular, where a visa </w:t>
      </w:r>
      <w:r w:rsidR="0055608A">
        <w:rPr>
          <w:rFonts w:ascii="Times New Roman" w:hAnsi="Times New Roman" w:cs="Times New Roman"/>
          <w:sz w:val="24"/>
        </w:rPr>
        <w:t xml:space="preserve">applicant or visa holder </w:t>
      </w:r>
      <w:r>
        <w:rPr>
          <w:rFonts w:ascii="Times New Roman" w:hAnsi="Times New Roman" w:cs="Times New Roman"/>
          <w:sz w:val="24"/>
        </w:rPr>
        <w:t xml:space="preserve">claims to be owed protection obligations under the </w:t>
      </w:r>
      <w:r w:rsidRPr="00FE3B29">
        <w:rPr>
          <w:rFonts w:ascii="Times New Roman" w:hAnsi="Times New Roman" w:cs="Times New Roman"/>
          <w:sz w:val="24"/>
        </w:rPr>
        <w:t>Refugee Convention</w:t>
      </w:r>
      <w:r>
        <w:rPr>
          <w:rFonts w:ascii="Times New Roman" w:hAnsi="Times New Roman" w:cs="Times New Roman"/>
          <w:sz w:val="24"/>
        </w:rPr>
        <w:t xml:space="preserve">, what role (if any) should those </w:t>
      </w:r>
      <w:r w:rsidR="0055608A">
        <w:rPr>
          <w:rFonts w:ascii="Times New Roman" w:hAnsi="Times New Roman" w:cs="Times New Roman"/>
          <w:sz w:val="24"/>
        </w:rPr>
        <w:t xml:space="preserve">obligations play in the refusal or cancellation of a visa and in its ultimate legal consequences for the applicant? </w:t>
      </w:r>
      <w:r w:rsidR="003C45B6">
        <w:rPr>
          <w:rFonts w:ascii="Times New Roman" w:hAnsi="Times New Roman" w:cs="Times New Roman"/>
          <w:sz w:val="24"/>
        </w:rPr>
        <w:t xml:space="preserve">These are complex issues, many of which lie beyond the scope of this </w:t>
      </w:r>
      <w:r w:rsidR="00BD6FCD">
        <w:rPr>
          <w:rFonts w:ascii="Times New Roman" w:hAnsi="Times New Roman" w:cs="Times New Roman"/>
          <w:sz w:val="24"/>
        </w:rPr>
        <w:t xml:space="preserve">article </w:t>
      </w:r>
      <w:r w:rsidR="003C45B6">
        <w:rPr>
          <w:rFonts w:ascii="Times New Roman" w:hAnsi="Times New Roman" w:cs="Times New Roman"/>
          <w:sz w:val="24"/>
        </w:rPr>
        <w:t>and are hence only briefly summarised below.</w:t>
      </w:r>
    </w:p>
    <w:p w14:paraId="23B56FC3" w14:textId="77777777" w:rsidR="0036493B" w:rsidRDefault="0036493B" w:rsidP="00D102C7">
      <w:pPr>
        <w:spacing w:line="360" w:lineRule="auto"/>
        <w:jc w:val="both"/>
        <w:rPr>
          <w:rFonts w:ascii="Times New Roman" w:hAnsi="Times New Roman" w:cs="Times New Roman"/>
          <w:sz w:val="24"/>
        </w:rPr>
      </w:pPr>
    </w:p>
    <w:p w14:paraId="6385C670" w14:textId="0D9ADAC7" w:rsidR="00BF4DAA" w:rsidRDefault="0036493B" w:rsidP="00D102C7">
      <w:pPr>
        <w:spacing w:line="360" w:lineRule="auto"/>
        <w:jc w:val="both"/>
        <w:rPr>
          <w:rFonts w:ascii="Times New Roman" w:hAnsi="Times New Roman" w:cs="Times New Roman"/>
          <w:sz w:val="24"/>
        </w:rPr>
      </w:pPr>
      <w:r>
        <w:rPr>
          <w:rFonts w:ascii="Times New Roman" w:hAnsi="Times New Roman" w:cs="Times New Roman"/>
          <w:sz w:val="24"/>
        </w:rPr>
        <w:t xml:space="preserve">As originally enacted by the </w:t>
      </w:r>
      <w:r>
        <w:rPr>
          <w:rFonts w:ascii="Times New Roman" w:hAnsi="Times New Roman" w:cs="Times New Roman"/>
          <w:i/>
          <w:iCs/>
          <w:sz w:val="24"/>
        </w:rPr>
        <w:t>Migration and Maritime Powers Legislation Amendment (Resolving the Asylum Legacy Caseload) Act 2014</w:t>
      </w:r>
      <w:r>
        <w:rPr>
          <w:rFonts w:ascii="Times New Roman" w:hAnsi="Times New Roman" w:cs="Times New Roman"/>
          <w:sz w:val="24"/>
        </w:rPr>
        <w:t xml:space="preserve">, </w:t>
      </w:r>
      <w:r w:rsidR="0074537F">
        <w:rPr>
          <w:rFonts w:ascii="Times New Roman" w:hAnsi="Times New Roman" w:cs="Times New Roman"/>
          <w:sz w:val="24"/>
        </w:rPr>
        <w:t xml:space="preserve">s 197C of the </w:t>
      </w:r>
      <w:r w:rsidR="0074537F" w:rsidRPr="00FE3B29">
        <w:rPr>
          <w:rFonts w:ascii="Times New Roman" w:hAnsi="Times New Roman" w:cs="Times New Roman"/>
          <w:i/>
          <w:iCs/>
          <w:sz w:val="24"/>
        </w:rPr>
        <w:t>Migration Act</w:t>
      </w:r>
      <w:r w:rsidR="0074537F">
        <w:rPr>
          <w:rFonts w:ascii="Times New Roman" w:hAnsi="Times New Roman" w:cs="Times New Roman"/>
          <w:i/>
          <w:iCs/>
          <w:sz w:val="24"/>
        </w:rPr>
        <w:t xml:space="preserve"> </w:t>
      </w:r>
      <w:r w:rsidR="0074537F">
        <w:rPr>
          <w:rFonts w:ascii="Times New Roman" w:hAnsi="Times New Roman" w:cs="Times New Roman"/>
          <w:sz w:val="24"/>
        </w:rPr>
        <w:t>provided that, for the purposes of the government’s ‘duty to remove’ unlawful non-citizens under s 198, it was irrelevant whether Australia owed protection obligations in respect of that person.</w:t>
      </w:r>
      <w:r w:rsidR="00DB1027">
        <w:rPr>
          <w:rFonts w:ascii="Times New Roman" w:hAnsi="Times New Roman" w:cs="Times New Roman"/>
          <w:sz w:val="24"/>
        </w:rPr>
        <w:t xml:space="preserve"> </w:t>
      </w:r>
      <w:r w:rsidR="0033156C">
        <w:rPr>
          <w:rFonts w:ascii="Times New Roman" w:hAnsi="Times New Roman" w:cs="Times New Roman"/>
          <w:sz w:val="24"/>
        </w:rPr>
        <w:t>This</w:t>
      </w:r>
      <w:r w:rsidR="00B05453">
        <w:rPr>
          <w:rFonts w:ascii="Times New Roman" w:hAnsi="Times New Roman" w:cs="Times New Roman"/>
          <w:sz w:val="24"/>
        </w:rPr>
        <w:t xml:space="preserve"> contemplated and made explicit the prospect of </w:t>
      </w:r>
      <w:r w:rsidR="00B05453">
        <w:rPr>
          <w:rFonts w:ascii="Times New Roman" w:hAnsi="Times New Roman" w:cs="Times New Roman"/>
          <w:i/>
          <w:iCs/>
          <w:sz w:val="24"/>
        </w:rPr>
        <w:t>refoulement</w:t>
      </w:r>
      <w:r w:rsidR="0033156C">
        <w:rPr>
          <w:rFonts w:ascii="Times New Roman" w:hAnsi="Times New Roman" w:cs="Times New Roman"/>
          <w:sz w:val="24"/>
        </w:rPr>
        <w:t xml:space="preserve"> </w:t>
      </w:r>
      <w:r w:rsidR="00B05453">
        <w:rPr>
          <w:rFonts w:ascii="Times New Roman" w:hAnsi="Times New Roman" w:cs="Times New Roman"/>
          <w:sz w:val="24"/>
        </w:rPr>
        <w:t xml:space="preserve">as a consequence of the operation of Australian law. This was followed by </w:t>
      </w:r>
      <w:r w:rsidR="00B27012">
        <w:rPr>
          <w:rFonts w:ascii="Times New Roman" w:hAnsi="Times New Roman" w:cs="Times New Roman"/>
          <w:sz w:val="24"/>
        </w:rPr>
        <w:t>a series of cases exploring what this meant for the character context: whether non-</w:t>
      </w:r>
      <w:r w:rsidR="00B27012">
        <w:rPr>
          <w:rFonts w:ascii="Times New Roman" w:hAnsi="Times New Roman" w:cs="Times New Roman"/>
          <w:i/>
          <w:iCs/>
          <w:sz w:val="24"/>
        </w:rPr>
        <w:t xml:space="preserve">refoulement </w:t>
      </w:r>
      <w:r w:rsidR="00B27012">
        <w:rPr>
          <w:rFonts w:ascii="Times New Roman" w:hAnsi="Times New Roman" w:cs="Times New Roman"/>
          <w:sz w:val="24"/>
        </w:rPr>
        <w:t xml:space="preserve">obligations should be considered as part of </w:t>
      </w:r>
      <w:r w:rsidR="006319FD">
        <w:rPr>
          <w:rFonts w:ascii="Times New Roman" w:hAnsi="Times New Roman" w:cs="Times New Roman"/>
          <w:sz w:val="24"/>
        </w:rPr>
        <w:t xml:space="preserve">an assessment of whether a </w:t>
      </w:r>
      <w:r w:rsidR="00B27012">
        <w:rPr>
          <w:rFonts w:ascii="Times New Roman" w:hAnsi="Times New Roman" w:cs="Times New Roman"/>
          <w:sz w:val="24"/>
        </w:rPr>
        <w:t>visa</w:t>
      </w:r>
      <w:r w:rsidR="006319FD">
        <w:rPr>
          <w:rFonts w:ascii="Times New Roman" w:hAnsi="Times New Roman" w:cs="Times New Roman"/>
          <w:sz w:val="24"/>
        </w:rPr>
        <w:t xml:space="preserve"> should be refused or cancelled under s 501</w:t>
      </w:r>
      <w:r w:rsidR="00B27012">
        <w:rPr>
          <w:rFonts w:ascii="Times New Roman" w:hAnsi="Times New Roman" w:cs="Times New Roman"/>
          <w:sz w:val="24"/>
        </w:rPr>
        <w:t>, even prior to a subsequent potential application for a protection visa;</w:t>
      </w:r>
      <w:r w:rsidR="00B27012">
        <w:rPr>
          <w:rStyle w:val="FootnoteReference"/>
          <w:rFonts w:ascii="Times New Roman" w:hAnsi="Times New Roman" w:cs="Times New Roman"/>
          <w:sz w:val="24"/>
        </w:rPr>
        <w:footnoteReference w:id="61"/>
      </w:r>
      <w:r w:rsidR="006E627B">
        <w:rPr>
          <w:rFonts w:ascii="Times New Roman" w:hAnsi="Times New Roman" w:cs="Times New Roman"/>
          <w:sz w:val="24"/>
        </w:rPr>
        <w:t xml:space="preserve"> the extent of detail and engagement required as part of that assessment;</w:t>
      </w:r>
      <w:r w:rsidR="006E627B">
        <w:rPr>
          <w:rStyle w:val="FootnoteReference"/>
          <w:rFonts w:ascii="Times New Roman" w:hAnsi="Times New Roman" w:cs="Times New Roman"/>
          <w:sz w:val="24"/>
        </w:rPr>
        <w:footnoteReference w:id="62"/>
      </w:r>
      <w:r w:rsidR="006E627B">
        <w:rPr>
          <w:rFonts w:ascii="Times New Roman" w:hAnsi="Times New Roman" w:cs="Times New Roman"/>
          <w:sz w:val="24"/>
        </w:rPr>
        <w:t xml:space="preserve"> and whether that assessment was solely required to engage with risks to an applicant </w:t>
      </w:r>
      <w:r w:rsidR="006E627B">
        <w:rPr>
          <w:rFonts w:ascii="Times New Roman" w:hAnsi="Times New Roman" w:cs="Times New Roman"/>
          <w:i/>
          <w:iCs/>
          <w:sz w:val="24"/>
        </w:rPr>
        <w:t xml:space="preserve">themselves </w:t>
      </w:r>
      <w:r w:rsidR="006E627B">
        <w:rPr>
          <w:rFonts w:ascii="Times New Roman" w:hAnsi="Times New Roman" w:cs="Times New Roman"/>
          <w:sz w:val="24"/>
        </w:rPr>
        <w:t>as a result of their non-</w:t>
      </w:r>
      <w:r w:rsidR="006E627B">
        <w:rPr>
          <w:rFonts w:ascii="Times New Roman" w:hAnsi="Times New Roman" w:cs="Times New Roman"/>
          <w:i/>
          <w:iCs/>
          <w:sz w:val="24"/>
        </w:rPr>
        <w:t>refoulement</w:t>
      </w:r>
      <w:r w:rsidR="006E627B">
        <w:rPr>
          <w:rFonts w:ascii="Times New Roman" w:hAnsi="Times New Roman" w:cs="Times New Roman"/>
          <w:sz w:val="24"/>
        </w:rPr>
        <w:t xml:space="preserve">, or whether a decision-maker would also be required to engage with the impact upon </w:t>
      </w:r>
      <w:r w:rsidR="006E627B">
        <w:rPr>
          <w:rFonts w:ascii="Times New Roman" w:hAnsi="Times New Roman" w:cs="Times New Roman"/>
          <w:i/>
          <w:iCs/>
          <w:sz w:val="24"/>
        </w:rPr>
        <w:t>Australia</w:t>
      </w:r>
      <w:r w:rsidR="006E627B">
        <w:rPr>
          <w:rFonts w:ascii="Times New Roman" w:hAnsi="Times New Roman" w:cs="Times New Roman"/>
          <w:sz w:val="24"/>
        </w:rPr>
        <w:t xml:space="preserve"> as a whole from prospective breach of the nation’s international obligations.</w:t>
      </w:r>
      <w:r w:rsidR="006E627B">
        <w:rPr>
          <w:rStyle w:val="FootnoteReference"/>
          <w:rFonts w:ascii="Times New Roman" w:hAnsi="Times New Roman" w:cs="Times New Roman"/>
          <w:sz w:val="24"/>
        </w:rPr>
        <w:footnoteReference w:id="63"/>
      </w:r>
      <w:r w:rsidR="00BF4DAA">
        <w:rPr>
          <w:rFonts w:ascii="Times New Roman" w:hAnsi="Times New Roman" w:cs="Times New Roman"/>
          <w:sz w:val="24"/>
        </w:rPr>
        <w:t xml:space="preserve"> These questions have largely been answered by the High Court’s </w:t>
      </w:r>
      <w:r w:rsidR="004844FF">
        <w:rPr>
          <w:rFonts w:ascii="Times New Roman" w:hAnsi="Times New Roman" w:cs="Times New Roman"/>
          <w:sz w:val="24"/>
        </w:rPr>
        <w:t xml:space="preserve">judgment in </w:t>
      </w:r>
      <w:r w:rsidR="00DF6F25">
        <w:rPr>
          <w:rFonts w:ascii="Times New Roman" w:hAnsi="Times New Roman" w:cs="Times New Roman"/>
          <w:i/>
          <w:iCs/>
          <w:sz w:val="24"/>
        </w:rPr>
        <w:t xml:space="preserve">Plaintiff </w:t>
      </w:r>
      <w:r w:rsidR="004844FF">
        <w:rPr>
          <w:rFonts w:ascii="Times New Roman" w:hAnsi="Times New Roman" w:cs="Times New Roman"/>
          <w:i/>
          <w:iCs/>
          <w:sz w:val="24"/>
        </w:rPr>
        <w:t>M1</w:t>
      </w:r>
      <w:r w:rsidR="00675030">
        <w:rPr>
          <w:rFonts w:ascii="Times New Roman" w:hAnsi="Times New Roman" w:cs="Times New Roman"/>
          <w:i/>
          <w:iCs/>
          <w:sz w:val="24"/>
        </w:rPr>
        <w:t>/2021 v Minister for Home Affairs</w:t>
      </w:r>
      <w:r w:rsidR="004A671C">
        <w:rPr>
          <w:rFonts w:ascii="Times New Roman" w:hAnsi="Times New Roman" w:cs="Times New Roman"/>
          <w:sz w:val="24"/>
        </w:rPr>
        <w:t xml:space="preserve"> (‘</w:t>
      </w:r>
      <w:r w:rsidR="004A671C">
        <w:rPr>
          <w:rFonts w:ascii="Times New Roman" w:hAnsi="Times New Roman" w:cs="Times New Roman"/>
          <w:i/>
          <w:iCs/>
          <w:sz w:val="24"/>
        </w:rPr>
        <w:t>M1</w:t>
      </w:r>
      <w:r w:rsidR="004A671C">
        <w:rPr>
          <w:rFonts w:ascii="Times New Roman" w:hAnsi="Times New Roman" w:cs="Times New Roman"/>
          <w:sz w:val="24"/>
        </w:rPr>
        <w:t>’)</w:t>
      </w:r>
      <w:r w:rsidR="0025522B">
        <w:rPr>
          <w:rFonts w:ascii="Times New Roman" w:hAnsi="Times New Roman" w:cs="Times New Roman"/>
          <w:sz w:val="24"/>
        </w:rPr>
        <w:t>;</w:t>
      </w:r>
      <w:r w:rsidR="003760CD" w:rsidRPr="00411383">
        <w:rPr>
          <w:rStyle w:val="FootnoteReference"/>
          <w:rFonts w:ascii="Times New Roman" w:hAnsi="Times New Roman" w:cs="Times New Roman"/>
          <w:bCs/>
          <w:sz w:val="24"/>
        </w:rPr>
        <w:footnoteReference w:id="64"/>
      </w:r>
      <w:r w:rsidR="00426FB0">
        <w:rPr>
          <w:rFonts w:ascii="Times New Roman" w:hAnsi="Times New Roman" w:cs="Times New Roman"/>
          <w:sz w:val="24"/>
        </w:rPr>
        <w:t xml:space="preserve"> </w:t>
      </w:r>
      <w:r w:rsidR="0025522B">
        <w:rPr>
          <w:rFonts w:ascii="Times New Roman" w:hAnsi="Times New Roman" w:cs="Times New Roman"/>
          <w:sz w:val="24"/>
        </w:rPr>
        <w:t>this case is considered further below.</w:t>
      </w:r>
    </w:p>
    <w:p w14:paraId="69366105" w14:textId="77777777" w:rsidR="004844FF" w:rsidRDefault="004844FF" w:rsidP="00D102C7">
      <w:pPr>
        <w:spacing w:line="360" w:lineRule="auto"/>
        <w:jc w:val="both"/>
        <w:rPr>
          <w:rFonts w:ascii="Times New Roman" w:hAnsi="Times New Roman" w:cs="Times New Roman"/>
          <w:sz w:val="24"/>
        </w:rPr>
      </w:pPr>
    </w:p>
    <w:p w14:paraId="21CA357D" w14:textId="5D6E58CF" w:rsidR="004844FF" w:rsidRPr="00E568A0" w:rsidRDefault="00CC75E7" w:rsidP="00D102C7">
      <w:pPr>
        <w:spacing w:line="360" w:lineRule="auto"/>
        <w:jc w:val="both"/>
        <w:rPr>
          <w:rFonts w:ascii="Times New Roman" w:hAnsi="Times New Roman" w:cs="Times New Roman"/>
          <w:sz w:val="24"/>
        </w:rPr>
      </w:pPr>
      <w:r>
        <w:rPr>
          <w:rFonts w:ascii="Times New Roman" w:hAnsi="Times New Roman" w:cs="Times New Roman"/>
          <w:sz w:val="24"/>
        </w:rPr>
        <w:t>This article is not principally about those developments</w:t>
      </w:r>
      <w:r w:rsidR="00276052">
        <w:rPr>
          <w:rFonts w:ascii="Times New Roman" w:hAnsi="Times New Roman" w:cs="Times New Roman"/>
          <w:sz w:val="24"/>
        </w:rPr>
        <w:t>.</w:t>
      </w:r>
      <w:r w:rsidR="004844FF">
        <w:rPr>
          <w:rStyle w:val="FootnoteReference"/>
          <w:rFonts w:ascii="Times New Roman" w:hAnsi="Times New Roman" w:cs="Times New Roman"/>
          <w:sz w:val="24"/>
        </w:rPr>
        <w:footnoteReference w:id="65"/>
      </w:r>
      <w:r w:rsidR="00276052">
        <w:rPr>
          <w:rFonts w:ascii="Times New Roman" w:hAnsi="Times New Roman" w:cs="Times New Roman"/>
          <w:sz w:val="24"/>
        </w:rPr>
        <w:t xml:space="preserve"> This article instead considers how the relationship between non-</w:t>
      </w:r>
      <w:r w:rsidR="00276052">
        <w:rPr>
          <w:rFonts w:ascii="Times New Roman" w:hAnsi="Times New Roman" w:cs="Times New Roman"/>
          <w:i/>
          <w:iCs/>
          <w:sz w:val="24"/>
        </w:rPr>
        <w:t>refoulement</w:t>
      </w:r>
      <w:r w:rsidR="00276052">
        <w:rPr>
          <w:rFonts w:ascii="Times New Roman" w:hAnsi="Times New Roman" w:cs="Times New Roman"/>
          <w:sz w:val="24"/>
        </w:rPr>
        <w:t xml:space="preserve"> obligations and the national interest – a specific question within specific statutory frameworks, overlapping with but not conterminous with the field of character cancellation as a whole. Nonetheless, these cases have informed the </w:t>
      </w:r>
      <w:r w:rsidR="00276052">
        <w:rPr>
          <w:rFonts w:ascii="Times New Roman" w:hAnsi="Times New Roman" w:cs="Times New Roman"/>
          <w:sz w:val="24"/>
        </w:rPr>
        <w:lastRenderedPageBreak/>
        <w:t xml:space="preserve">development of the jurisprudence on this question. In particular, </w:t>
      </w:r>
      <w:r w:rsidR="00DF6F25">
        <w:rPr>
          <w:rFonts w:ascii="Times New Roman" w:hAnsi="Times New Roman" w:cs="Times New Roman"/>
          <w:sz w:val="24"/>
        </w:rPr>
        <w:t xml:space="preserve">before </w:t>
      </w:r>
      <w:r w:rsidR="00DF6F25">
        <w:rPr>
          <w:rFonts w:ascii="Times New Roman" w:hAnsi="Times New Roman" w:cs="Times New Roman"/>
          <w:i/>
          <w:iCs/>
          <w:sz w:val="24"/>
        </w:rPr>
        <w:t>M1</w:t>
      </w:r>
      <w:r w:rsidR="00E568A0">
        <w:rPr>
          <w:rFonts w:ascii="Times New Roman" w:hAnsi="Times New Roman" w:cs="Times New Roman"/>
          <w:sz w:val="24"/>
        </w:rPr>
        <w:t xml:space="preserve">, </w:t>
      </w:r>
      <w:r w:rsidR="00E1254E">
        <w:rPr>
          <w:rFonts w:ascii="Times New Roman" w:hAnsi="Times New Roman" w:cs="Times New Roman"/>
          <w:sz w:val="24"/>
        </w:rPr>
        <w:t xml:space="preserve">this line of cases included recognition by the Federal Court </w:t>
      </w:r>
      <w:r w:rsidR="00E568A0">
        <w:rPr>
          <w:rFonts w:ascii="Times New Roman" w:hAnsi="Times New Roman" w:cs="Times New Roman"/>
          <w:sz w:val="24"/>
        </w:rPr>
        <w:t>that breach of non-</w:t>
      </w:r>
      <w:r w:rsidR="00E568A0">
        <w:rPr>
          <w:rFonts w:ascii="Times New Roman" w:hAnsi="Times New Roman" w:cs="Times New Roman"/>
          <w:i/>
          <w:iCs/>
          <w:sz w:val="24"/>
        </w:rPr>
        <w:t xml:space="preserve">refoulement </w:t>
      </w:r>
      <w:r w:rsidR="00E568A0">
        <w:rPr>
          <w:rFonts w:ascii="Times New Roman" w:hAnsi="Times New Roman" w:cs="Times New Roman"/>
          <w:sz w:val="24"/>
        </w:rPr>
        <w:t xml:space="preserve">obligations does not solely affect an individual applicant, but entails potential consequences </w:t>
      </w:r>
      <w:r w:rsidR="00E568A0" w:rsidRPr="00BE6C7F">
        <w:rPr>
          <w:rFonts w:ascii="Times New Roman" w:hAnsi="Times New Roman" w:cs="Times New Roman"/>
          <w:i/>
          <w:iCs/>
          <w:sz w:val="24"/>
        </w:rPr>
        <w:t>for Australia</w:t>
      </w:r>
      <w:r w:rsidR="00E1254E">
        <w:rPr>
          <w:rFonts w:ascii="Times New Roman" w:hAnsi="Times New Roman" w:cs="Times New Roman"/>
          <w:sz w:val="24"/>
        </w:rPr>
        <w:t xml:space="preserve"> and to the nation’s standing within the international community which need to be considered and addressed as part of an assessment of these obligations.</w:t>
      </w:r>
      <w:r w:rsidR="00E568A0">
        <w:rPr>
          <w:rStyle w:val="FootnoteReference"/>
          <w:rFonts w:ascii="Times New Roman" w:hAnsi="Times New Roman" w:cs="Times New Roman"/>
          <w:sz w:val="24"/>
        </w:rPr>
        <w:footnoteReference w:id="66"/>
      </w:r>
      <w:r w:rsidR="00E568A0">
        <w:rPr>
          <w:rFonts w:ascii="Times New Roman" w:hAnsi="Times New Roman" w:cs="Times New Roman"/>
          <w:sz w:val="24"/>
        </w:rPr>
        <w:t xml:space="preserve"> </w:t>
      </w:r>
      <w:r w:rsidR="002B2D9D">
        <w:rPr>
          <w:rFonts w:ascii="Times New Roman" w:hAnsi="Times New Roman" w:cs="Times New Roman"/>
          <w:sz w:val="24"/>
        </w:rPr>
        <w:t xml:space="preserve">As discussed below, this has </w:t>
      </w:r>
      <w:r w:rsidR="00E1254E">
        <w:rPr>
          <w:rFonts w:ascii="Times New Roman" w:hAnsi="Times New Roman" w:cs="Times New Roman"/>
          <w:sz w:val="24"/>
        </w:rPr>
        <w:t>informed the Federal Court’s subsequent approach to questions of the ‘national interest’.</w:t>
      </w:r>
    </w:p>
    <w:p w14:paraId="2B00C007" w14:textId="77777777" w:rsidR="005116D7" w:rsidRDefault="005116D7">
      <w:pPr>
        <w:rPr>
          <w:rFonts w:ascii="Times New Roman" w:hAnsi="Times New Roman" w:cs="Times New Roman"/>
          <w:sz w:val="24"/>
        </w:rPr>
      </w:pPr>
    </w:p>
    <w:p w14:paraId="0FAB9A66" w14:textId="77777777" w:rsidR="005116D7" w:rsidRDefault="005116D7">
      <w:pPr>
        <w:rPr>
          <w:rFonts w:ascii="Times New Roman" w:hAnsi="Times New Roman" w:cs="Times New Roman"/>
          <w:sz w:val="24"/>
        </w:rPr>
      </w:pPr>
    </w:p>
    <w:p w14:paraId="7C0D74A6" w14:textId="13E58A18" w:rsidR="008F3204" w:rsidRPr="00411383" w:rsidRDefault="00332419" w:rsidP="00E33B82">
      <w:pPr>
        <w:spacing w:line="360" w:lineRule="auto"/>
        <w:jc w:val="both"/>
        <w:rPr>
          <w:rFonts w:ascii="Times New Roman" w:hAnsi="Times New Roman" w:cs="Times New Roman"/>
          <w:b/>
          <w:bCs/>
          <w:sz w:val="24"/>
        </w:rPr>
      </w:pPr>
      <w:r>
        <w:rPr>
          <w:rFonts w:ascii="Times New Roman" w:hAnsi="Times New Roman" w:cs="Times New Roman"/>
          <w:b/>
          <w:bCs/>
          <w:sz w:val="24"/>
        </w:rPr>
        <w:t>3</w:t>
      </w:r>
      <w:r w:rsidR="008F3204" w:rsidRPr="00411383">
        <w:rPr>
          <w:rFonts w:ascii="Times New Roman" w:hAnsi="Times New Roman" w:cs="Times New Roman"/>
          <w:b/>
          <w:bCs/>
          <w:sz w:val="24"/>
        </w:rPr>
        <w:t xml:space="preserve">. </w:t>
      </w:r>
      <w:r w:rsidR="008F3204" w:rsidRPr="00411383">
        <w:rPr>
          <w:rFonts w:ascii="Times New Roman" w:hAnsi="Times New Roman" w:cs="Times New Roman"/>
          <w:b/>
          <w:bCs/>
          <w:sz w:val="24"/>
        </w:rPr>
        <w:tab/>
      </w:r>
      <w:r w:rsidR="00A70F28" w:rsidRPr="00411383">
        <w:rPr>
          <w:rFonts w:ascii="Times New Roman" w:hAnsi="Times New Roman" w:cs="Times New Roman"/>
          <w:b/>
          <w:bCs/>
          <w:sz w:val="24"/>
        </w:rPr>
        <w:t xml:space="preserve">Existing </w:t>
      </w:r>
      <w:r w:rsidR="00627CCC" w:rsidRPr="00411383">
        <w:rPr>
          <w:rFonts w:ascii="Times New Roman" w:hAnsi="Times New Roman" w:cs="Times New Roman"/>
          <w:b/>
          <w:bCs/>
          <w:sz w:val="24"/>
        </w:rPr>
        <w:t xml:space="preserve">Literature </w:t>
      </w:r>
      <w:r w:rsidR="0068718F">
        <w:rPr>
          <w:rFonts w:ascii="Times New Roman" w:hAnsi="Times New Roman" w:cs="Times New Roman"/>
          <w:b/>
          <w:bCs/>
          <w:sz w:val="24"/>
        </w:rPr>
        <w:t>on the National Interest</w:t>
      </w:r>
      <w:r w:rsidR="00CE630D">
        <w:rPr>
          <w:rFonts w:ascii="Times New Roman" w:hAnsi="Times New Roman" w:cs="Times New Roman"/>
          <w:b/>
          <w:bCs/>
          <w:sz w:val="24"/>
        </w:rPr>
        <w:t xml:space="preserve"> in Migration </w:t>
      </w:r>
      <w:r w:rsidR="0097397D">
        <w:rPr>
          <w:rFonts w:ascii="Times New Roman" w:hAnsi="Times New Roman" w:cs="Times New Roman"/>
          <w:b/>
          <w:bCs/>
          <w:sz w:val="24"/>
        </w:rPr>
        <w:t>Cases</w:t>
      </w:r>
    </w:p>
    <w:p w14:paraId="75D2DDF0" w14:textId="77777777" w:rsidR="008F3204" w:rsidRPr="00411383" w:rsidRDefault="008F3204" w:rsidP="00E33B82">
      <w:pPr>
        <w:spacing w:line="360" w:lineRule="auto"/>
        <w:jc w:val="both"/>
        <w:rPr>
          <w:rFonts w:ascii="Times New Roman" w:hAnsi="Times New Roman" w:cs="Times New Roman"/>
          <w:sz w:val="24"/>
        </w:rPr>
      </w:pPr>
    </w:p>
    <w:p w14:paraId="280019FA" w14:textId="62CE77C2" w:rsidR="005A56DA" w:rsidRDefault="00332419" w:rsidP="00E33B82">
      <w:pPr>
        <w:spacing w:line="360" w:lineRule="auto"/>
        <w:jc w:val="both"/>
        <w:rPr>
          <w:rFonts w:ascii="Times New Roman" w:hAnsi="Times New Roman" w:cs="Times New Roman"/>
          <w:sz w:val="24"/>
        </w:rPr>
      </w:pPr>
      <w:r>
        <w:rPr>
          <w:rFonts w:ascii="Times New Roman" w:hAnsi="Times New Roman" w:cs="Times New Roman"/>
          <w:sz w:val="24"/>
        </w:rPr>
        <w:t>As discussed above, t</w:t>
      </w:r>
      <w:r w:rsidR="008F3204" w:rsidRPr="00411383">
        <w:rPr>
          <w:rFonts w:ascii="Times New Roman" w:hAnsi="Times New Roman" w:cs="Times New Roman"/>
          <w:sz w:val="24"/>
        </w:rPr>
        <w:t xml:space="preserve">he use of </w:t>
      </w:r>
      <w:r w:rsidR="005C4129" w:rsidRPr="00411383">
        <w:rPr>
          <w:rFonts w:ascii="Times New Roman" w:hAnsi="Times New Roman" w:cs="Times New Roman"/>
          <w:sz w:val="24"/>
        </w:rPr>
        <w:t xml:space="preserve">broad </w:t>
      </w:r>
      <w:r w:rsidR="008F3204" w:rsidRPr="00411383">
        <w:rPr>
          <w:rFonts w:ascii="Times New Roman" w:hAnsi="Times New Roman" w:cs="Times New Roman"/>
          <w:sz w:val="24"/>
        </w:rPr>
        <w:t xml:space="preserve">executive powers to make immigration decisions </w:t>
      </w:r>
      <w:r w:rsidR="00FB1E84" w:rsidRPr="00411383">
        <w:rPr>
          <w:rFonts w:ascii="Times New Roman" w:hAnsi="Times New Roman" w:cs="Times New Roman"/>
          <w:sz w:val="24"/>
        </w:rPr>
        <w:t>raise</w:t>
      </w:r>
      <w:r w:rsidR="006112AE">
        <w:rPr>
          <w:rFonts w:ascii="Times New Roman" w:hAnsi="Times New Roman" w:cs="Times New Roman"/>
          <w:sz w:val="24"/>
        </w:rPr>
        <w:t>s</w:t>
      </w:r>
      <w:r w:rsidR="00FB1E84" w:rsidRPr="00411383">
        <w:rPr>
          <w:rFonts w:ascii="Times New Roman" w:hAnsi="Times New Roman" w:cs="Times New Roman"/>
          <w:sz w:val="24"/>
        </w:rPr>
        <w:t xml:space="preserve"> </w:t>
      </w:r>
      <w:r w:rsidR="008F3204" w:rsidRPr="00411383">
        <w:rPr>
          <w:rFonts w:ascii="Times New Roman" w:hAnsi="Times New Roman" w:cs="Times New Roman"/>
          <w:sz w:val="24"/>
        </w:rPr>
        <w:t xml:space="preserve">fundamental </w:t>
      </w:r>
      <w:r w:rsidR="00FB1E84" w:rsidRPr="00411383">
        <w:rPr>
          <w:rFonts w:ascii="Times New Roman" w:hAnsi="Times New Roman" w:cs="Times New Roman"/>
          <w:sz w:val="24"/>
        </w:rPr>
        <w:t xml:space="preserve">questions regarding </w:t>
      </w:r>
      <w:r w:rsidR="008F3204" w:rsidRPr="00411383">
        <w:rPr>
          <w:rFonts w:ascii="Times New Roman" w:hAnsi="Times New Roman" w:cs="Times New Roman"/>
          <w:sz w:val="24"/>
        </w:rPr>
        <w:t xml:space="preserve">the rule of law, </w:t>
      </w:r>
      <w:r w:rsidR="00266B51" w:rsidRPr="00411383">
        <w:rPr>
          <w:rFonts w:ascii="Times New Roman" w:hAnsi="Times New Roman" w:cs="Times New Roman"/>
          <w:sz w:val="24"/>
        </w:rPr>
        <w:t xml:space="preserve">the </w:t>
      </w:r>
      <w:r w:rsidR="008F3204" w:rsidRPr="00411383">
        <w:rPr>
          <w:rFonts w:ascii="Times New Roman" w:hAnsi="Times New Roman" w:cs="Times New Roman"/>
          <w:sz w:val="24"/>
        </w:rPr>
        <w:t>separation of powers, parliamentary sovereignty</w:t>
      </w:r>
      <w:r w:rsidR="00266B51" w:rsidRPr="00411383">
        <w:rPr>
          <w:rFonts w:ascii="Times New Roman" w:hAnsi="Times New Roman" w:cs="Times New Roman"/>
          <w:sz w:val="24"/>
        </w:rPr>
        <w:t>,</w:t>
      </w:r>
      <w:r w:rsidR="008F3204" w:rsidRPr="00411383">
        <w:rPr>
          <w:rFonts w:ascii="Times New Roman" w:hAnsi="Times New Roman" w:cs="Times New Roman"/>
          <w:sz w:val="24"/>
        </w:rPr>
        <w:t xml:space="preserve"> the operation of key administrative law principles</w:t>
      </w:r>
      <w:r w:rsidR="00AD3C56">
        <w:rPr>
          <w:rFonts w:ascii="Times New Roman" w:hAnsi="Times New Roman" w:cs="Times New Roman"/>
          <w:sz w:val="24"/>
        </w:rPr>
        <w:t xml:space="preserve"> and </w:t>
      </w:r>
      <w:r w:rsidR="008F3204" w:rsidRPr="00411383">
        <w:rPr>
          <w:rFonts w:ascii="Times New Roman" w:hAnsi="Times New Roman" w:cs="Times New Roman"/>
          <w:sz w:val="24"/>
        </w:rPr>
        <w:t>Australia’s international treaty obligations.</w:t>
      </w:r>
      <w:r w:rsidR="002B2D9D">
        <w:rPr>
          <w:rFonts w:ascii="Times New Roman" w:hAnsi="Times New Roman" w:cs="Times New Roman"/>
          <w:sz w:val="24"/>
        </w:rPr>
        <w:t xml:space="preserve"> </w:t>
      </w:r>
      <w:r w:rsidR="009A3A45" w:rsidRPr="00411383">
        <w:rPr>
          <w:rFonts w:ascii="Times New Roman" w:hAnsi="Times New Roman" w:cs="Times New Roman"/>
          <w:sz w:val="24"/>
        </w:rPr>
        <w:t>Some of these questions have been considered in the</w:t>
      </w:r>
      <w:r w:rsidR="00583E96" w:rsidRPr="00411383">
        <w:rPr>
          <w:rFonts w:ascii="Times New Roman" w:hAnsi="Times New Roman" w:cs="Times New Roman"/>
          <w:sz w:val="24"/>
        </w:rPr>
        <w:t xml:space="preserve"> academic</w:t>
      </w:r>
      <w:r w:rsidR="009A3A45" w:rsidRPr="00411383">
        <w:rPr>
          <w:rFonts w:ascii="Times New Roman" w:hAnsi="Times New Roman" w:cs="Times New Roman"/>
          <w:sz w:val="24"/>
        </w:rPr>
        <w:t xml:space="preserve"> literature to date. </w:t>
      </w:r>
      <w:r w:rsidR="00A44E14">
        <w:rPr>
          <w:rFonts w:ascii="Times New Roman" w:hAnsi="Times New Roman" w:cs="Times New Roman"/>
          <w:sz w:val="24"/>
        </w:rPr>
        <w:t xml:space="preserve">In particular, as discussed below, </w:t>
      </w:r>
      <w:r w:rsidR="00AA642A">
        <w:rPr>
          <w:rFonts w:ascii="Times New Roman" w:hAnsi="Times New Roman" w:cs="Times New Roman"/>
          <w:sz w:val="24"/>
        </w:rPr>
        <w:t xml:space="preserve">previous authors have </w:t>
      </w:r>
      <w:r w:rsidR="00EF29FA">
        <w:rPr>
          <w:rFonts w:ascii="Times New Roman" w:hAnsi="Times New Roman" w:cs="Times New Roman"/>
          <w:sz w:val="24"/>
        </w:rPr>
        <w:t>cautioned against the exceptional breadth of these powers and have sought principled bases on which these powers may be monitored or constrained.</w:t>
      </w:r>
    </w:p>
    <w:p w14:paraId="2851FA96" w14:textId="77777777" w:rsidR="00D551AD" w:rsidRDefault="00D551AD" w:rsidP="00E33B82">
      <w:pPr>
        <w:spacing w:line="360" w:lineRule="auto"/>
        <w:jc w:val="both"/>
        <w:rPr>
          <w:rFonts w:ascii="Times New Roman" w:hAnsi="Times New Roman" w:cs="Times New Roman"/>
          <w:sz w:val="24"/>
        </w:rPr>
      </w:pPr>
    </w:p>
    <w:p w14:paraId="7B3F548F" w14:textId="6719BBBF" w:rsidR="00D551AD" w:rsidRPr="00BE6C7F" w:rsidRDefault="00D551AD" w:rsidP="00E33B82">
      <w:pPr>
        <w:spacing w:line="360" w:lineRule="auto"/>
        <w:jc w:val="both"/>
        <w:rPr>
          <w:rFonts w:ascii="Times New Roman" w:hAnsi="Times New Roman" w:cs="Times New Roman"/>
          <w:b/>
          <w:bCs/>
          <w:i/>
          <w:iCs/>
          <w:sz w:val="24"/>
        </w:rPr>
      </w:pPr>
      <w:r w:rsidRPr="00BE6C7F">
        <w:rPr>
          <w:rFonts w:ascii="Times New Roman" w:hAnsi="Times New Roman" w:cs="Times New Roman"/>
          <w:b/>
          <w:bCs/>
          <w:i/>
          <w:iCs/>
          <w:sz w:val="24"/>
        </w:rPr>
        <w:t>3.1</w:t>
      </w:r>
      <w:r w:rsidRPr="00BE6C7F">
        <w:rPr>
          <w:rFonts w:ascii="Times New Roman" w:hAnsi="Times New Roman" w:cs="Times New Roman"/>
          <w:b/>
          <w:bCs/>
          <w:i/>
          <w:iCs/>
          <w:sz w:val="24"/>
        </w:rPr>
        <w:tab/>
        <w:t>Appleby and Reilly</w:t>
      </w:r>
    </w:p>
    <w:p w14:paraId="12BF59A2" w14:textId="77777777" w:rsidR="005A56DA" w:rsidRDefault="005A56DA" w:rsidP="00E33B82">
      <w:pPr>
        <w:spacing w:line="360" w:lineRule="auto"/>
        <w:jc w:val="both"/>
        <w:rPr>
          <w:rFonts w:ascii="Times New Roman" w:hAnsi="Times New Roman" w:cs="Times New Roman"/>
          <w:sz w:val="24"/>
        </w:rPr>
      </w:pPr>
    </w:p>
    <w:p w14:paraId="710E119B" w14:textId="77777777" w:rsidR="00D551AD" w:rsidRPr="00411383" w:rsidRDefault="00D551AD" w:rsidP="00D551AD">
      <w:pPr>
        <w:spacing w:line="360" w:lineRule="auto"/>
        <w:jc w:val="both"/>
        <w:rPr>
          <w:rFonts w:ascii="Times New Roman" w:hAnsi="Times New Roman" w:cs="Times New Roman"/>
          <w:sz w:val="24"/>
        </w:rPr>
      </w:pPr>
      <w:r w:rsidRPr="00411383">
        <w:rPr>
          <w:rFonts w:ascii="Times New Roman" w:hAnsi="Times New Roman" w:cs="Times New Roman"/>
          <w:sz w:val="24"/>
        </w:rPr>
        <w:t xml:space="preserve">In 2017, Gabrielle Appleby and Alexander Reilly examined the nature and scope of ‘public interest’ powers in the </w:t>
      </w:r>
      <w:r w:rsidRPr="00FE3B29">
        <w:rPr>
          <w:rFonts w:ascii="Times New Roman" w:hAnsi="Times New Roman" w:cs="Times New Roman"/>
          <w:i/>
          <w:iCs/>
          <w:sz w:val="24"/>
        </w:rPr>
        <w:t>Migration Act</w:t>
      </w:r>
      <w:r w:rsidRPr="00411383">
        <w:rPr>
          <w:rFonts w:ascii="Times New Roman" w:hAnsi="Times New Roman" w:cs="Times New Roman"/>
          <w:sz w:val="24"/>
        </w:rPr>
        <w:t>.</w:t>
      </w:r>
      <w:r w:rsidRPr="00411383">
        <w:rPr>
          <w:rStyle w:val="FootnoteReference"/>
          <w:rFonts w:ascii="Times New Roman" w:hAnsi="Times New Roman" w:cs="Times New Roman"/>
          <w:sz w:val="24"/>
        </w:rPr>
        <w:footnoteReference w:id="67"/>
      </w:r>
      <w:r w:rsidRPr="00411383">
        <w:rPr>
          <w:rFonts w:ascii="Times New Roman" w:hAnsi="Times New Roman" w:cs="Times New Roman"/>
          <w:sz w:val="24"/>
        </w:rPr>
        <w:t xml:space="preserve"> As they noted, ‘fundamental questions’ arise in relation to the term ‘public interest’ – many of which are also relevant to the related but distinct term ‘national interest’:</w:t>
      </w:r>
    </w:p>
    <w:p w14:paraId="43C6505C" w14:textId="77777777" w:rsidR="00D551AD" w:rsidRPr="00411383" w:rsidRDefault="00D551AD" w:rsidP="00D551AD">
      <w:pPr>
        <w:ind w:left="720"/>
        <w:jc w:val="both"/>
        <w:rPr>
          <w:rFonts w:ascii="Times New Roman" w:hAnsi="Times New Roman" w:cs="Times New Roman"/>
          <w:sz w:val="24"/>
          <w:u w:val="single"/>
        </w:rPr>
      </w:pPr>
      <w:r w:rsidRPr="00411383">
        <w:rPr>
          <w:rFonts w:ascii="Times New Roman" w:hAnsi="Times New Roman" w:cs="Times New Roman"/>
          <w:sz w:val="24"/>
        </w:rPr>
        <w:t>Does the public interest act as a constraint on discretionary power or is it simply an expression of absolute discretion? If it is a constraint, how does a decision-maker determine the parameters of the public interest? Is there a singular fixed meaning for the public interest across the statute book? What is the role of the executive, the Parliament, and the courts in determining what might constitute the public interest?</w:t>
      </w:r>
      <w:r w:rsidRPr="00411383">
        <w:rPr>
          <w:rStyle w:val="FootnoteReference"/>
          <w:rFonts w:ascii="Times New Roman" w:hAnsi="Times New Roman" w:cs="Times New Roman"/>
          <w:sz w:val="24"/>
        </w:rPr>
        <w:footnoteReference w:id="68"/>
      </w:r>
    </w:p>
    <w:p w14:paraId="2A05A660" w14:textId="77777777" w:rsidR="00D551AD" w:rsidRPr="00411383" w:rsidRDefault="00D551AD" w:rsidP="00D551AD">
      <w:pPr>
        <w:spacing w:line="360" w:lineRule="auto"/>
        <w:jc w:val="both"/>
        <w:rPr>
          <w:rFonts w:ascii="Times New Roman" w:hAnsi="Times New Roman" w:cs="Times New Roman"/>
          <w:sz w:val="24"/>
        </w:rPr>
      </w:pPr>
    </w:p>
    <w:p w14:paraId="35CC7942" w14:textId="181051BD" w:rsidR="00D551AD" w:rsidRDefault="00D551AD" w:rsidP="00D551AD">
      <w:pPr>
        <w:spacing w:line="360" w:lineRule="auto"/>
        <w:jc w:val="both"/>
        <w:rPr>
          <w:rFonts w:ascii="Times New Roman" w:hAnsi="Times New Roman" w:cs="Times New Roman"/>
          <w:sz w:val="24"/>
        </w:rPr>
      </w:pPr>
      <w:r w:rsidRPr="00411383">
        <w:rPr>
          <w:rFonts w:ascii="Times New Roman" w:hAnsi="Times New Roman" w:cs="Times New Roman"/>
          <w:sz w:val="24"/>
        </w:rPr>
        <w:t>As Appleby and Reilly observe</w:t>
      </w:r>
      <w:r w:rsidR="00CA666C">
        <w:rPr>
          <w:rFonts w:ascii="Times New Roman" w:hAnsi="Times New Roman" w:cs="Times New Roman"/>
          <w:sz w:val="24"/>
        </w:rPr>
        <w:t>d</w:t>
      </w:r>
      <w:r w:rsidRPr="00411383">
        <w:rPr>
          <w:rFonts w:ascii="Times New Roman" w:hAnsi="Times New Roman" w:cs="Times New Roman"/>
          <w:sz w:val="24"/>
        </w:rPr>
        <w:t xml:space="preserve">, these questions have particular resonance in the migration space, given that (among other things) ‘the Minister for Immigration is conferred more </w:t>
      </w:r>
      <w:r w:rsidRPr="00411383">
        <w:rPr>
          <w:rFonts w:ascii="Times New Roman" w:hAnsi="Times New Roman" w:cs="Times New Roman"/>
          <w:sz w:val="24"/>
        </w:rPr>
        <w:lastRenderedPageBreak/>
        <w:t>discretionary power to be exercised in the public interest than any other government minister’, across a wide range of fields and with significant human consequences.</w:t>
      </w:r>
      <w:r w:rsidRPr="00411383">
        <w:rPr>
          <w:rStyle w:val="FootnoteReference"/>
          <w:rFonts w:ascii="Times New Roman" w:hAnsi="Times New Roman" w:cs="Times New Roman"/>
          <w:sz w:val="24"/>
        </w:rPr>
        <w:footnoteReference w:id="69"/>
      </w:r>
      <w:r w:rsidRPr="00411383">
        <w:rPr>
          <w:rFonts w:ascii="Times New Roman" w:hAnsi="Times New Roman" w:cs="Times New Roman"/>
          <w:sz w:val="24"/>
        </w:rPr>
        <w:t xml:space="preserve"> </w:t>
      </w:r>
    </w:p>
    <w:p w14:paraId="00549E4A" w14:textId="77777777" w:rsidR="00D551AD" w:rsidRDefault="00D551AD" w:rsidP="00D551AD">
      <w:pPr>
        <w:spacing w:line="360" w:lineRule="auto"/>
        <w:jc w:val="both"/>
        <w:rPr>
          <w:rFonts w:ascii="Times New Roman" w:hAnsi="Times New Roman" w:cs="Times New Roman"/>
          <w:sz w:val="24"/>
        </w:rPr>
      </w:pPr>
    </w:p>
    <w:p w14:paraId="49493108" w14:textId="0A89E780" w:rsidR="00D551AD" w:rsidRDefault="00D551AD" w:rsidP="00D551AD">
      <w:pPr>
        <w:spacing w:line="360" w:lineRule="auto"/>
        <w:jc w:val="both"/>
        <w:rPr>
          <w:rFonts w:ascii="Times New Roman" w:hAnsi="Times New Roman" w:cs="Times New Roman"/>
          <w:sz w:val="24"/>
        </w:rPr>
      </w:pPr>
      <w:r>
        <w:rPr>
          <w:rFonts w:ascii="Times New Roman" w:hAnsi="Times New Roman" w:cs="Times New Roman"/>
          <w:sz w:val="24"/>
        </w:rPr>
        <w:t xml:space="preserve">Appleby and Reilly </w:t>
      </w:r>
      <w:r w:rsidR="00F81F53">
        <w:rPr>
          <w:rFonts w:ascii="Times New Roman" w:hAnsi="Times New Roman" w:cs="Times New Roman"/>
          <w:sz w:val="24"/>
        </w:rPr>
        <w:t xml:space="preserve">hence </w:t>
      </w:r>
      <w:r w:rsidRPr="00411383">
        <w:rPr>
          <w:rFonts w:ascii="Times New Roman" w:hAnsi="Times New Roman" w:cs="Times New Roman"/>
          <w:sz w:val="24"/>
        </w:rPr>
        <w:t>argued for a ‘meta-principle of interpretation’, by which courts would presume (as a principle of statutory interpretation) that the term ‘public interest’ imports ‘a number of acceptable and unacceptable factors (or inputs) that might be taken into account in determining the public interest, and the balancing of those inputs to determine an outcome’.</w:t>
      </w:r>
      <w:r w:rsidRPr="00411383">
        <w:rPr>
          <w:rStyle w:val="FootnoteReference"/>
          <w:rFonts w:ascii="Times New Roman" w:hAnsi="Times New Roman" w:cs="Times New Roman"/>
          <w:sz w:val="24"/>
        </w:rPr>
        <w:footnoteReference w:id="70"/>
      </w:r>
      <w:r w:rsidRPr="00411383">
        <w:rPr>
          <w:rFonts w:ascii="Times New Roman" w:hAnsi="Times New Roman" w:cs="Times New Roman"/>
          <w:sz w:val="24"/>
        </w:rPr>
        <w:t xml:space="preserve"> Relevantly, this ‘meta-principle’ would be informed by the presumption ‘that Parliament intended to legislate in accordance with Australia’s international obligations’.</w:t>
      </w:r>
      <w:r w:rsidRPr="00411383">
        <w:rPr>
          <w:rStyle w:val="FootnoteReference"/>
          <w:rFonts w:ascii="Times New Roman" w:hAnsi="Times New Roman" w:cs="Times New Roman"/>
          <w:sz w:val="24"/>
        </w:rPr>
        <w:footnoteReference w:id="71"/>
      </w:r>
    </w:p>
    <w:p w14:paraId="17EAE9EF" w14:textId="77777777" w:rsidR="00D551AD" w:rsidRDefault="00D551AD" w:rsidP="00D551AD">
      <w:pPr>
        <w:spacing w:line="360" w:lineRule="auto"/>
        <w:jc w:val="both"/>
        <w:rPr>
          <w:rFonts w:ascii="Times New Roman" w:hAnsi="Times New Roman" w:cs="Times New Roman"/>
          <w:bCs/>
          <w:sz w:val="24"/>
        </w:rPr>
      </w:pPr>
    </w:p>
    <w:p w14:paraId="2A1D3883" w14:textId="77777777" w:rsidR="00D551AD" w:rsidRDefault="00D551AD" w:rsidP="00D551AD">
      <w:pPr>
        <w:spacing w:line="360" w:lineRule="auto"/>
        <w:jc w:val="both"/>
        <w:rPr>
          <w:rFonts w:ascii="Times New Roman" w:hAnsi="Times New Roman" w:cs="Times New Roman"/>
          <w:sz w:val="24"/>
        </w:rPr>
      </w:pPr>
      <w:r>
        <w:rPr>
          <w:rFonts w:ascii="Times New Roman" w:hAnsi="Times New Roman" w:cs="Times New Roman"/>
          <w:bCs/>
          <w:sz w:val="24"/>
        </w:rPr>
        <w:t xml:space="preserve">Interestingly, </w:t>
      </w:r>
      <w:r w:rsidRPr="00411383">
        <w:rPr>
          <w:rFonts w:ascii="Times New Roman" w:hAnsi="Times New Roman" w:cs="Times New Roman"/>
          <w:bCs/>
          <w:sz w:val="24"/>
        </w:rPr>
        <w:t>Appleby and Reilly rely on rule of law considerations in support of their proposed ‘stronger realist approach’ for the construction of public interest and national interest powers</w:t>
      </w:r>
      <w:r>
        <w:rPr>
          <w:rFonts w:ascii="Times New Roman" w:hAnsi="Times New Roman" w:cs="Times New Roman"/>
          <w:bCs/>
          <w:sz w:val="24"/>
        </w:rPr>
        <w:t>. They</w:t>
      </w:r>
      <w:r w:rsidRPr="00411383">
        <w:rPr>
          <w:rFonts w:ascii="Times New Roman" w:hAnsi="Times New Roman" w:cs="Times New Roman"/>
          <w:bCs/>
          <w:sz w:val="24"/>
        </w:rPr>
        <w:t xml:space="preserve"> argu</w:t>
      </w:r>
      <w:r>
        <w:rPr>
          <w:rFonts w:ascii="Times New Roman" w:hAnsi="Times New Roman" w:cs="Times New Roman"/>
          <w:bCs/>
          <w:sz w:val="24"/>
        </w:rPr>
        <w:t>e</w:t>
      </w:r>
      <w:r w:rsidRPr="00411383">
        <w:rPr>
          <w:rFonts w:ascii="Times New Roman" w:hAnsi="Times New Roman" w:cs="Times New Roman"/>
          <w:bCs/>
          <w:sz w:val="24"/>
        </w:rPr>
        <w:t xml:space="preserve"> in favour of </w:t>
      </w:r>
      <w:r>
        <w:rPr>
          <w:rFonts w:ascii="Times New Roman" w:hAnsi="Times New Roman" w:cs="Times New Roman"/>
          <w:bCs/>
          <w:sz w:val="24"/>
        </w:rPr>
        <w:t xml:space="preserve">an approach whereby </w:t>
      </w:r>
      <w:r w:rsidRPr="00411383">
        <w:rPr>
          <w:rFonts w:ascii="Times New Roman" w:hAnsi="Times New Roman" w:cs="Times New Roman"/>
          <w:sz w:val="24"/>
        </w:rPr>
        <w:t xml:space="preserve">judicial review </w:t>
      </w:r>
      <w:r>
        <w:rPr>
          <w:rFonts w:ascii="Times New Roman" w:hAnsi="Times New Roman" w:cs="Times New Roman"/>
          <w:sz w:val="24"/>
        </w:rPr>
        <w:t xml:space="preserve">is undertaken of </w:t>
      </w:r>
      <w:r w:rsidRPr="00411383">
        <w:rPr>
          <w:rFonts w:ascii="Times New Roman" w:hAnsi="Times New Roman" w:cs="Times New Roman"/>
          <w:sz w:val="24"/>
        </w:rPr>
        <w:t xml:space="preserve">the </w:t>
      </w:r>
      <w:r w:rsidRPr="003A7BF5">
        <w:rPr>
          <w:rFonts w:ascii="Times New Roman" w:hAnsi="Times New Roman" w:cs="Times New Roman"/>
          <w:i/>
          <w:iCs/>
          <w:sz w:val="24"/>
        </w:rPr>
        <w:t>relevant factors</w:t>
      </w:r>
      <w:r w:rsidRPr="00411383">
        <w:rPr>
          <w:rFonts w:ascii="Times New Roman" w:hAnsi="Times New Roman" w:cs="Times New Roman"/>
          <w:sz w:val="24"/>
        </w:rPr>
        <w:t xml:space="preserve"> taken into account in applying the </w:t>
      </w:r>
      <w:r>
        <w:rPr>
          <w:rFonts w:ascii="Times New Roman" w:hAnsi="Times New Roman" w:cs="Times New Roman"/>
          <w:sz w:val="24"/>
        </w:rPr>
        <w:t xml:space="preserve">public interest </w:t>
      </w:r>
      <w:r w:rsidRPr="00411383">
        <w:rPr>
          <w:rFonts w:ascii="Times New Roman" w:hAnsi="Times New Roman" w:cs="Times New Roman"/>
          <w:sz w:val="24"/>
        </w:rPr>
        <w:t xml:space="preserve">test rather than of the </w:t>
      </w:r>
      <w:r w:rsidRPr="003A7BF5">
        <w:rPr>
          <w:rFonts w:ascii="Times New Roman" w:hAnsi="Times New Roman" w:cs="Times New Roman"/>
          <w:i/>
          <w:iCs/>
          <w:sz w:val="24"/>
        </w:rPr>
        <w:t>substantive public interest decision itself</w:t>
      </w:r>
      <w:r>
        <w:rPr>
          <w:rFonts w:ascii="Times New Roman" w:hAnsi="Times New Roman" w:cs="Times New Roman"/>
          <w:sz w:val="24"/>
        </w:rPr>
        <w:t>:</w:t>
      </w:r>
      <w:r w:rsidRPr="00411383">
        <w:rPr>
          <w:rFonts w:ascii="Times New Roman" w:hAnsi="Times New Roman" w:cs="Times New Roman"/>
          <w:sz w:val="24"/>
        </w:rPr>
        <w:t xml:space="preserve"> </w:t>
      </w:r>
    </w:p>
    <w:p w14:paraId="3E0DC664" w14:textId="77777777" w:rsidR="00D551AD" w:rsidRPr="00480D14" w:rsidRDefault="00D551AD" w:rsidP="00D551AD">
      <w:pPr>
        <w:pStyle w:val="Quote"/>
      </w:pPr>
      <w:r w:rsidRPr="00480D14">
        <w:t>Ultimately, it is the authors’ view that a stronger realist approach, rather than an idealist view of the public and national interest discretions, must be adopted. That is, the authors do not support judicial review of the substantive public interest decision, but, accepting the inherent subjectivity of a public interest test, advocate for judicial review of the relevant factors taken into account in applying the test. This part explains how a stronger realist approach might operate, considering the aspects of the public interest the court might review, and the processes of decision-making it might require in the exercise of ministerial discretion.</w:t>
      </w:r>
      <w:r w:rsidRPr="00480D14">
        <w:rPr>
          <w:rStyle w:val="FootnoteReference"/>
        </w:rPr>
        <w:t xml:space="preserve"> </w:t>
      </w:r>
      <w:r w:rsidRPr="00411383">
        <w:rPr>
          <w:rStyle w:val="FootnoteReference"/>
        </w:rPr>
        <w:footnoteReference w:id="72"/>
      </w:r>
      <w:r w:rsidRPr="00480D14">
        <w:t xml:space="preserve"> </w:t>
      </w:r>
    </w:p>
    <w:p w14:paraId="3180CB23" w14:textId="77777777" w:rsidR="00D551AD" w:rsidRDefault="00D551AD" w:rsidP="00D551AD">
      <w:pPr>
        <w:spacing w:line="360" w:lineRule="auto"/>
        <w:jc w:val="both"/>
        <w:rPr>
          <w:rFonts w:ascii="Times New Roman" w:hAnsi="Times New Roman" w:cs="Times New Roman"/>
          <w:sz w:val="24"/>
        </w:rPr>
      </w:pPr>
    </w:p>
    <w:p w14:paraId="34FDCB44" w14:textId="77777777" w:rsidR="00D551AD" w:rsidRDefault="00D551AD" w:rsidP="00D551AD">
      <w:pPr>
        <w:spacing w:line="360" w:lineRule="auto"/>
        <w:jc w:val="both"/>
        <w:rPr>
          <w:rFonts w:ascii="Times New Roman" w:hAnsi="Times New Roman" w:cs="Times New Roman"/>
          <w:sz w:val="24"/>
        </w:rPr>
      </w:pPr>
      <w:r>
        <w:rPr>
          <w:rFonts w:ascii="Times New Roman" w:hAnsi="Times New Roman" w:cs="Times New Roman"/>
          <w:sz w:val="24"/>
        </w:rPr>
        <w:t>Thus</w:t>
      </w:r>
      <w:r w:rsidRPr="00411383">
        <w:rPr>
          <w:rFonts w:ascii="Times New Roman" w:hAnsi="Times New Roman" w:cs="Times New Roman"/>
          <w:sz w:val="24"/>
        </w:rPr>
        <w:t xml:space="preserve">, this ‘meta-principle’ would require a range of factors to be considered in a determination of the ‘national interest’ or the ‘public interest’, and permit the courts to identify error where these factors were not considered. </w:t>
      </w:r>
    </w:p>
    <w:p w14:paraId="076BC979" w14:textId="77777777" w:rsidR="00D551AD" w:rsidRDefault="00D551AD" w:rsidP="00D551AD">
      <w:pPr>
        <w:spacing w:line="360" w:lineRule="auto"/>
        <w:jc w:val="both"/>
        <w:rPr>
          <w:rFonts w:ascii="Times New Roman" w:hAnsi="Times New Roman" w:cs="Times New Roman"/>
          <w:sz w:val="24"/>
        </w:rPr>
      </w:pPr>
    </w:p>
    <w:p w14:paraId="4D1CCB4C" w14:textId="6F218595" w:rsidR="00D551AD" w:rsidRPr="00183CED" w:rsidRDefault="00D551AD" w:rsidP="00D551AD">
      <w:pPr>
        <w:spacing w:line="360" w:lineRule="auto"/>
        <w:jc w:val="both"/>
        <w:rPr>
          <w:rFonts w:ascii="Times New Roman" w:hAnsi="Times New Roman" w:cs="Times New Roman"/>
          <w:iCs/>
          <w:sz w:val="24"/>
        </w:rPr>
      </w:pPr>
      <w:r w:rsidRPr="00411383">
        <w:rPr>
          <w:rFonts w:ascii="Times New Roman" w:hAnsi="Times New Roman" w:cs="Times New Roman"/>
          <w:sz w:val="24"/>
        </w:rPr>
        <w:t xml:space="preserve">Appleby and Reilly’s analysis has not yet been expressly accepted by Australian courts. Nonetheless, as </w:t>
      </w:r>
      <w:r w:rsidR="00E55E62">
        <w:rPr>
          <w:rFonts w:ascii="Times New Roman" w:hAnsi="Times New Roman" w:cs="Times New Roman"/>
          <w:sz w:val="24"/>
        </w:rPr>
        <w:t>examined</w:t>
      </w:r>
      <w:r w:rsidR="00E55E62" w:rsidRPr="00411383">
        <w:rPr>
          <w:rFonts w:ascii="Times New Roman" w:hAnsi="Times New Roman" w:cs="Times New Roman"/>
          <w:sz w:val="24"/>
        </w:rPr>
        <w:t xml:space="preserve"> </w:t>
      </w:r>
      <w:r w:rsidR="00E55E62">
        <w:rPr>
          <w:rFonts w:ascii="Times New Roman" w:hAnsi="Times New Roman" w:cs="Times New Roman"/>
          <w:sz w:val="24"/>
        </w:rPr>
        <w:t xml:space="preserve">at length </w:t>
      </w:r>
      <w:r w:rsidRPr="00411383">
        <w:rPr>
          <w:rFonts w:ascii="Times New Roman" w:hAnsi="Times New Roman" w:cs="Times New Roman"/>
          <w:sz w:val="24"/>
        </w:rPr>
        <w:t xml:space="preserve">below, their proposed approach is consistent with </w:t>
      </w:r>
      <w:r w:rsidR="00F01327">
        <w:rPr>
          <w:rFonts w:ascii="Times New Roman" w:hAnsi="Times New Roman" w:cs="Times New Roman"/>
          <w:sz w:val="24"/>
        </w:rPr>
        <w:t xml:space="preserve">what </w:t>
      </w:r>
      <w:r w:rsidRPr="00411383">
        <w:rPr>
          <w:rFonts w:ascii="Times New Roman" w:hAnsi="Times New Roman" w:cs="Times New Roman"/>
          <w:sz w:val="24"/>
        </w:rPr>
        <w:t xml:space="preserve">was adopted by the Full Court of the Federal Court in </w:t>
      </w:r>
      <w:r w:rsidRPr="00411383">
        <w:rPr>
          <w:rFonts w:ascii="Times New Roman" w:hAnsi="Times New Roman" w:cs="Times New Roman"/>
          <w:i/>
          <w:iCs/>
          <w:sz w:val="24"/>
        </w:rPr>
        <w:t>CWY20</w:t>
      </w:r>
      <w:r w:rsidRPr="00411383">
        <w:rPr>
          <w:rFonts w:ascii="Times New Roman" w:hAnsi="Times New Roman" w:cs="Times New Roman"/>
          <w:iCs/>
          <w:sz w:val="24"/>
        </w:rPr>
        <w:t>.</w:t>
      </w:r>
      <w:r>
        <w:rPr>
          <w:rFonts w:ascii="Times New Roman" w:hAnsi="Times New Roman" w:cs="Times New Roman"/>
          <w:iCs/>
          <w:sz w:val="24"/>
        </w:rPr>
        <w:t xml:space="preserve"> Our analysis of the Federal Court’s </w:t>
      </w:r>
      <w:r>
        <w:rPr>
          <w:rFonts w:ascii="Times New Roman" w:hAnsi="Times New Roman" w:cs="Times New Roman"/>
          <w:iCs/>
          <w:sz w:val="24"/>
        </w:rPr>
        <w:lastRenderedPageBreak/>
        <w:t>recent cases on non-</w:t>
      </w:r>
      <w:r>
        <w:rPr>
          <w:rFonts w:ascii="Times New Roman" w:hAnsi="Times New Roman" w:cs="Times New Roman"/>
          <w:i/>
          <w:sz w:val="24"/>
        </w:rPr>
        <w:t>refoulement</w:t>
      </w:r>
      <w:r>
        <w:rPr>
          <w:rFonts w:ascii="Times New Roman" w:hAnsi="Times New Roman" w:cs="Times New Roman"/>
          <w:iCs/>
          <w:sz w:val="24"/>
        </w:rPr>
        <w:t xml:space="preserve"> and the national interest is hence strongly informed by, and considers the potential applicability of, Appleby and Reilly’s ‘meta-principle’.</w:t>
      </w:r>
    </w:p>
    <w:p w14:paraId="5A8232A7" w14:textId="77777777" w:rsidR="00D551AD" w:rsidRDefault="00D551AD" w:rsidP="00E33B82">
      <w:pPr>
        <w:spacing w:line="360" w:lineRule="auto"/>
        <w:jc w:val="both"/>
        <w:rPr>
          <w:rFonts w:ascii="Times New Roman" w:hAnsi="Times New Roman" w:cs="Times New Roman"/>
          <w:sz w:val="24"/>
        </w:rPr>
      </w:pPr>
    </w:p>
    <w:p w14:paraId="04C64AFD" w14:textId="7A28E3AB" w:rsidR="00D551AD" w:rsidRPr="00BE6C7F" w:rsidRDefault="00D551AD" w:rsidP="00E33B82">
      <w:pPr>
        <w:spacing w:line="360" w:lineRule="auto"/>
        <w:jc w:val="both"/>
        <w:rPr>
          <w:rFonts w:ascii="Times New Roman" w:hAnsi="Times New Roman" w:cs="Times New Roman"/>
          <w:b/>
          <w:bCs/>
          <w:i/>
          <w:iCs/>
          <w:sz w:val="24"/>
        </w:rPr>
      </w:pPr>
      <w:r w:rsidRPr="00BE6C7F">
        <w:rPr>
          <w:rFonts w:ascii="Times New Roman" w:hAnsi="Times New Roman" w:cs="Times New Roman"/>
          <w:b/>
          <w:bCs/>
          <w:i/>
          <w:iCs/>
          <w:sz w:val="24"/>
        </w:rPr>
        <w:t>3.2</w:t>
      </w:r>
      <w:r w:rsidRPr="00BE6C7F">
        <w:rPr>
          <w:rFonts w:ascii="Times New Roman" w:hAnsi="Times New Roman" w:cs="Times New Roman"/>
          <w:b/>
          <w:bCs/>
          <w:i/>
          <w:iCs/>
          <w:sz w:val="24"/>
        </w:rPr>
        <w:tab/>
        <w:t xml:space="preserve">Other </w:t>
      </w:r>
      <w:r w:rsidR="000B75C0">
        <w:rPr>
          <w:rFonts w:ascii="Times New Roman" w:hAnsi="Times New Roman" w:cs="Times New Roman"/>
          <w:b/>
          <w:bCs/>
          <w:i/>
          <w:iCs/>
          <w:sz w:val="24"/>
        </w:rPr>
        <w:t>Scholars</w:t>
      </w:r>
    </w:p>
    <w:p w14:paraId="1CF7047D" w14:textId="77777777" w:rsidR="00D551AD" w:rsidRPr="00411383" w:rsidRDefault="00D551AD" w:rsidP="00E33B82">
      <w:pPr>
        <w:spacing w:line="360" w:lineRule="auto"/>
        <w:jc w:val="both"/>
        <w:rPr>
          <w:rFonts w:ascii="Times New Roman" w:hAnsi="Times New Roman" w:cs="Times New Roman"/>
          <w:sz w:val="24"/>
        </w:rPr>
      </w:pPr>
    </w:p>
    <w:p w14:paraId="05341189" w14:textId="705F31BB" w:rsidR="001522F2" w:rsidRPr="00411383" w:rsidRDefault="00D551AD" w:rsidP="00E33B82">
      <w:pPr>
        <w:spacing w:line="360" w:lineRule="auto"/>
        <w:jc w:val="both"/>
        <w:rPr>
          <w:rFonts w:ascii="Times New Roman" w:hAnsi="Times New Roman" w:cs="Times New Roman"/>
          <w:sz w:val="24"/>
          <w:u w:val="single"/>
        </w:rPr>
      </w:pPr>
      <w:r>
        <w:rPr>
          <w:rFonts w:ascii="Times New Roman" w:hAnsi="Times New Roman" w:cs="Times New Roman"/>
          <w:sz w:val="24"/>
        </w:rPr>
        <w:t>I</w:t>
      </w:r>
      <w:r w:rsidR="005A56DA" w:rsidRPr="00411383">
        <w:rPr>
          <w:rFonts w:ascii="Times New Roman" w:hAnsi="Times New Roman" w:cs="Times New Roman"/>
          <w:sz w:val="24"/>
        </w:rPr>
        <w:t>n 2015, Joann</w:t>
      </w:r>
      <w:r w:rsidR="00E077CE" w:rsidRPr="00411383">
        <w:rPr>
          <w:rFonts w:ascii="Times New Roman" w:hAnsi="Times New Roman" w:cs="Times New Roman"/>
          <w:sz w:val="24"/>
        </w:rPr>
        <w:t>e</w:t>
      </w:r>
      <w:r w:rsidR="005A56DA" w:rsidRPr="00411383">
        <w:rPr>
          <w:rFonts w:ascii="Times New Roman" w:hAnsi="Times New Roman" w:cs="Times New Roman"/>
          <w:sz w:val="24"/>
        </w:rPr>
        <w:t xml:space="preserve"> Kinslor and James English </w:t>
      </w:r>
      <w:r w:rsidR="00717381" w:rsidRPr="00411383">
        <w:rPr>
          <w:rFonts w:ascii="Times New Roman" w:hAnsi="Times New Roman" w:cs="Times New Roman"/>
          <w:sz w:val="24"/>
        </w:rPr>
        <w:t>examined the use of ‘national interest’ criteria and states of satisfaction in the context of visa cancellations</w:t>
      </w:r>
      <w:r w:rsidR="00A665DB" w:rsidRPr="00411383">
        <w:rPr>
          <w:rFonts w:ascii="Times New Roman" w:hAnsi="Times New Roman" w:cs="Times New Roman"/>
          <w:sz w:val="24"/>
        </w:rPr>
        <w:t xml:space="preserve"> on character grounds</w:t>
      </w:r>
      <w:r w:rsidR="00717381" w:rsidRPr="00411383">
        <w:rPr>
          <w:rFonts w:ascii="Times New Roman" w:hAnsi="Times New Roman" w:cs="Times New Roman"/>
          <w:sz w:val="24"/>
        </w:rPr>
        <w:t>.</w:t>
      </w:r>
      <w:r w:rsidR="00A665DB" w:rsidRPr="00411383">
        <w:rPr>
          <w:rStyle w:val="FootnoteReference"/>
          <w:rFonts w:ascii="Times New Roman" w:hAnsi="Times New Roman" w:cs="Times New Roman"/>
          <w:sz w:val="24"/>
        </w:rPr>
        <w:footnoteReference w:id="73"/>
      </w:r>
      <w:r w:rsidR="00474AF7" w:rsidRPr="00411383">
        <w:rPr>
          <w:rFonts w:ascii="Times New Roman" w:hAnsi="Times New Roman" w:cs="Times New Roman"/>
          <w:sz w:val="24"/>
        </w:rPr>
        <w:t xml:space="preserve"> </w:t>
      </w:r>
      <w:r w:rsidR="001A6087" w:rsidRPr="00411383">
        <w:rPr>
          <w:rFonts w:ascii="Times New Roman" w:hAnsi="Times New Roman" w:cs="Times New Roman"/>
          <w:sz w:val="24"/>
        </w:rPr>
        <w:t>Noting the breadth of the term ‘national interest’, they observed that ‘[i]n the context of character provisions ‘the national interest’ operates as a very wide term supporting a diversity of views – so long as they are held by the Minister’.</w:t>
      </w:r>
      <w:r w:rsidR="001A6087" w:rsidRPr="00411383">
        <w:rPr>
          <w:rStyle w:val="FootnoteReference"/>
          <w:rFonts w:ascii="Times New Roman" w:hAnsi="Times New Roman" w:cs="Times New Roman"/>
          <w:sz w:val="24"/>
        </w:rPr>
        <w:footnoteReference w:id="74"/>
      </w:r>
      <w:r w:rsidR="001A6087">
        <w:rPr>
          <w:rFonts w:ascii="Times New Roman" w:hAnsi="Times New Roman" w:cs="Times New Roman"/>
          <w:sz w:val="24"/>
        </w:rPr>
        <w:t xml:space="preserve"> </w:t>
      </w:r>
      <w:r w:rsidR="00474AF7" w:rsidRPr="00411383">
        <w:rPr>
          <w:rFonts w:ascii="Times New Roman" w:hAnsi="Times New Roman" w:cs="Times New Roman"/>
          <w:sz w:val="24"/>
        </w:rPr>
        <w:t>Kinslor and English encouraged ‘a high threshold approach for the interpretation of provisions that impact upon individual rights and freedoms’ – that is, that a relatively restrictive view should be taken of which circumstances fall within the scope of the ambit term ‘national interest’.</w:t>
      </w:r>
      <w:r w:rsidR="00AB727D" w:rsidRPr="00411383">
        <w:rPr>
          <w:rStyle w:val="FootnoteReference"/>
          <w:rFonts w:ascii="Times New Roman" w:hAnsi="Times New Roman" w:cs="Times New Roman"/>
          <w:sz w:val="24"/>
        </w:rPr>
        <w:footnoteReference w:id="75"/>
      </w:r>
      <w:r w:rsidR="00B920C3" w:rsidRPr="00411383">
        <w:rPr>
          <w:rFonts w:ascii="Times New Roman" w:hAnsi="Times New Roman" w:cs="Times New Roman"/>
          <w:sz w:val="24"/>
        </w:rPr>
        <w:t xml:space="preserve"> </w:t>
      </w:r>
      <w:r w:rsidR="001A6087">
        <w:rPr>
          <w:rFonts w:ascii="Times New Roman" w:hAnsi="Times New Roman" w:cs="Times New Roman"/>
          <w:sz w:val="24"/>
        </w:rPr>
        <w:t xml:space="preserve">While this does not precisely mirror Appleby and Reilly’s ‘meta-principle’, </w:t>
      </w:r>
      <w:r w:rsidR="00F65513">
        <w:rPr>
          <w:rFonts w:ascii="Times New Roman" w:hAnsi="Times New Roman" w:cs="Times New Roman"/>
          <w:sz w:val="24"/>
        </w:rPr>
        <w:t>both approaches reject the proposition that the ‘national interest’ should lie entirely within a decision-maker’s scope to determine – but that instead the courts may meaningfully review which factors and circumstances may</w:t>
      </w:r>
      <w:r w:rsidR="00DA7984">
        <w:rPr>
          <w:rFonts w:ascii="Times New Roman" w:hAnsi="Times New Roman" w:cs="Times New Roman"/>
          <w:sz w:val="24"/>
        </w:rPr>
        <w:t xml:space="preserve"> (or should) inform the ‘national interest’.</w:t>
      </w:r>
      <w:r w:rsidR="00F65513">
        <w:rPr>
          <w:rFonts w:ascii="Times New Roman" w:hAnsi="Times New Roman" w:cs="Times New Roman"/>
          <w:sz w:val="24"/>
        </w:rPr>
        <w:t xml:space="preserve"> </w:t>
      </w:r>
    </w:p>
    <w:p w14:paraId="34A58991" w14:textId="77777777" w:rsidR="002E791C" w:rsidRPr="00411383" w:rsidRDefault="002E791C" w:rsidP="00E33B82">
      <w:pPr>
        <w:spacing w:line="360" w:lineRule="auto"/>
        <w:jc w:val="both"/>
        <w:rPr>
          <w:rFonts w:ascii="Times New Roman" w:hAnsi="Times New Roman" w:cs="Times New Roman"/>
          <w:sz w:val="24"/>
        </w:rPr>
      </w:pPr>
    </w:p>
    <w:p w14:paraId="79B50BC0" w14:textId="7CB2F35E" w:rsidR="001522F2" w:rsidRPr="00411383" w:rsidRDefault="00E02796" w:rsidP="00E33B82">
      <w:pPr>
        <w:spacing w:line="360" w:lineRule="auto"/>
        <w:jc w:val="both"/>
        <w:rPr>
          <w:rFonts w:ascii="Times New Roman" w:hAnsi="Times New Roman" w:cs="Times New Roman"/>
          <w:sz w:val="24"/>
          <w:u w:val="single"/>
        </w:rPr>
      </w:pPr>
      <w:r w:rsidRPr="00411383">
        <w:rPr>
          <w:rFonts w:ascii="Times New Roman" w:hAnsi="Times New Roman" w:cs="Times New Roman"/>
          <w:sz w:val="24"/>
        </w:rPr>
        <w:t xml:space="preserve">Jason Donnelly’s doctoral research </w:t>
      </w:r>
      <w:r w:rsidR="00116E36" w:rsidRPr="00411383">
        <w:rPr>
          <w:rFonts w:ascii="Times New Roman" w:hAnsi="Times New Roman" w:cs="Times New Roman"/>
          <w:sz w:val="24"/>
        </w:rPr>
        <w:t>examined the use of national interest criteria in Commonwealth legislation.</w:t>
      </w:r>
      <w:r w:rsidR="001C4F1E" w:rsidRPr="00411383">
        <w:rPr>
          <w:rStyle w:val="FootnoteReference"/>
          <w:rFonts w:ascii="Times New Roman" w:hAnsi="Times New Roman" w:cs="Times New Roman"/>
          <w:sz w:val="24"/>
        </w:rPr>
        <w:footnoteReference w:id="76"/>
      </w:r>
      <w:r w:rsidRPr="00411383">
        <w:rPr>
          <w:rFonts w:ascii="Times New Roman" w:hAnsi="Times New Roman" w:cs="Times New Roman"/>
          <w:sz w:val="24"/>
        </w:rPr>
        <w:t xml:space="preserve"> </w:t>
      </w:r>
      <w:r w:rsidR="001522F2" w:rsidRPr="00411383">
        <w:rPr>
          <w:rFonts w:ascii="Times New Roman" w:hAnsi="Times New Roman" w:cs="Times New Roman"/>
          <w:sz w:val="24"/>
        </w:rPr>
        <w:t xml:space="preserve">In </w:t>
      </w:r>
      <w:r w:rsidR="00D35E8E" w:rsidRPr="00411383">
        <w:rPr>
          <w:rFonts w:ascii="Times New Roman" w:hAnsi="Times New Roman" w:cs="Times New Roman"/>
          <w:sz w:val="24"/>
        </w:rPr>
        <w:t xml:space="preserve">a </w:t>
      </w:r>
      <w:r w:rsidR="001522F2" w:rsidRPr="00411383">
        <w:rPr>
          <w:rFonts w:ascii="Times New Roman" w:hAnsi="Times New Roman" w:cs="Times New Roman"/>
          <w:sz w:val="24"/>
        </w:rPr>
        <w:t>2017</w:t>
      </w:r>
      <w:r w:rsidR="00D35E8E" w:rsidRPr="00411383">
        <w:rPr>
          <w:rFonts w:ascii="Times New Roman" w:hAnsi="Times New Roman" w:cs="Times New Roman"/>
          <w:sz w:val="24"/>
        </w:rPr>
        <w:t xml:space="preserve"> </w:t>
      </w:r>
      <w:r w:rsidR="00C86612" w:rsidRPr="00411383">
        <w:rPr>
          <w:rFonts w:ascii="Times New Roman" w:hAnsi="Times New Roman" w:cs="Times New Roman"/>
          <w:sz w:val="24"/>
        </w:rPr>
        <w:t>article</w:t>
      </w:r>
      <w:r w:rsidR="001522F2" w:rsidRPr="00411383">
        <w:rPr>
          <w:rFonts w:ascii="Times New Roman" w:hAnsi="Times New Roman" w:cs="Times New Roman"/>
          <w:sz w:val="24"/>
        </w:rPr>
        <w:t xml:space="preserve">, </w:t>
      </w:r>
      <w:r w:rsidR="00583E96" w:rsidRPr="00411383">
        <w:rPr>
          <w:rFonts w:ascii="Times New Roman" w:hAnsi="Times New Roman" w:cs="Times New Roman"/>
          <w:sz w:val="24"/>
        </w:rPr>
        <w:t>Donnelly argues</w:t>
      </w:r>
      <w:r w:rsidR="00525547" w:rsidRPr="00411383">
        <w:rPr>
          <w:rFonts w:ascii="Times New Roman" w:hAnsi="Times New Roman" w:cs="Times New Roman"/>
          <w:sz w:val="24"/>
        </w:rPr>
        <w:t xml:space="preserve"> that the utilisation of ‘national interest criteria’ threatens to undermine the rule of law</w:t>
      </w:r>
      <w:r w:rsidR="006B338E" w:rsidRPr="00411383">
        <w:rPr>
          <w:rFonts w:ascii="Times New Roman" w:hAnsi="Times New Roman" w:cs="Times New Roman"/>
          <w:sz w:val="24"/>
        </w:rPr>
        <w:t xml:space="preserve">, and that Australian courts have ‘adopted a position of </w:t>
      </w:r>
      <w:r w:rsidR="006B338E" w:rsidRPr="00411383">
        <w:rPr>
          <w:rFonts w:ascii="Times New Roman" w:hAnsi="Times New Roman" w:cs="Times New Roman"/>
          <w:i/>
          <w:iCs/>
          <w:sz w:val="24"/>
        </w:rPr>
        <w:t>substantial deference</w:t>
      </w:r>
      <w:r w:rsidR="006B338E" w:rsidRPr="00411383">
        <w:rPr>
          <w:rFonts w:ascii="Times New Roman" w:hAnsi="Times New Roman" w:cs="Times New Roman"/>
          <w:sz w:val="24"/>
        </w:rPr>
        <w:t>’ to Ministerial decisions regarding the ‘national interest’</w:t>
      </w:r>
      <w:r w:rsidR="00B6063C" w:rsidRPr="00411383">
        <w:rPr>
          <w:rFonts w:ascii="Times New Roman" w:hAnsi="Times New Roman" w:cs="Times New Roman"/>
          <w:sz w:val="24"/>
        </w:rPr>
        <w:t xml:space="preserve"> (emphasis in original)</w:t>
      </w:r>
      <w:r w:rsidR="006B338E" w:rsidRPr="00411383">
        <w:rPr>
          <w:rFonts w:ascii="Times New Roman" w:hAnsi="Times New Roman" w:cs="Times New Roman"/>
          <w:sz w:val="24"/>
        </w:rPr>
        <w:t>.</w:t>
      </w:r>
      <w:r w:rsidR="00583E96" w:rsidRPr="00411383">
        <w:rPr>
          <w:rStyle w:val="FootnoteReference"/>
          <w:rFonts w:ascii="Times New Roman" w:hAnsi="Times New Roman" w:cs="Times New Roman"/>
          <w:sz w:val="24"/>
        </w:rPr>
        <w:footnoteReference w:id="77"/>
      </w:r>
      <w:r w:rsidR="006B338E" w:rsidRPr="00411383">
        <w:rPr>
          <w:rFonts w:ascii="Times New Roman" w:hAnsi="Times New Roman" w:cs="Times New Roman"/>
          <w:sz w:val="24"/>
        </w:rPr>
        <w:t xml:space="preserve"> </w:t>
      </w:r>
      <w:r w:rsidR="002025BB">
        <w:rPr>
          <w:rFonts w:ascii="Times New Roman" w:hAnsi="Times New Roman" w:cs="Times New Roman"/>
          <w:sz w:val="24"/>
        </w:rPr>
        <w:t xml:space="preserve">In his subsequent examination of </w:t>
      </w:r>
      <w:r w:rsidR="000A2B01">
        <w:rPr>
          <w:rFonts w:ascii="Times New Roman" w:hAnsi="Times New Roman" w:cs="Times New Roman"/>
          <w:sz w:val="24"/>
        </w:rPr>
        <w:t xml:space="preserve">increasingly </w:t>
      </w:r>
      <w:r w:rsidR="002025BB">
        <w:rPr>
          <w:rFonts w:ascii="Times New Roman" w:hAnsi="Times New Roman" w:cs="Times New Roman"/>
          <w:sz w:val="24"/>
        </w:rPr>
        <w:t xml:space="preserve">widespread use of ‘national interest’ powers to overturn decisions of the Administrative Appeals Tribunal, </w:t>
      </w:r>
      <w:r w:rsidR="000A2B01">
        <w:rPr>
          <w:rFonts w:ascii="Times New Roman" w:hAnsi="Times New Roman" w:cs="Times New Roman"/>
          <w:sz w:val="24"/>
        </w:rPr>
        <w:t xml:space="preserve">Donnelly has </w:t>
      </w:r>
      <w:r w:rsidR="00751DB5">
        <w:rPr>
          <w:rFonts w:ascii="Times New Roman" w:hAnsi="Times New Roman" w:cs="Times New Roman"/>
          <w:sz w:val="24"/>
        </w:rPr>
        <w:t>similarly warned that powers of this kind ‘risk arbitrariness and undermine uniform application of the law’.</w:t>
      </w:r>
      <w:r w:rsidR="00751DB5">
        <w:rPr>
          <w:rStyle w:val="FootnoteReference"/>
          <w:rFonts w:ascii="Times New Roman" w:hAnsi="Times New Roman" w:cs="Times New Roman"/>
          <w:sz w:val="24"/>
        </w:rPr>
        <w:footnoteReference w:id="78"/>
      </w:r>
      <w:r w:rsidR="002025BB">
        <w:rPr>
          <w:rFonts w:ascii="Times New Roman" w:hAnsi="Times New Roman" w:cs="Times New Roman"/>
          <w:sz w:val="24"/>
        </w:rPr>
        <w:t xml:space="preserve"> </w:t>
      </w:r>
      <w:r w:rsidR="00832FD1">
        <w:rPr>
          <w:rFonts w:ascii="Times New Roman" w:hAnsi="Times New Roman" w:cs="Times New Roman"/>
          <w:sz w:val="24"/>
        </w:rPr>
        <w:t xml:space="preserve">Donnelly’s cautions against ‘deference’ </w:t>
      </w:r>
      <w:r w:rsidR="00751DB5">
        <w:rPr>
          <w:rFonts w:ascii="Times New Roman" w:hAnsi="Times New Roman" w:cs="Times New Roman"/>
          <w:sz w:val="24"/>
        </w:rPr>
        <w:t xml:space="preserve">to determinations of </w:t>
      </w:r>
      <w:r w:rsidR="00751DB5">
        <w:rPr>
          <w:rFonts w:ascii="Times New Roman" w:hAnsi="Times New Roman" w:cs="Times New Roman"/>
          <w:sz w:val="24"/>
        </w:rPr>
        <w:lastRenderedPageBreak/>
        <w:t xml:space="preserve">this kind </w:t>
      </w:r>
      <w:r w:rsidR="00832FD1">
        <w:rPr>
          <w:rFonts w:ascii="Times New Roman" w:hAnsi="Times New Roman" w:cs="Times New Roman"/>
          <w:sz w:val="24"/>
        </w:rPr>
        <w:t>are, again, consistent with calls in the literature for heightened judicial scrutiny of how the Minister may identify the ‘national interest’.</w:t>
      </w:r>
    </w:p>
    <w:p w14:paraId="186DC726" w14:textId="77777777" w:rsidR="001522F2" w:rsidRPr="00411383" w:rsidRDefault="001522F2" w:rsidP="00E33B82">
      <w:pPr>
        <w:spacing w:line="360" w:lineRule="auto"/>
        <w:jc w:val="both"/>
        <w:rPr>
          <w:rFonts w:ascii="Times New Roman" w:hAnsi="Times New Roman" w:cs="Times New Roman"/>
          <w:sz w:val="24"/>
        </w:rPr>
      </w:pPr>
    </w:p>
    <w:p w14:paraId="45901BE0" w14:textId="77777777" w:rsidR="00942CA4" w:rsidRDefault="00583E96" w:rsidP="00E33B82">
      <w:pPr>
        <w:spacing w:line="360" w:lineRule="auto"/>
        <w:jc w:val="both"/>
        <w:rPr>
          <w:rFonts w:ascii="Times New Roman" w:hAnsi="Times New Roman" w:cs="Times New Roman"/>
          <w:sz w:val="24"/>
        </w:rPr>
      </w:pPr>
      <w:r w:rsidRPr="00411383">
        <w:rPr>
          <w:rFonts w:ascii="Times New Roman" w:hAnsi="Times New Roman" w:cs="Times New Roman"/>
          <w:sz w:val="24"/>
        </w:rPr>
        <w:t>Liberty Victoria released a landmark report on the public interest ‘God-powers’ in 2017.</w:t>
      </w:r>
      <w:r w:rsidRPr="00411383">
        <w:rPr>
          <w:rStyle w:val="FootnoteReference"/>
          <w:rFonts w:ascii="Times New Roman" w:hAnsi="Times New Roman" w:cs="Times New Roman"/>
          <w:sz w:val="24"/>
        </w:rPr>
        <w:footnoteReference w:id="79"/>
      </w:r>
      <w:r w:rsidRPr="00411383">
        <w:rPr>
          <w:rFonts w:ascii="Times New Roman" w:hAnsi="Times New Roman" w:cs="Times New Roman"/>
          <w:sz w:val="24"/>
        </w:rPr>
        <w:t xml:space="preserve"> </w:t>
      </w:r>
      <w:r w:rsidR="002966A2" w:rsidRPr="00411383">
        <w:rPr>
          <w:rFonts w:ascii="Times New Roman" w:hAnsi="Times New Roman" w:cs="Times New Roman"/>
          <w:sz w:val="24"/>
        </w:rPr>
        <w:t xml:space="preserve">They record that the Minister for Immigration ‘is granted the most personal discretion of any Minister by an overwhelming margin’, when judged by reference to the number of legislative provisions conferring </w:t>
      </w:r>
      <w:r w:rsidR="009812AD" w:rsidRPr="00411383">
        <w:rPr>
          <w:rFonts w:ascii="Times New Roman" w:hAnsi="Times New Roman" w:cs="Times New Roman"/>
          <w:sz w:val="24"/>
        </w:rPr>
        <w:t>powers conditioned on a state of satisfaction as to the ‘public interest’ or the ‘national interest’</w:t>
      </w:r>
      <w:r w:rsidR="000E1724" w:rsidRPr="00411383">
        <w:rPr>
          <w:rFonts w:ascii="Times New Roman" w:hAnsi="Times New Roman" w:cs="Times New Roman"/>
          <w:sz w:val="24"/>
        </w:rPr>
        <w:t xml:space="preserve"> (as compared to other Ministers)</w:t>
      </w:r>
      <w:r w:rsidR="00B50977" w:rsidRPr="00411383">
        <w:rPr>
          <w:rFonts w:ascii="Times New Roman" w:hAnsi="Times New Roman" w:cs="Times New Roman"/>
          <w:sz w:val="24"/>
        </w:rPr>
        <w:t>,</w:t>
      </w:r>
      <w:r w:rsidR="000E1724" w:rsidRPr="00411383">
        <w:rPr>
          <w:rStyle w:val="FootnoteReference"/>
          <w:rFonts w:ascii="Times New Roman" w:hAnsi="Times New Roman" w:cs="Times New Roman"/>
          <w:sz w:val="24"/>
        </w:rPr>
        <w:footnoteReference w:id="80"/>
      </w:r>
      <w:r w:rsidR="00B50977" w:rsidRPr="00411383">
        <w:rPr>
          <w:rFonts w:ascii="Times New Roman" w:hAnsi="Times New Roman" w:cs="Times New Roman"/>
          <w:sz w:val="24"/>
        </w:rPr>
        <w:t xml:space="preserve"> and that the range of provisions conferring broad discretions upon the Minister (‘God powers’) has expanded significantly since 1989.</w:t>
      </w:r>
      <w:r w:rsidR="006A02C8" w:rsidRPr="00411383">
        <w:rPr>
          <w:rStyle w:val="FootnoteReference"/>
          <w:rFonts w:ascii="Times New Roman" w:hAnsi="Times New Roman" w:cs="Times New Roman"/>
          <w:sz w:val="24"/>
        </w:rPr>
        <w:footnoteReference w:id="81"/>
      </w:r>
      <w:r w:rsidR="0068718F">
        <w:rPr>
          <w:rFonts w:ascii="Times New Roman" w:hAnsi="Times New Roman" w:cs="Times New Roman"/>
          <w:sz w:val="24"/>
        </w:rPr>
        <w:t xml:space="preserve">  </w:t>
      </w:r>
      <w:r w:rsidR="0068718F" w:rsidRPr="00411383">
        <w:rPr>
          <w:rFonts w:ascii="Times New Roman" w:hAnsi="Times New Roman" w:cs="Times New Roman"/>
          <w:sz w:val="24"/>
        </w:rPr>
        <w:t>Liberty Victoria concluded that these decisions ‘are not made in a transparent way in accordance with fair processes; rather, the Minister is empowered to an alarming degree to make decisions based upon his whim, with scant regard for due process’.</w:t>
      </w:r>
      <w:r w:rsidR="0068718F" w:rsidRPr="00411383">
        <w:rPr>
          <w:rStyle w:val="FootnoteReference"/>
          <w:rFonts w:ascii="Times New Roman" w:hAnsi="Times New Roman" w:cs="Times New Roman"/>
          <w:sz w:val="24"/>
        </w:rPr>
        <w:footnoteReference w:id="82"/>
      </w:r>
      <w:r w:rsidR="0068718F" w:rsidRPr="00411383">
        <w:rPr>
          <w:rFonts w:ascii="Times New Roman" w:hAnsi="Times New Roman" w:cs="Times New Roman"/>
          <w:sz w:val="24"/>
        </w:rPr>
        <w:t xml:space="preserve"> </w:t>
      </w:r>
    </w:p>
    <w:p w14:paraId="417A9682" w14:textId="77777777" w:rsidR="00942CA4" w:rsidRDefault="00942CA4" w:rsidP="00E33B82">
      <w:pPr>
        <w:spacing w:line="360" w:lineRule="auto"/>
        <w:jc w:val="both"/>
        <w:rPr>
          <w:rFonts w:ascii="Times New Roman" w:hAnsi="Times New Roman" w:cs="Times New Roman"/>
          <w:sz w:val="24"/>
        </w:rPr>
      </w:pPr>
    </w:p>
    <w:p w14:paraId="3D3D805D" w14:textId="0F03C880" w:rsidR="00583E96" w:rsidRDefault="0068718F" w:rsidP="00E33B82">
      <w:pPr>
        <w:spacing w:line="360" w:lineRule="auto"/>
        <w:jc w:val="both"/>
        <w:rPr>
          <w:rFonts w:ascii="Times New Roman" w:hAnsi="Times New Roman" w:cs="Times New Roman"/>
          <w:sz w:val="24"/>
        </w:rPr>
      </w:pPr>
      <w:r w:rsidRPr="00411383">
        <w:rPr>
          <w:rFonts w:ascii="Times New Roman" w:hAnsi="Times New Roman" w:cs="Times New Roman"/>
          <w:sz w:val="24"/>
        </w:rPr>
        <w:t xml:space="preserve">Liberty Victoria recommended, amongst other things, that </w:t>
      </w:r>
      <w:r w:rsidR="00102D32">
        <w:rPr>
          <w:rFonts w:ascii="Times New Roman" w:hAnsi="Times New Roman" w:cs="Times New Roman"/>
          <w:sz w:val="24"/>
        </w:rPr>
        <w:t xml:space="preserve">most </w:t>
      </w:r>
      <w:r w:rsidRPr="00411383">
        <w:rPr>
          <w:rFonts w:ascii="Times New Roman" w:hAnsi="Times New Roman" w:cs="Times New Roman"/>
          <w:sz w:val="24"/>
        </w:rPr>
        <w:t xml:space="preserve">public interest and national interest provisions should be removed from the </w:t>
      </w:r>
      <w:r w:rsidRPr="00FE3B29">
        <w:rPr>
          <w:rFonts w:ascii="Times New Roman" w:hAnsi="Times New Roman" w:cs="Times New Roman"/>
          <w:i/>
          <w:iCs/>
          <w:sz w:val="24"/>
        </w:rPr>
        <w:t>Migration Act</w:t>
      </w:r>
      <w:r w:rsidRPr="00411383">
        <w:rPr>
          <w:rFonts w:ascii="Times New Roman" w:hAnsi="Times New Roman" w:cs="Times New Roman"/>
          <w:sz w:val="24"/>
        </w:rPr>
        <w:t xml:space="preserve"> – describing the powers conferred by these provisions as ‘a blank cheque to make decisions by reference to whatever considerations suit them at the time’, without accountability.</w:t>
      </w:r>
      <w:r w:rsidRPr="00411383">
        <w:rPr>
          <w:rStyle w:val="FootnoteReference"/>
          <w:rFonts w:ascii="Times New Roman" w:hAnsi="Times New Roman" w:cs="Times New Roman"/>
          <w:sz w:val="24"/>
        </w:rPr>
        <w:footnoteReference w:id="83"/>
      </w:r>
      <w:r w:rsidR="00942CA4">
        <w:rPr>
          <w:rFonts w:ascii="Times New Roman" w:hAnsi="Times New Roman" w:cs="Times New Roman"/>
          <w:sz w:val="24"/>
        </w:rPr>
        <w:t xml:space="preserve"> This obviously goes far further than </w:t>
      </w:r>
      <w:r w:rsidR="006C5F1B">
        <w:rPr>
          <w:rFonts w:ascii="Times New Roman" w:hAnsi="Times New Roman" w:cs="Times New Roman"/>
          <w:sz w:val="24"/>
        </w:rPr>
        <w:t xml:space="preserve">the calls by </w:t>
      </w:r>
      <w:r w:rsidR="00942CA4">
        <w:rPr>
          <w:rFonts w:ascii="Times New Roman" w:hAnsi="Times New Roman" w:cs="Times New Roman"/>
          <w:sz w:val="24"/>
        </w:rPr>
        <w:t>Appleby and Reilly, Kinslor and English and Donnelly for greater judicial scrutiny of how these powers are exercised</w:t>
      </w:r>
      <w:r w:rsidR="005752A4">
        <w:rPr>
          <w:rFonts w:ascii="Times New Roman" w:hAnsi="Times New Roman" w:cs="Times New Roman"/>
          <w:sz w:val="24"/>
        </w:rPr>
        <w:t>, rejecting the basic premise underlying these powers entirely.</w:t>
      </w:r>
    </w:p>
    <w:p w14:paraId="01F373F6" w14:textId="77777777" w:rsidR="0033603E" w:rsidRPr="0068718F" w:rsidRDefault="0033603E" w:rsidP="00E33B82">
      <w:pPr>
        <w:spacing w:line="360" w:lineRule="auto"/>
        <w:jc w:val="both"/>
        <w:rPr>
          <w:rFonts w:ascii="Times New Roman" w:hAnsi="Times New Roman" w:cs="Times New Roman"/>
          <w:sz w:val="24"/>
        </w:rPr>
      </w:pPr>
    </w:p>
    <w:p w14:paraId="05A145AE" w14:textId="2BC8F1E2" w:rsidR="00864D71" w:rsidRPr="00BE6C7F" w:rsidRDefault="00864D71" w:rsidP="00E33B82">
      <w:pPr>
        <w:spacing w:line="360" w:lineRule="auto"/>
        <w:jc w:val="both"/>
        <w:rPr>
          <w:rFonts w:ascii="Times New Roman" w:hAnsi="Times New Roman" w:cs="Times New Roman"/>
          <w:b/>
          <w:bCs/>
          <w:i/>
          <w:iCs/>
          <w:sz w:val="24"/>
        </w:rPr>
      </w:pPr>
      <w:r>
        <w:rPr>
          <w:rFonts w:ascii="Times New Roman" w:hAnsi="Times New Roman" w:cs="Times New Roman"/>
          <w:b/>
          <w:bCs/>
          <w:i/>
          <w:iCs/>
          <w:sz w:val="24"/>
        </w:rPr>
        <w:t>3.3</w:t>
      </w:r>
      <w:r>
        <w:rPr>
          <w:rFonts w:ascii="Times New Roman" w:hAnsi="Times New Roman" w:cs="Times New Roman"/>
          <w:b/>
          <w:bCs/>
          <w:i/>
          <w:iCs/>
          <w:sz w:val="24"/>
        </w:rPr>
        <w:tab/>
        <w:t xml:space="preserve">This </w:t>
      </w:r>
      <w:r w:rsidR="0066092C">
        <w:rPr>
          <w:rFonts w:ascii="Times New Roman" w:hAnsi="Times New Roman" w:cs="Times New Roman"/>
          <w:b/>
          <w:bCs/>
          <w:i/>
          <w:iCs/>
          <w:sz w:val="24"/>
        </w:rPr>
        <w:t>article’s</w:t>
      </w:r>
      <w:r>
        <w:rPr>
          <w:rFonts w:ascii="Times New Roman" w:hAnsi="Times New Roman" w:cs="Times New Roman"/>
          <w:b/>
          <w:bCs/>
          <w:i/>
          <w:iCs/>
          <w:sz w:val="24"/>
        </w:rPr>
        <w:t xml:space="preserve"> contribution</w:t>
      </w:r>
    </w:p>
    <w:p w14:paraId="07F03717" w14:textId="77777777" w:rsidR="00864D71" w:rsidRDefault="00864D71" w:rsidP="00E33B82">
      <w:pPr>
        <w:spacing w:line="360" w:lineRule="auto"/>
        <w:jc w:val="both"/>
        <w:rPr>
          <w:rFonts w:ascii="Times New Roman" w:hAnsi="Times New Roman" w:cs="Times New Roman"/>
          <w:sz w:val="24"/>
        </w:rPr>
      </w:pPr>
    </w:p>
    <w:p w14:paraId="722C7550" w14:textId="4B977FF0" w:rsidR="008F209C" w:rsidRDefault="007A3C7D" w:rsidP="00E33B82">
      <w:pPr>
        <w:spacing w:line="360" w:lineRule="auto"/>
        <w:jc w:val="both"/>
        <w:rPr>
          <w:rFonts w:ascii="Times New Roman" w:hAnsi="Times New Roman" w:cs="Times New Roman"/>
          <w:sz w:val="24"/>
        </w:rPr>
      </w:pPr>
      <w:r w:rsidRPr="00411383">
        <w:rPr>
          <w:rFonts w:ascii="Times New Roman" w:hAnsi="Times New Roman" w:cs="Times New Roman"/>
          <w:sz w:val="24"/>
        </w:rPr>
        <w:t xml:space="preserve">Our </w:t>
      </w:r>
      <w:r w:rsidR="00BD6FCD">
        <w:rPr>
          <w:rFonts w:ascii="Times New Roman" w:hAnsi="Times New Roman" w:cs="Times New Roman"/>
          <w:sz w:val="24"/>
        </w:rPr>
        <w:t>article</w:t>
      </w:r>
      <w:r w:rsidR="00BD6FCD" w:rsidRPr="00411383">
        <w:rPr>
          <w:rFonts w:ascii="Times New Roman" w:hAnsi="Times New Roman" w:cs="Times New Roman"/>
          <w:sz w:val="24"/>
        </w:rPr>
        <w:t xml:space="preserve"> </w:t>
      </w:r>
      <w:r w:rsidRPr="00411383">
        <w:rPr>
          <w:rFonts w:ascii="Times New Roman" w:hAnsi="Times New Roman" w:cs="Times New Roman"/>
          <w:sz w:val="24"/>
        </w:rPr>
        <w:t xml:space="preserve">builds on these important contributions. </w:t>
      </w:r>
      <w:r w:rsidR="00CD17CA">
        <w:rPr>
          <w:rFonts w:ascii="Times New Roman" w:hAnsi="Times New Roman" w:cs="Times New Roman"/>
          <w:sz w:val="24"/>
        </w:rPr>
        <w:t xml:space="preserve">In particular, this </w:t>
      </w:r>
      <w:r w:rsidR="00BD6FCD">
        <w:rPr>
          <w:rFonts w:ascii="Times New Roman" w:hAnsi="Times New Roman" w:cs="Times New Roman"/>
          <w:sz w:val="24"/>
        </w:rPr>
        <w:t xml:space="preserve">article </w:t>
      </w:r>
      <w:r w:rsidR="00CD17CA">
        <w:rPr>
          <w:rFonts w:ascii="Times New Roman" w:hAnsi="Times New Roman" w:cs="Times New Roman"/>
          <w:sz w:val="24"/>
        </w:rPr>
        <w:t xml:space="preserve">builds upon this literature through </w:t>
      </w:r>
      <w:r w:rsidR="00102D32">
        <w:rPr>
          <w:rFonts w:ascii="Times New Roman" w:hAnsi="Times New Roman" w:cs="Times New Roman"/>
          <w:sz w:val="24"/>
        </w:rPr>
        <w:t xml:space="preserve">a detailed </w:t>
      </w:r>
      <w:r w:rsidR="00CD17CA">
        <w:rPr>
          <w:rFonts w:ascii="Times New Roman" w:hAnsi="Times New Roman" w:cs="Times New Roman"/>
          <w:sz w:val="24"/>
        </w:rPr>
        <w:t xml:space="preserve">examination of recent caselaw </w:t>
      </w:r>
      <w:r w:rsidR="00AD4937">
        <w:rPr>
          <w:rFonts w:ascii="Times New Roman" w:hAnsi="Times New Roman" w:cs="Times New Roman"/>
          <w:sz w:val="24"/>
        </w:rPr>
        <w:t xml:space="preserve">considering </w:t>
      </w:r>
      <w:r w:rsidRPr="00411383">
        <w:rPr>
          <w:rFonts w:ascii="Times New Roman" w:hAnsi="Times New Roman" w:cs="Times New Roman"/>
          <w:sz w:val="24"/>
        </w:rPr>
        <w:t>the</w:t>
      </w:r>
      <w:r w:rsidR="00414796" w:rsidRPr="00411383">
        <w:rPr>
          <w:rFonts w:ascii="Times New Roman" w:hAnsi="Times New Roman" w:cs="Times New Roman"/>
          <w:sz w:val="24"/>
        </w:rPr>
        <w:t xml:space="preserve"> interaction between </w:t>
      </w:r>
      <w:r w:rsidR="00414796" w:rsidRPr="00411383">
        <w:rPr>
          <w:rFonts w:ascii="Times New Roman" w:hAnsi="Times New Roman" w:cs="Times New Roman"/>
          <w:sz w:val="24"/>
        </w:rPr>
        <w:lastRenderedPageBreak/>
        <w:t>the national interest and Australia’s international law obligations and the</w:t>
      </w:r>
      <w:r w:rsidRPr="00411383">
        <w:rPr>
          <w:rFonts w:ascii="Times New Roman" w:hAnsi="Times New Roman" w:cs="Times New Roman"/>
          <w:sz w:val="24"/>
        </w:rPr>
        <w:t xml:space="preserve"> unsettled question of the applicability of administrative law grounds</w:t>
      </w:r>
      <w:r w:rsidR="005B4081" w:rsidRPr="00411383">
        <w:rPr>
          <w:rFonts w:ascii="Times New Roman" w:hAnsi="Times New Roman" w:cs="Times New Roman"/>
          <w:sz w:val="24"/>
        </w:rPr>
        <w:t xml:space="preserve"> to that question</w:t>
      </w:r>
      <w:r w:rsidRPr="00411383">
        <w:rPr>
          <w:rFonts w:ascii="Times New Roman" w:hAnsi="Times New Roman" w:cs="Times New Roman"/>
          <w:sz w:val="24"/>
        </w:rPr>
        <w:t>.</w:t>
      </w:r>
      <w:r w:rsidR="003F334A" w:rsidRPr="00411383">
        <w:rPr>
          <w:rFonts w:ascii="Times New Roman" w:hAnsi="Times New Roman" w:cs="Times New Roman"/>
          <w:sz w:val="24"/>
        </w:rPr>
        <w:t xml:space="preserve"> </w:t>
      </w:r>
    </w:p>
    <w:p w14:paraId="3FD52D44" w14:textId="77777777" w:rsidR="00DD2443" w:rsidRDefault="00DD2443" w:rsidP="00E33B82">
      <w:pPr>
        <w:spacing w:line="360" w:lineRule="auto"/>
        <w:jc w:val="both"/>
        <w:rPr>
          <w:rFonts w:ascii="Times New Roman" w:hAnsi="Times New Roman" w:cs="Times New Roman"/>
          <w:sz w:val="24"/>
        </w:rPr>
      </w:pPr>
    </w:p>
    <w:p w14:paraId="67219D8D" w14:textId="621871E1" w:rsidR="00CD17CA" w:rsidRDefault="00CD17CA" w:rsidP="00E33B82">
      <w:pPr>
        <w:spacing w:line="360" w:lineRule="auto"/>
        <w:jc w:val="both"/>
        <w:rPr>
          <w:rFonts w:ascii="Times New Roman" w:hAnsi="Times New Roman" w:cs="Times New Roman"/>
          <w:sz w:val="24"/>
        </w:rPr>
      </w:pPr>
      <w:r>
        <w:rPr>
          <w:rFonts w:ascii="Times New Roman" w:hAnsi="Times New Roman" w:cs="Times New Roman"/>
          <w:sz w:val="24"/>
        </w:rPr>
        <w:t>These cases have not yet received detailed scholarly attention</w:t>
      </w:r>
      <w:r w:rsidR="00DD2443">
        <w:rPr>
          <w:rFonts w:ascii="Times New Roman" w:hAnsi="Times New Roman" w:cs="Times New Roman"/>
          <w:sz w:val="24"/>
        </w:rPr>
        <w:t>.</w:t>
      </w:r>
      <w:r w:rsidR="008D5193">
        <w:rPr>
          <w:rStyle w:val="FootnoteReference"/>
          <w:rFonts w:ascii="Times New Roman" w:hAnsi="Times New Roman" w:cs="Times New Roman"/>
          <w:sz w:val="24"/>
        </w:rPr>
        <w:footnoteReference w:id="84"/>
      </w:r>
      <w:r w:rsidR="007750BB">
        <w:rPr>
          <w:rFonts w:ascii="Times New Roman" w:hAnsi="Times New Roman" w:cs="Times New Roman"/>
          <w:sz w:val="24"/>
        </w:rPr>
        <w:t xml:space="preserve"> </w:t>
      </w:r>
      <w:r w:rsidR="00DD2443">
        <w:rPr>
          <w:rFonts w:ascii="Times New Roman" w:hAnsi="Times New Roman" w:cs="Times New Roman"/>
          <w:sz w:val="24"/>
        </w:rPr>
        <w:t xml:space="preserve">They </w:t>
      </w:r>
      <w:r w:rsidR="007750BB">
        <w:rPr>
          <w:rFonts w:ascii="Times New Roman" w:hAnsi="Times New Roman" w:cs="Times New Roman"/>
          <w:sz w:val="24"/>
        </w:rPr>
        <w:t xml:space="preserve">provide a valuable case study of how courts can approach broad </w:t>
      </w:r>
      <w:r w:rsidR="003C6D4D">
        <w:rPr>
          <w:rFonts w:ascii="Times New Roman" w:hAnsi="Times New Roman" w:cs="Times New Roman"/>
          <w:sz w:val="24"/>
        </w:rPr>
        <w:t>and seemingly unconstrained conferrals of power to determine the content of the ‘national interest', and how these provisions may interact with Australia’s international obligations.</w:t>
      </w:r>
    </w:p>
    <w:p w14:paraId="63F89846" w14:textId="77777777" w:rsidR="00CD17CA" w:rsidRDefault="00CD17CA" w:rsidP="00E33B82">
      <w:pPr>
        <w:spacing w:line="360" w:lineRule="auto"/>
        <w:jc w:val="both"/>
        <w:rPr>
          <w:rFonts w:ascii="Times New Roman" w:hAnsi="Times New Roman" w:cs="Times New Roman"/>
          <w:sz w:val="24"/>
        </w:rPr>
      </w:pPr>
    </w:p>
    <w:p w14:paraId="58A97F9F" w14:textId="5ED5B222" w:rsidR="00D759D7" w:rsidRPr="00B43C91" w:rsidRDefault="00CD17CA" w:rsidP="00E33B82">
      <w:pPr>
        <w:spacing w:line="360" w:lineRule="auto"/>
        <w:jc w:val="both"/>
        <w:rPr>
          <w:rFonts w:ascii="Times New Roman" w:hAnsi="Times New Roman" w:cs="Times New Roman"/>
          <w:sz w:val="24"/>
        </w:rPr>
      </w:pPr>
      <w:r>
        <w:rPr>
          <w:rFonts w:ascii="Times New Roman" w:hAnsi="Times New Roman" w:cs="Times New Roman"/>
          <w:sz w:val="24"/>
        </w:rPr>
        <w:t>P</w:t>
      </w:r>
      <w:r w:rsidR="00B43C91">
        <w:rPr>
          <w:rFonts w:ascii="Times New Roman" w:hAnsi="Times New Roman" w:cs="Times New Roman"/>
          <w:sz w:val="24"/>
        </w:rPr>
        <w:t xml:space="preserve">revious work has discussed powers </w:t>
      </w:r>
      <w:r>
        <w:rPr>
          <w:rFonts w:ascii="Times New Roman" w:hAnsi="Times New Roman" w:cs="Times New Roman"/>
          <w:sz w:val="24"/>
        </w:rPr>
        <w:t xml:space="preserve">involving the ‘national interest’ and the ‘public interest’ </w:t>
      </w:r>
      <w:r w:rsidR="00B43C91">
        <w:rPr>
          <w:rFonts w:ascii="Times New Roman" w:hAnsi="Times New Roman" w:cs="Times New Roman"/>
          <w:sz w:val="24"/>
        </w:rPr>
        <w:t xml:space="preserve">under the </w:t>
      </w:r>
      <w:r w:rsidR="00B43C91" w:rsidRPr="00FE3B29">
        <w:rPr>
          <w:rFonts w:ascii="Times New Roman" w:hAnsi="Times New Roman" w:cs="Times New Roman"/>
          <w:i/>
          <w:iCs/>
          <w:sz w:val="24"/>
        </w:rPr>
        <w:t>Migration Act</w:t>
      </w:r>
      <w:r w:rsidR="00B43C91">
        <w:rPr>
          <w:rFonts w:ascii="Times New Roman" w:hAnsi="Times New Roman" w:cs="Times New Roman"/>
          <w:sz w:val="24"/>
        </w:rPr>
        <w:t xml:space="preserve">. </w:t>
      </w:r>
      <w:r w:rsidR="00B6557C" w:rsidRPr="00411383">
        <w:rPr>
          <w:rFonts w:ascii="Times New Roman" w:hAnsi="Times New Roman" w:cs="Times New Roman"/>
          <w:sz w:val="24"/>
        </w:rPr>
        <w:t xml:space="preserve">Our </w:t>
      </w:r>
      <w:r w:rsidR="00BD6FCD">
        <w:rPr>
          <w:rFonts w:ascii="Times New Roman" w:hAnsi="Times New Roman" w:cs="Times New Roman"/>
          <w:sz w:val="24"/>
        </w:rPr>
        <w:t>article</w:t>
      </w:r>
      <w:r w:rsidR="00BD6FCD" w:rsidRPr="00411383">
        <w:rPr>
          <w:rFonts w:ascii="Times New Roman" w:hAnsi="Times New Roman" w:cs="Times New Roman"/>
          <w:sz w:val="24"/>
        </w:rPr>
        <w:t xml:space="preserve"> </w:t>
      </w:r>
      <w:r w:rsidR="00847E08" w:rsidRPr="00411383">
        <w:rPr>
          <w:rFonts w:ascii="Times New Roman" w:hAnsi="Times New Roman" w:cs="Times New Roman"/>
          <w:sz w:val="24"/>
        </w:rPr>
        <w:t>focus</w:t>
      </w:r>
      <w:r w:rsidR="00B6557C" w:rsidRPr="00411383">
        <w:rPr>
          <w:rFonts w:ascii="Times New Roman" w:hAnsi="Times New Roman" w:cs="Times New Roman"/>
          <w:sz w:val="24"/>
        </w:rPr>
        <w:t>es</w:t>
      </w:r>
      <w:r w:rsidR="00847E08" w:rsidRPr="00411383">
        <w:rPr>
          <w:rFonts w:ascii="Times New Roman" w:hAnsi="Times New Roman" w:cs="Times New Roman"/>
          <w:sz w:val="24"/>
        </w:rPr>
        <w:t xml:space="preserve"> on </w:t>
      </w:r>
      <w:r w:rsidR="00B6557C" w:rsidRPr="00411383">
        <w:rPr>
          <w:rFonts w:ascii="Times New Roman" w:hAnsi="Times New Roman" w:cs="Times New Roman"/>
          <w:sz w:val="24"/>
        </w:rPr>
        <w:t>‘</w:t>
      </w:r>
      <w:r w:rsidR="00847E08" w:rsidRPr="00411383">
        <w:rPr>
          <w:rFonts w:ascii="Times New Roman" w:hAnsi="Times New Roman" w:cs="Times New Roman"/>
          <w:sz w:val="24"/>
        </w:rPr>
        <w:t>national interest</w:t>
      </w:r>
      <w:r w:rsidR="00B6557C" w:rsidRPr="00411383">
        <w:rPr>
          <w:rFonts w:ascii="Times New Roman" w:hAnsi="Times New Roman" w:cs="Times New Roman"/>
          <w:sz w:val="24"/>
        </w:rPr>
        <w:t>’</w:t>
      </w:r>
      <w:r w:rsidR="00847E08" w:rsidRPr="00411383">
        <w:rPr>
          <w:rFonts w:ascii="Times New Roman" w:hAnsi="Times New Roman" w:cs="Times New Roman"/>
          <w:sz w:val="24"/>
        </w:rPr>
        <w:t xml:space="preserve"> </w:t>
      </w:r>
      <w:r w:rsidR="00B6557C" w:rsidRPr="00411383">
        <w:rPr>
          <w:rFonts w:ascii="Times New Roman" w:hAnsi="Times New Roman" w:cs="Times New Roman"/>
          <w:sz w:val="24"/>
        </w:rPr>
        <w:t>criteria.</w:t>
      </w:r>
      <w:r w:rsidR="00116390" w:rsidRPr="00411383">
        <w:rPr>
          <w:rFonts w:ascii="Times New Roman" w:hAnsi="Times New Roman" w:cs="Times New Roman"/>
          <w:sz w:val="24"/>
        </w:rPr>
        <w:t xml:space="preserve"> </w:t>
      </w:r>
      <w:r w:rsidR="00B6557C" w:rsidRPr="00411383">
        <w:rPr>
          <w:rFonts w:ascii="Times New Roman" w:hAnsi="Times New Roman" w:cs="Times New Roman"/>
          <w:sz w:val="24"/>
        </w:rPr>
        <w:t>B</w:t>
      </w:r>
      <w:r w:rsidR="00116390" w:rsidRPr="00411383">
        <w:rPr>
          <w:rFonts w:ascii="Times New Roman" w:hAnsi="Times New Roman" w:cs="Times New Roman"/>
          <w:sz w:val="24"/>
        </w:rPr>
        <w:t xml:space="preserve">ut we will </w:t>
      </w:r>
      <w:r w:rsidR="0061237A" w:rsidRPr="00411383">
        <w:rPr>
          <w:rFonts w:ascii="Times New Roman" w:hAnsi="Times New Roman" w:cs="Times New Roman"/>
          <w:sz w:val="24"/>
        </w:rPr>
        <w:t xml:space="preserve">refer </w:t>
      </w:r>
      <w:r w:rsidR="00116390" w:rsidRPr="00411383">
        <w:rPr>
          <w:rFonts w:ascii="Times New Roman" w:hAnsi="Times New Roman" w:cs="Times New Roman"/>
          <w:sz w:val="24"/>
        </w:rPr>
        <w:t xml:space="preserve">to the </w:t>
      </w:r>
      <w:r w:rsidR="00B6557C" w:rsidRPr="00411383">
        <w:rPr>
          <w:rFonts w:ascii="Times New Roman" w:hAnsi="Times New Roman" w:cs="Times New Roman"/>
          <w:sz w:val="24"/>
        </w:rPr>
        <w:t xml:space="preserve">‘public interest’ criteria </w:t>
      </w:r>
      <w:r w:rsidR="00116390" w:rsidRPr="00411383">
        <w:rPr>
          <w:rFonts w:ascii="Times New Roman" w:hAnsi="Times New Roman" w:cs="Times New Roman"/>
          <w:sz w:val="24"/>
        </w:rPr>
        <w:t xml:space="preserve">in the </w:t>
      </w:r>
      <w:r w:rsidR="00116390" w:rsidRPr="00FE3B29">
        <w:rPr>
          <w:rFonts w:ascii="Times New Roman" w:hAnsi="Times New Roman" w:cs="Times New Roman"/>
          <w:i/>
          <w:iCs/>
          <w:sz w:val="24"/>
        </w:rPr>
        <w:t>Migration Act</w:t>
      </w:r>
      <w:r w:rsidR="00116390" w:rsidRPr="00411383">
        <w:rPr>
          <w:rFonts w:ascii="Times New Roman" w:hAnsi="Times New Roman" w:cs="Times New Roman"/>
          <w:sz w:val="24"/>
        </w:rPr>
        <w:t xml:space="preserve"> where it is relevant to do so.</w:t>
      </w:r>
      <w:bookmarkEnd w:id="0"/>
    </w:p>
    <w:p w14:paraId="3C1822FE" w14:textId="2353245B" w:rsidR="006A4EF3" w:rsidRPr="00411383" w:rsidRDefault="006A4EF3" w:rsidP="00E33B82">
      <w:pPr>
        <w:spacing w:line="360" w:lineRule="auto"/>
        <w:rPr>
          <w:rFonts w:ascii="Times New Roman" w:hAnsi="Times New Roman" w:cs="Times New Roman"/>
          <w:b/>
          <w:sz w:val="24"/>
        </w:rPr>
      </w:pPr>
    </w:p>
    <w:p w14:paraId="6DCD59BA" w14:textId="4C108275" w:rsidR="006D6735" w:rsidRPr="00411383" w:rsidRDefault="007A601C" w:rsidP="00E33B82">
      <w:pPr>
        <w:spacing w:line="360" w:lineRule="auto"/>
        <w:jc w:val="both"/>
        <w:rPr>
          <w:rFonts w:ascii="Times New Roman" w:hAnsi="Times New Roman" w:cs="Times New Roman"/>
          <w:bCs/>
          <w:sz w:val="24"/>
        </w:rPr>
      </w:pPr>
      <w:r w:rsidRPr="00411383">
        <w:rPr>
          <w:rFonts w:ascii="Times New Roman" w:hAnsi="Times New Roman" w:cs="Times New Roman"/>
          <w:b/>
          <w:sz w:val="24"/>
        </w:rPr>
        <w:t>4</w:t>
      </w:r>
      <w:r w:rsidR="006D6735" w:rsidRPr="00411383">
        <w:rPr>
          <w:rFonts w:ascii="Times New Roman" w:hAnsi="Times New Roman" w:cs="Times New Roman"/>
          <w:b/>
          <w:sz w:val="24"/>
        </w:rPr>
        <w:t>.</w:t>
      </w:r>
      <w:r w:rsidR="006D6735" w:rsidRPr="00411383">
        <w:rPr>
          <w:rFonts w:ascii="Times New Roman" w:hAnsi="Times New Roman" w:cs="Times New Roman"/>
          <w:b/>
          <w:sz w:val="24"/>
        </w:rPr>
        <w:tab/>
        <w:t>The National Interest</w:t>
      </w:r>
      <w:r w:rsidR="002E4DF6">
        <w:rPr>
          <w:rFonts w:ascii="Times New Roman" w:hAnsi="Times New Roman" w:cs="Times New Roman"/>
          <w:b/>
          <w:sz w:val="24"/>
        </w:rPr>
        <w:t xml:space="preserve"> and Non-</w:t>
      </w:r>
      <w:r w:rsidR="002E4DF6" w:rsidRPr="00B22AB7">
        <w:rPr>
          <w:rFonts w:ascii="Times New Roman" w:hAnsi="Times New Roman" w:cs="Times New Roman"/>
          <w:b/>
          <w:i/>
          <w:iCs/>
          <w:sz w:val="24"/>
        </w:rPr>
        <w:t>Refoulement</w:t>
      </w:r>
    </w:p>
    <w:p w14:paraId="3D158E78" w14:textId="77777777" w:rsidR="0098470C" w:rsidRPr="00411383" w:rsidRDefault="0098470C" w:rsidP="00E33B82">
      <w:pPr>
        <w:spacing w:line="360" w:lineRule="auto"/>
        <w:jc w:val="both"/>
        <w:rPr>
          <w:rFonts w:ascii="Times New Roman" w:hAnsi="Times New Roman" w:cs="Times New Roman"/>
          <w:bCs/>
          <w:sz w:val="24"/>
        </w:rPr>
      </w:pPr>
    </w:p>
    <w:p w14:paraId="5924A4D8" w14:textId="1E03A28D" w:rsidR="0098470C" w:rsidRPr="003574A9" w:rsidRDefault="007A601C" w:rsidP="00E33B82">
      <w:pPr>
        <w:spacing w:line="360" w:lineRule="auto"/>
        <w:jc w:val="both"/>
        <w:rPr>
          <w:rFonts w:ascii="Times New Roman" w:hAnsi="Times New Roman" w:cs="Times New Roman"/>
          <w:b/>
          <w:sz w:val="24"/>
        </w:rPr>
      </w:pPr>
      <w:r w:rsidRPr="003574A9">
        <w:rPr>
          <w:rFonts w:ascii="Times New Roman" w:hAnsi="Times New Roman" w:cs="Times New Roman"/>
          <w:b/>
          <w:i/>
          <w:iCs/>
          <w:sz w:val="24"/>
        </w:rPr>
        <w:t>4</w:t>
      </w:r>
      <w:r w:rsidR="0098470C" w:rsidRPr="003574A9">
        <w:rPr>
          <w:rFonts w:ascii="Times New Roman" w:hAnsi="Times New Roman" w:cs="Times New Roman"/>
          <w:b/>
          <w:i/>
          <w:iCs/>
          <w:sz w:val="24"/>
        </w:rPr>
        <w:t>.</w:t>
      </w:r>
      <w:r w:rsidR="002E4DF6">
        <w:rPr>
          <w:rFonts w:ascii="Times New Roman" w:hAnsi="Times New Roman" w:cs="Times New Roman"/>
          <w:b/>
          <w:i/>
          <w:iCs/>
          <w:sz w:val="24"/>
        </w:rPr>
        <w:t>1</w:t>
      </w:r>
      <w:r w:rsidR="0098470C" w:rsidRPr="003574A9">
        <w:rPr>
          <w:rFonts w:ascii="Times New Roman" w:hAnsi="Times New Roman" w:cs="Times New Roman"/>
          <w:b/>
          <w:i/>
          <w:iCs/>
          <w:sz w:val="24"/>
        </w:rPr>
        <w:tab/>
      </w:r>
      <w:r w:rsidR="00E45EEA" w:rsidRPr="003574A9">
        <w:rPr>
          <w:rFonts w:ascii="Times New Roman" w:hAnsi="Times New Roman" w:cs="Times New Roman"/>
          <w:b/>
          <w:i/>
          <w:iCs/>
          <w:sz w:val="24"/>
        </w:rPr>
        <w:t>Introduction</w:t>
      </w:r>
    </w:p>
    <w:p w14:paraId="39FC14BA" w14:textId="77777777" w:rsidR="0098470C" w:rsidRPr="00411383" w:rsidRDefault="0098470C" w:rsidP="00E33B82">
      <w:pPr>
        <w:spacing w:line="360" w:lineRule="auto"/>
        <w:jc w:val="both"/>
        <w:rPr>
          <w:rFonts w:ascii="Times New Roman" w:hAnsi="Times New Roman" w:cs="Times New Roman"/>
          <w:bCs/>
          <w:sz w:val="24"/>
        </w:rPr>
      </w:pPr>
    </w:p>
    <w:p w14:paraId="297D77A8" w14:textId="52623093" w:rsidR="00231DDE" w:rsidRPr="00411383" w:rsidRDefault="00231DDE"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Australia owes obligations under the </w:t>
      </w:r>
      <w:r w:rsidR="00D32E9F" w:rsidRPr="00D32E9F">
        <w:rPr>
          <w:rFonts w:ascii="Times New Roman" w:hAnsi="Times New Roman" w:cs="Times New Roman"/>
          <w:bCs/>
          <w:sz w:val="24"/>
        </w:rPr>
        <w:t xml:space="preserve">Refugee </w:t>
      </w:r>
      <w:r w:rsidRPr="00D32E9F">
        <w:rPr>
          <w:rFonts w:ascii="Times New Roman" w:hAnsi="Times New Roman" w:cs="Times New Roman"/>
          <w:bCs/>
          <w:sz w:val="24"/>
        </w:rPr>
        <w:t>Convention</w:t>
      </w:r>
      <w:r w:rsidR="00D32E9F">
        <w:rPr>
          <w:rFonts w:ascii="Times New Roman" w:hAnsi="Times New Roman" w:cs="Times New Roman"/>
          <w:bCs/>
          <w:sz w:val="24"/>
        </w:rPr>
        <w:t>,</w:t>
      </w:r>
      <w:r w:rsidR="00D32E9F">
        <w:rPr>
          <w:rStyle w:val="FootnoteReference"/>
          <w:rFonts w:ascii="Times New Roman" w:hAnsi="Times New Roman" w:cs="Times New Roman"/>
          <w:bCs/>
          <w:sz w:val="24"/>
        </w:rPr>
        <w:footnoteReference w:id="85"/>
      </w:r>
      <w:r w:rsidRPr="00D32E9F">
        <w:rPr>
          <w:rFonts w:ascii="Times New Roman" w:hAnsi="Times New Roman" w:cs="Times New Roman"/>
          <w:bCs/>
          <w:sz w:val="24"/>
        </w:rPr>
        <w:t xml:space="preserve"> the </w:t>
      </w:r>
      <w:r w:rsidR="00D32E9F" w:rsidRPr="00D32E9F">
        <w:rPr>
          <w:rFonts w:ascii="Times New Roman" w:hAnsi="Times New Roman" w:cs="Times New Roman"/>
          <w:bCs/>
          <w:sz w:val="24"/>
        </w:rPr>
        <w:t>ICCPR</w:t>
      </w:r>
      <w:r w:rsidR="00D32E9F">
        <w:rPr>
          <w:rStyle w:val="FootnoteReference"/>
          <w:rFonts w:ascii="Times New Roman" w:hAnsi="Times New Roman" w:cs="Times New Roman"/>
          <w:bCs/>
          <w:sz w:val="24"/>
        </w:rPr>
        <w:footnoteReference w:id="86"/>
      </w:r>
      <w:r w:rsidRPr="00411383">
        <w:rPr>
          <w:rFonts w:ascii="Times New Roman" w:hAnsi="Times New Roman" w:cs="Times New Roman"/>
          <w:bCs/>
          <w:i/>
          <w:iCs/>
          <w:sz w:val="24"/>
        </w:rPr>
        <w:t xml:space="preserve"> </w:t>
      </w:r>
      <w:r w:rsidRPr="00411383">
        <w:rPr>
          <w:rFonts w:ascii="Times New Roman" w:hAnsi="Times New Roman" w:cs="Times New Roman"/>
          <w:bCs/>
          <w:sz w:val="24"/>
        </w:rPr>
        <w:t xml:space="preserve">and the </w:t>
      </w:r>
      <w:r w:rsidRPr="00411383">
        <w:rPr>
          <w:rFonts w:ascii="Times New Roman" w:hAnsi="Times New Roman" w:cs="Times New Roman"/>
          <w:bCs/>
          <w:i/>
          <w:iCs/>
          <w:sz w:val="24"/>
        </w:rPr>
        <w:t>Convention against Torture</w:t>
      </w:r>
      <w:r w:rsidR="0049462C">
        <w:rPr>
          <w:rStyle w:val="FootnoteReference"/>
          <w:rFonts w:ascii="Times New Roman" w:hAnsi="Times New Roman" w:cs="Times New Roman"/>
          <w:bCs/>
          <w:i/>
          <w:iCs/>
          <w:sz w:val="24"/>
        </w:rPr>
        <w:footnoteReference w:id="87"/>
      </w:r>
      <w:r w:rsidR="006300DC" w:rsidRPr="00411383">
        <w:rPr>
          <w:rFonts w:ascii="Times New Roman" w:hAnsi="Times New Roman" w:cs="Times New Roman"/>
          <w:bCs/>
          <w:sz w:val="24"/>
        </w:rPr>
        <w:t xml:space="preserve"> not to remove (or </w:t>
      </w:r>
      <w:r w:rsidR="006300DC" w:rsidRPr="00411383">
        <w:rPr>
          <w:rFonts w:ascii="Times New Roman" w:hAnsi="Times New Roman" w:cs="Times New Roman"/>
          <w:bCs/>
          <w:i/>
          <w:iCs/>
          <w:sz w:val="24"/>
        </w:rPr>
        <w:t>refoule</w:t>
      </w:r>
      <w:r w:rsidR="006300DC" w:rsidRPr="00411383">
        <w:rPr>
          <w:rFonts w:ascii="Times New Roman" w:hAnsi="Times New Roman" w:cs="Times New Roman"/>
          <w:bCs/>
          <w:sz w:val="24"/>
        </w:rPr>
        <w:t>) persons to countries in which they will face, relevantly, a real chance of persecution or a real risk of torture or cruel, inhuman or degrading treatment or punishment.</w:t>
      </w:r>
      <w:r w:rsidRPr="00411383">
        <w:rPr>
          <w:rFonts w:ascii="Times New Roman" w:hAnsi="Times New Roman" w:cs="Times New Roman"/>
          <w:bCs/>
          <w:sz w:val="24"/>
        </w:rPr>
        <w:t xml:space="preserve"> </w:t>
      </w:r>
      <w:r w:rsidR="005A4751" w:rsidRPr="00411383">
        <w:rPr>
          <w:rFonts w:ascii="Times New Roman" w:hAnsi="Times New Roman" w:cs="Times New Roman"/>
          <w:bCs/>
          <w:sz w:val="24"/>
        </w:rPr>
        <w:t xml:space="preserve">Critically, these obligations are owed </w:t>
      </w:r>
      <w:r w:rsidR="005A4751" w:rsidRPr="00411383">
        <w:rPr>
          <w:rFonts w:ascii="Times New Roman" w:hAnsi="Times New Roman" w:cs="Times New Roman"/>
          <w:bCs/>
          <w:i/>
          <w:iCs/>
          <w:sz w:val="24"/>
        </w:rPr>
        <w:t>in respect of</w:t>
      </w:r>
      <w:r w:rsidR="005A4751" w:rsidRPr="00411383">
        <w:rPr>
          <w:rFonts w:ascii="Times New Roman" w:hAnsi="Times New Roman" w:cs="Times New Roman"/>
          <w:bCs/>
          <w:sz w:val="24"/>
        </w:rPr>
        <w:t xml:space="preserve"> the individuals who are to be </w:t>
      </w:r>
      <w:r w:rsidR="005A4751" w:rsidRPr="00411383">
        <w:rPr>
          <w:rFonts w:ascii="Times New Roman" w:hAnsi="Times New Roman" w:cs="Times New Roman"/>
          <w:bCs/>
          <w:i/>
          <w:iCs/>
          <w:sz w:val="24"/>
        </w:rPr>
        <w:t>refouled</w:t>
      </w:r>
      <w:r w:rsidR="005A4751" w:rsidRPr="00411383">
        <w:rPr>
          <w:rFonts w:ascii="Times New Roman" w:hAnsi="Times New Roman" w:cs="Times New Roman"/>
          <w:bCs/>
          <w:sz w:val="24"/>
        </w:rPr>
        <w:t xml:space="preserve">, but they are not, strictly speaking, owed </w:t>
      </w:r>
      <w:r w:rsidR="005A4751" w:rsidRPr="00411383">
        <w:rPr>
          <w:rFonts w:ascii="Times New Roman" w:hAnsi="Times New Roman" w:cs="Times New Roman"/>
          <w:bCs/>
          <w:i/>
          <w:iCs/>
          <w:sz w:val="24"/>
        </w:rPr>
        <w:t xml:space="preserve">to </w:t>
      </w:r>
      <w:r w:rsidR="005A4751" w:rsidRPr="00411383">
        <w:rPr>
          <w:rFonts w:ascii="Times New Roman" w:hAnsi="Times New Roman" w:cs="Times New Roman"/>
          <w:bCs/>
          <w:sz w:val="24"/>
        </w:rPr>
        <w:t>those individuals. Instead, as a States Party to these Conventions, these obligations are owed by Australia to the international community.</w:t>
      </w:r>
    </w:p>
    <w:p w14:paraId="050B8783" w14:textId="77777777" w:rsidR="0071016F" w:rsidRPr="00411383" w:rsidRDefault="0071016F" w:rsidP="00E33B82">
      <w:pPr>
        <w:spacing w:line="360" w:lineRule="auto"/>
        <w:jc w:val="both"/>
        <w:rPr>
          <w:rFonts w:ascii="Times New Roman" w:hAnsi="Times New Roman" w:cs="Times New Roman"/>
          <w:bCs/>
          <w:sz w:val="24"/>
        </w:rPr>
      </w:pPr>
    </w:p>
    <w:p w14:paraId="2722B1C1" w14:textId="0C7FBD3D" w:rsidR="00B839BB" w:rsidRPr="00411383" w:rsidRDefault="0071016F"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On multiple occasions in recent years, the Federal Court and the Full Federal Court have heard challenges to decisions that a person’s visa should be cancelled or refused ‘in the national interest’, in circumstances where the legal and practical consequences</w:t>
      </w:r>
      <w:r w:rsidR="00605D0A" w:rsidRPr="00411383">
        <w:rPr>
          <w:rFonts w:ascii="Times New Roman" w:hAnsi="Times New Roman" w:cs="Times New Roman"/>
          <w:bCs/>
          <w:sz w:val="24"/>
        </w:rPr>
        <w:t xml:space="preserve"> of that decision would place Australia in breach of its international obligations. In each case, the Court has considered various iterations of a single question: can the Minister reasonably, and on a correct </w:t>
      </w:r>
      <w:r w:rsidR="00605D0A" w:rsidRPr="00411383">
        <w:rPr>
          <w:rFonts w:ascii="Times New Roman" w:hAnsi="Times New Roman" w:cs="Times New Roman"/>
          <w:bCs/>
          <w:sz w:val="24"/>
        </w:rPr>
        <w:lastRenderedPageBreak/>
        <w:t>understanding of the legal consequences of their decision, fail to consider this prospective breach of Australia’s international obligations in determining the ‘national interest’?</w:t>
      </w:r>
    </w:p>
    <w:p w14:paraId="0E4A06F2" w14:textId="77777777" w:rsidR="00371D05" w:rsidRPr="00411383" w:rsidRDefault="00371D05" w:rsidP="00E33B82">
      <w:pPr>
        <w:spacing w:line="360" w:lineRule="auto"/>
        <w:jc w:val="both"/>
        <w:rPr>
          <w:rFonts w:ascii="Times New Roman" w:hAnsi="Times New Roman" w:cs="Times New Roman"/>
          <w:bCs/>
          <w:sz w:val="24"/>
        </w:rPr>
      </w:pPr>
    </w:p>
    <w:p w14:paraId="41C91DEE" w14:textId="51F81D34" w:rsidR="00371D05" w:rsidRPr="00411383" w:rsidRDefault="00371D05" w:rsidP="00371D05">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The Full Federal Court’s judgments in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and </w:t>
      </w:r>
      <w:r w:rsidRPr="00411383">
        <w:rPr>
          <w:rFonts w:ascii="Times New Roman" w:hAnsi="Times New Roman" w:cs="Times New Roman"/>
          <w:bCs/>
          <w:i/>
          <w:iCs/>
          <w:sz w:val="24"/>
        </w:rPr>
        <w:t>ENT19</w:t>
      </w:r>
      <w:r w:rsidRPr="00411383">
        <w:rPr>
          <w:rFonts w:ascii="Times New Roman" w:hAnsi="Times New Roman" w:cs="Times New Roman"/>
          <w:bCs/>
          <w:sz w:val="24"/>
        </w:rPr>
        <w:t xml:space="preserve"> were the high water mark for a novel form of jurisdictional error: that a decision-maker who is required to form a state of satisfaction as to the ‘national interest’ pursuant to the </w:t>
      </w:r>
      <w:r w:rsidRPr="00FE3B29">
        <w:rPr>
          <w:rFonts w:ascii="Times New Roman" w:hAnsi="Times New Roman" w:cs="Times New Roman"/>
          <w:bCs/>
          <w:i/>
          <w:iCs/>
          <w:sz w:val="24"/>
        </w:rPr>
        <w:t>Migration Act</w:t>
      </w:r>
      <w:r w:rsidRPr="00411383">
        <w:rPr>
          <w:rFonts w:ascii="Times New Roman" w:hAnsi="Times New Roman" w:cs="Times New Roman"/>
          <w:bCs/>
          <w:sz w:val="24"/>
        </w:rPr>
        <w:t xml:space="preserve"> may fall into jurisdictional error by failing to consider a prospective breach of Australia’s non-</w:t>
      </w:r>
      <w:r w:rsidRPr="00411383">
        <w:rPr>
          <w:rFonts w:ascii="Times New Roman" w:hAnsi="Times New Roman" w:cs="Times New Roman"/>
          <w:bCs/>
          <w:i/>
          <w:iCs/>
          <w:sz w:val="24"/>
        </w:rPr>
        <w:t xml:space="preserve">refoulement </w:t>
      </w:r>
      <w:r w:rsidRPr="00411383">
        <w:rPr>
          <w:rFonts w:ascii="Times New Roman" w:hAnsi="Times New Roman" w:cs="Times New Roman"/>
          <w:bCs/>
          <w:sz w:val="24"/>
        </w:rPr>
        <w:t xml:space="preserve">obligations as an integer of, or a matter bearing upon, Australia’s interests as a nation. </w:t>
      </w:r>
      <w:r w:rsidR="007217C1" w:rsidRPr="00411383">
        <w:rPr>
          <w:rFonts w:ascii="Times New Roman" w:hAnsi="Times New Roman" w:cs="Times New Roman"/>
          <w:bCs/>
          <w:sz w:val="24"/>
        </w:rPr>
        <w:t xml:space="preserve">Rares J’s judgments in </w:t>
      </w:r>
      <w:r w:rsidR="00422DD1" w:rsidRPr="00411383">
        <w:rPr>
          <w:rFonts w:ascii="Times New Roman" w:hAnsi="Times New Roman" w:cs="Times New Roman"/>
          <w:bCs/>
          <w:i/>
          <w:iCs/>
          <w:sz w:val="24"/>
        </w:rPr>
        <w:t>FRH18</w:t>
      </w:r>
      <w:r w:rsidR="00422DD1" w:rsidRPr="00411383">
        <w:rPr>
          <w:rStyle w:val="FootnoteReference"/>
          <w:rFonts w:ascii="Times New Roman" w:hAnsi="Times New Roman" w:cs="Times New Roman"/>
          <w:bCs/>
          <w:sz w:val="24"/>
        </w:rPr>
        <w:footnoteReference w:id="88"/>
      </w:r>
      <w:r w:rsidR="00422DD1" w:rsidRPr="00411383">
        <w:rPr>
          <w:rFonts w:ascii="Times New Roman" w:hAnsi="Times New Roman" w:cs="Times New Roman"/>
          <w:bCs/>
          <w:sz w:val="24"/>
        </w:rPr>
        <w:t xml:space="preserve"> and </w:t>
      </w:r>
      <w:r w:rsidR="00422DD1" w:rsidRPr="00411383">
        <w:rPr>
          <w:rFonts w:ascii="Times New Roman" w:hAnsi="Times New Roman" w:cs="Times New Roman"/>
          <w:bCs/>
          <w:i/>
          <w:iCs/>
          <w:sz w:val="24"/>
        </w:rPr>
        <w:t>CPJ16</w:t>
      </w:r>
      <w:r w:rsidR="00422DD1" w:rsidRPr="00411383">
        <w:rPr>
          <w:rStyle w:val="FootnoteReference"/>
          <w:rFonts w:ascii="Times New Roman" w:hAnsi="Times New Roman" w:cs="Times New Roman"/>
          <w:bCs/>
          <w:sz w:val="24"/>
        </w:rPr>
        <w:footnoteReference w:id="89"/>
      </w:r>
      <w:r w:rsidR="00422DD1" w:rsidRPr="00411383">
        <w:rPr>
          <w:rFonts w:ascii="Times New Roman" w:hAnsi="Times New Roman" w:cs="Times New Roman"/>
          <w:bCs/>
          <w:sz w:val="24"/>
        </w:rPr>
        <w:t xml:space="preserve"> had previously recognised similar forms of error.</w:t>
      </w:r>
      <w:r w:rsidR="00FB7173" w:rsidRPr="00411383">
        <w:rPr>
          <w:rFonts w:ascii="Times New Roman" w:hAnsi="Times New Roman" w:cs="Times New Roman"/>
          <w:bCs/>
          <w:sz w:val="24"/>
        </w:rPr>
        <w:t xml:space="preserve"> </w:t>
      </w:r>
      <w:r w:rsidR="00FB7173" w:rsidRPr="00411383">
        <w:rPr>
          <w:rFonts w:ascii="Times New Roman" w:hAnsi="Times New Roman" w:cs="Times New Roman"/>
          <w:bCs/>
          <w:i/>
          <w:iCs/>
          <w:sz w:val="24"/>
        </w:rPr>
        <w:t>CWY20</w:t>
      </w:r>
      <w:r w:rsidR="00FB7173" w:rsidRPr="00411383">
        <w:rPr>
          <w:rFonts w:ascii="Times New Roman" w:hAnsi="Times New Roman" w:cs="Times New Roman"/>
          <w:bCs/>
          <w:sz w:val="24"/>
        </w:rPr>
        <w:t xml:space="preserve"> and </w:t>
      </w:r>
      <w:r w:rsidR="00FB7173" w:rsidRPr="00411383">
        <w:rPr>
          <w:rFonts w:ascii="Times New Roman" w:hAnsi="Times New Roman" w:cs="Times New Roman"/>
          <w:bCs/>
          <w:i/>
          <w:iCs/>
          <w:sz w:val="24"/>
        </w:rPr>
        <w:t>ENT19</w:t>
      </w:r>
      <w:r w:rsidR="00FB7173" w:rsidRPr="00411383">
        <w:rPr>
          <w:rFonts w:ascii="Times New Roman" w:hAnsi="Times New Roman" w:cs="Times New Roman"/>
          <w:bCs/>
          <w:sz w:val="24"/>
        </w:rPr>
        <w:t>, however, provide more detailed accounts of the jurisprudential bases for these forms of error.</w:t>
      </w:r>
    </w:p>
    <w:p w14:paraId="5B8DFEC3" w14:textId="77777777" w:rsidR="00371D05" w:rsidRPr="00411383" w:rsidRDefault="00371D05" w:rsidP="00371D05">
      <w:pPr>
        <w:spacing w:line="360" w:lineRule="auto"/>
        <w:jc w:val="both"/>
        <w:rPr>
          <w:rFonts w:ascii="Times New Roman" w:hAnsi="Times New Roman" w:cs="Times New Roman"/>
          <w:bCs/>
          <w:sz w:val="24"/>
        </w:rPr>
      </w:pPr>
    </w:p>
    <w:p w14:paraId="6C23256A" w14:textId="77777777" w:rsidR="00C052E4" w:rsidRPr="00411383" w:rsidRDefault="00371D05" w:rsidP="00371D05">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There are differences between each of these cases. First, each judgment concerned different legislative provisions; </w:t>
      </w:r>
      <w:r w:rsidRPr="00411383">
        <w:rPr>
          <w:rFonts w:ascii="Times New Roman" w:hAnsi="Times New Roman" w:cs="Times New Roman"/>
          <w:bCs/>
          <w:i/>
          <w:iCs/>
          <w:sz w:val="24"/>
        </w:rPr>
        <w:t>CWY20</w:t>
      </w:r>
      <w:r w:rsidR="005C4295" w:rsidRPr="00411383">
        <w:rPr>
          <w:rFonts w:ascii="Times New Roman" w:hAnsi="Times New Roman" w:cs="Times New Roman"/>
          <w:bCs/>
          <w:sz w:val="24"/>
        </w:rPr>
        <w:t xml:space="preserve"> (</w:t>
      </w:r>
      <w:r w:rsidRPr="00411383">
        <w:rPr>
          <w:rFonts w:ascii="Times New Roman" w:hAnsi="Times New Roman" w:cs="Times New Roman"/>
          <w:bCs/>
          <w:sz w:val="24"/>
        </w:rPr>
        <w:t xml:space="preserve">like </w:t>
      </w:r>
      <w:r w:rsidRPr="00411383">
        <w:rPr>
          <w:rFonts w:ascii="Times New Roman" w:hAnsi="Times New Roman" w:cs="Times New Roman"/>
          <w:bCs/>
          <w:i/>
          <w:iCs/>
          <w:sz w:val="24"/>
        </w:rPr>
        <w:t>FRH18</w:t>
      </w:r>
      <w:r w:rsidRPr="00411383">
        <w:rPr>
          <w:rFonts w:ascii="Times New Roman" w:hAnsi="Times New Roman" w:cs="Times New Roman"/>
          <w:bCs/>
          <w:sz w:val="24"/>
        </w:rPr>
        <w:t xml:space="preserve"> and </w:t>
      </w:r>
      <w:r w:rsidRPr="00411383">
        <w:rPr>
          <w:rFonts w:ascii="Times New Roman" w:hAnsi="Times New Roman" w:cs="Times New Roman"/>
          <w:bCs/>
          <w:i/>
          <w:iCs/>
          <w:sz w:val="24"/>
        </w:rPr>
        <w:t>CPJ16</w:t>
      </w:r>
      <w:r w:rsidR="005C4295" w:rsidRPr="00411383">
        <w:rPr>
          <w:rFonts w:ascii="Times New Roman" w:hAnsi="Times New Roman" w:cs="Times New Roman"/>
          <w:bCs/>
          <w:i/>
          <w:iCs/>
          <w:sz w:val="24"/>
        </w:rPr>
        <w:t xml:space="preserve"> </w:t>
      </w:r>
      <w:r w:rsidR="005C4295" w:rsidRPr="00411383">
        <w:rPr>
          <w:rFonts w:ascii="Times New Roman" w:hAnsi="Times New Roman" w:cs="Times New Roman"/>
          <w:bCs/>
          <w:sz w:val="24"/>
        </w:rPr>
        <w:t>before it)</w:t>
      </w:r>
      <w:r w:rsidRPr="00411383">
        <w:rPr>
          <w:rFonts w:ascii="Times New Roman" w:hAnsi="Times New Roman" w:cs="Times New Roman"/>
          <w:bCs/>
          <w:sz w:val="24"/>
        </w:rPr>
        <w:t xml:space="preserve"> concerned s 501A of the </w:t>
      </w:r>
      <w:r w:rsidRPr="00FE3B29">
        <w:rPr>
          <w:rFonts w:ascii="Times New Roman" w:hAnsi="Times New Roman" w:cs="Times New Roman"/>
          <w:bCs/>
          <w:i/>
          <w:iCs/>
          <w:sz w:val="24"/>
        </w:rPr>
        <w:t>Migration Act</w:t>
      </w:r>
      <w:r w:rsidRPr="00411383">
        <w:rPr>
          <w:rFonts w:ascii="Times New Roman" w:hAnsi="Times New Roman" w:cs="Times New Roman"/>
          <w:bCs/>
          <w:sz w:val="24"/>
        </w:rPr>
        <w:t xml:space="preserve">, while </w:t>
      </w:r>
      <w:r w:rsidRPr="00411383">
        <w:rPr>
          <w:rFonts w:ascii="Times New Roman" w:hAnsi="Times New Roman" w:cs="Times New Roman"/>
          <w:bCs/>
          <w:i/>
          <w:iCs/>
          <w:sz w:val="24"/>
        </w:rPr>
        <w:t>ENT19</w:t>
      </w:r>
      <w:r w:rsidRPr="00411383">
        <w:rPr>
          <w:rFonts w:ascii="Times New Roman" w:hAnsi="Times New Roman" w:cs="Times New Roman"/>
          <w:bCs/>
          <w:sz w:val="24"/>
        </w:rPr>
        <w:t xml:space="preserve"> concerned a criterion for a protection visa under the </w:t>
      </w:r>
      <w:r w:rsidRPr="00411383">
        <w:rPr>
          <w:rFonts w:ascii="Times New Roman" w:hAnsi="Times New Roman" w:cs="Times New Roman"/>
          <w:bCs/>
          <w:i/>
          <w:iCs/>
          <w:sz w:val="24"/>
        </w:rPr>
        <w:t>Migration Regulations</w:t>
      </w:r>
      <w:r w:rsidRPr="00411383">
        <w:rPr>
          <w:rFonts w:ascii="Times New Roman" w:hAnsi="Times New Roman" w:cs="Times New Roman"/>
          <w:bCs/>
          <w:sz w:val="24"/>
        </w:rPr>
        <w:t xml:space="preserve">. The judgments also involved decisions by different decision-makers;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w:t>
      </w:r>
      <w:r w:rsidR="0012143E" w:rsidRPr="00411383">
        <w:rPr>
          <w:rFonts w:ascii="Times New Roman" w:hAnsi="Times New Roman" w:cs="Times New Roman"/>
          <w:bCs/>
          <w:sz w:val="24"/>
        </w:rPr>
        <w:t>(</w:t>
      </w:r>
      <w:r w:rsidR="00E34C2E" w:rsidRPr="00411383">
        <w:rPr>
          <w:rFonts w:ascii="Times New Roman" w:hAnsi="Times New Roman" w:cs="Times New Roman"/>
          <w:bCs/>
          <w:sz w:val="24"/>
        </w:rPr>
        <w:t xml:space="preserve">akin to </w:t>
      </w:r>
      <w:r w:rsidR="0012143E" w:rsidRPr="00411383">
        <w:rPr>
          <w:rFonts w:ascii="Times New Roman" w:hAnsi="Times New Roman" w:cs="Times New Roman"/>
          <w:bCs/>
          <w:i/>
          <w:iCs/>
          <w:sz w:val="24"/>
        </w:rPr>
        <w:t>FRH18</w:t>
      </w:r>
      <w:r w:rsidR="0012143E" w:rsidRPr="00411383">
        <w:rPr>
          <w:rFonts w:ascii="Times New Roman" w:hAnsi="Times New Roman" w:cs="Times New Roman"/>
          <w:bCs/>
          <w:sz w:val="24"/>
        </w:rPr>
        <w:t xml:space="preserve"> and </w:t>
      </w:r>
      <w:r w:rsidR="0012143E" w:rsidRPr="00411383">
        <w:rPr>
          <w:rFonts w:ascii="Times New Roman" w:hAnsi="Times New Roman" w:cs="Times New Roman"/>
          <w:bCs/>
          <w:i/>
          <w:iCs/>
          <w:sz w:val="24"/>
        </w:rPr>
        <w:t>CPJ16</w:t>
      </w:r>
      <w:r w:rsidR="0012143E" w:rsidRPr="00411383">
        <w:rPr>
          <w:rFonts w:ascii="Times New Roman" w:hAnsi="Times New Roman" w:cs="Times New Roman"/>
          <w:bCs/>
          <w:sz w:val="24"/>
        </w:rPr>
        <w:t xml:space="preserve">) </w:t>
      </w:r>
      <w:r w:rsidRPr="00411383">
        <w:rPr>
          <w:rFonts w:ascii="Times New Roman" w:hAnsi="Times New Roman" w:cs="Times New Roman"/>
          <w:bCs/>
          <w:sz w:val="24"/>
        </w:rPr>
        <w:t xml:space="preserve">involved a decision made personally by the Acting Minister for Immigration, whereas the impugned decision in </w:t>
      </w:r>
      <w:r w:rsidRPr="00411383">
        <w:rPr>
          <w:rFonts w:ascii="Times New Roman" w:hAnsi="Times New Roman" w:cs="Times New Roman"/>
          <w:bCs/>
          <w:i/>
          <w:iCs/>
          <w:sz w:val="24"/>
        </w:rPr>
        <w:t>ENT19</w:t>
      </w:r>
      <w:r w:rsidRPr="00411383">
        <w:rPr>
          <w:rFonts w:ascii="Times New Roman" w:hAnsi="Times New Roman" w:cs="Times New Roman"/>
          <w:bCs/>
          <w:sz w:val="24"/>
        </w:rPr>
        <w:t xml:space="preserve"> was made by a delegate of the Minister. </w:t>
      </w:r>
    </w:p>
    <w:p w14:paraId="2EF51D4B" w14:textId="77777777" w:rsidR="00C052E4" w:rsidRPr="00411383" w:rsidRDefault="00C052E4" w:rsidP="00371D05">
      <w:pPr>
        <w:spacing w:line="360" w:lineRule="auto"/>
        <w:jc w:val="both"/>
        <w:rPr>
          <w:rFonts w:ascii="Times New Roman" w:hAnsi="Times New Roman" w:cs="Times New Roman"/>
          <w:bCs/>
          <w:sz w:val="24"/>
        </w:rPr>
      </w:pPr>
    </w:p>
    <w:p w14:paraId="71736DBB" w14:textId="4EF525B1" w:rsidR="00371D05" w:rsidRPr="00411383" w:rsidRDefault="007765E6" w:rsidP="00371D05">
      <w:pPr>
        <w:spacing w:line="360" w:lineRule="auto"/>
        <w:jc w:val="both"/>
        <w:rPr>
          <w:rFonts w:ascii="Times New Roman" w:hAnsi="Times New Roman" w:cs="Times New Roman"/>
          <w:bCs/>
          <w:sz w:val="24"/>
        </w:rPr>
      </w:pPr>
      <w:r w:rsidRPr="00411383">
        <w:rPr>
          <w:rFonts w:ascii="Times New Roman" w:hAnsi="Times New Roman" w:cs="Times New Roman"/>
          <w:bCs/>
          <w:sz w:val="24"/>
        </w:rPr>
        <w:t>Further, critically,</w:t>
      </w:r>
      <w:r w:rsidR="00371D05" w:rsidRPr="00411383">
        <w:rPr>
          <w:rFonts w:ascii="Times New Roman" w:hAnsi="Times New Roman" w:cs="Times New Roman"/>
          <w:bCs/>
          <w:sz w:val="24"/>
        </w:rPr>
        <w:t xml:space="preserve"> both judgments characterised the nature of the resulting error in different ways</w:t>
      </w:r>
      <w:r w:rsidR="00C052E4" w:rsidRPr="00411383">
        <w:rPr>
          <w:rFonts w:ascii="Times New Roman" w:hAnsi="Times New Roman" w:cs="Times New Roman"/>
          <w:bCs/>
          <w:sz w:val="24"/>
        </w:rPr>
        <w:t>.</w:t>
      </w:r>
      <w:r w:rsidR="00371D05" w:rsidRPr="00411383">
        <w:rPr>
          <w:rFonts w:ascii="Times New Roman" w:hAnsi="Times New Roman" w:cs="Times New Roman"/>
          <w:bCs/>
          <w:sz w:val="24"/>
        </w:rPr>
        <w:t xml:space="preserve"> </w:t>
      </w:r>
      <w:r w:rsidR="00F82BB1" w:rsidRPr="00411383">
        <w:rPr>
          <w:rFonts w:ascii="Times New Roman" w:hAnsi="Times New Roman" w:cs="Times New Roman"/>
          <w:bCs/>
          <w:sz w:val="24"/>
        </w:rPr>
        <w:t xml:space="preserve">In </w:t>
      </w:r>
      <w:r w:rsidR="00371D05" w:rsidRPr="00411383">
        <w:rPr>
          <w:rFonts w:ascii="Times New Roman" w:hAnsi="Times New Roman" w:cs="Times New Roman"/>
          <w:bCs/>
          <w:i/>
          <w:iCs/>
          <w:sz w:val="24"/>
        </w:rPr>
        <w:t>CWY20</w:t>
      </w:r>
      <w:r w:rsidR="00F82BB1" w:rsidRPr="00411383">
        <w:rPr>
          <w:rFonts w:ascii="Times New Roman" w:hAnsi="Times New Roman" w:cs="Times New Roman"/>
          <w:bCs/>
          <w:sz w:val="24"/>
        </w:rPr>
        <w:t>, the Court</w:t>
      </w:r>
      <w:r w:rsidR="00371D05" w:rsidRPr="00411383">
        <w:rPr>
          <w:rFonts w:ascii="Times New Roman" w:hAnsi="Times New Roman" w:cs="Times New Roman"/>
          <w:bCs/>
          <w:sz w:val="24"/>
        </w:rPr>
        <w:t xml:space="preserve"> at first instance and on appeal characterised the Acting Minister’s failure to consider non-</w:t>
      </w:r>
      <w:r w:rsidR="00371D05" w:rsidRPr="00411383">
        <w:rPr>
          <w:rFonts w:ascii="Times New Roman" w:hAnsi="Times New Roman" w:cs="Times New Roman"/>
          <w:bCs/>
          <w:i/>
          <w:iCs/>
          <w:sz w:val="24"/>
        </w:rPr>
        <w:t xml:space="preserve">refoulement </w:t>
      </w:r>
      <w:r w:rsidR="00371D05" w:rsidRPr="00411383">
        <w:rPr>
          <w:rFonts w:ascii="Times New Roman" w:hAnsi="Times New Roman" w:cs="Times New Roman"/>
          <w:bCs/>
          <w:sz w:val="24"/>
        </w:rPr>
        <w:t>obligations as legally unreasonable</w:t>
      </w:r>
      <w:r w:rsidR="00C411EF" w:rsidRPr="00411383">
        <w:rPr>
          <w:rFonts w:ascii="Times New Roman" w:hAnsi="Times New Roman" w:cs="Times New Roman"/>
          <w:bCs/>
          <w:sz w:val="24"/>
        </w:rPr>
        <w:t>, although Griffiths J also noted an alternative characterisation of failure to act on a correct understanding of the law</w:t>
      </w:r>
      <w:r w:rsidRPr="00411383">
        <w:rPr>
          <w:rFonts w:ascii="Times New Roman" w:hAnsi="Times New Roman" w:cs="Times New Roman"/>
          <w:bCs/>
          <w:sz w:val="24"/>
        </w:rPr>
        <w:t xml:space="preserve">. </w:t>
      </w:r>
      <w:r w:rsidR="00C411EF" w:rsidRPr="00411383">
        <w:rPr>
          <w:rFonts w:ascii="Times New Roman" w:hAnsi="Times New Roman" w:cs="Times New Roman"/>
          <w:bCs/>
          <w:sz w:val="24"/>
        </w:rPr>
        <w:t>A</w:t>
      </w:r>
      <w:r w:rsidR="00F03843" w:rsidRPr="00411383">
        <w:rPr>
          <w:rFonts w:ascii="Times New Roman" w:hAnsi="Times New Roman" w:cs="Times New Roman"/>
          <w:bCs/>
          <w:sz w:val="24"/>
        </w:rPr>
        <w:t xml:space="preserve">t least one judge in </w:t>
      </w:r>
      <w:r w:rsidR="00371D05" w:rsidRPr="00411383">
        <w:rPr>
          <w:rFonts w:ascii="Times New Roman" w:hAnsi="Times New Roman" w:cs="Times New Roman"/>
          <w:bCs/>
          <w:i/>
          <w:iCs/>
          <w:sz w:val="24"/>
        </w:rPr>
        <w:t>ENT19</w:t>
      </w:r>
      <w:r w:rsidR="00371D05" w:rsidRPr="00411383">
        <w:rPr>
          <w:rFonts w:ascii="Times New Roman" w:hAnsi="Times New Roman" w:cs="Times New Roman"/>
          <w:bCs/>
          <w:sz w:val="24"/>
        </w:rPr>
        <w:t xml:space="preserve"> characterised the delegate’s failure in terms of a failure to understand the</w:t>
      </w:r>
      <w:r w:rsidR="00037535" w:rsidRPr="00411383">
        <w:rPr>
          <w:rFonts w:ascii="Times New Roman" w:hAnsi="Times New Roman" w:cs="Times New Roman"/>
          <w:bCs/>
          <w:sz w:val="24"/>
        </w:rPr>
        <w:t xml:space="preserve"> legal and practical consequences of the decision</w:t>
      </w:r>
      <w:r w:rsidR="00467DCD">
        <w:rPr>
          <w:rFonts w:ascii="Times New Roman" w:hAnsi="Times New Roman" w:cs="Times New Roman"/>
          <w:bCs/>
          <w:sz w:val="24"/>
        </w:rPr>
        <w:t xml:space="preserve">, </w:t>
      </w:r>
      <w:r w:rsidR="00037535" w:rsidRPr="00411383">
        <w:rPr>
          <w:rFonts w:ascii="Times New Roman" w:hAnsi="Times New Roman" w:cs="Times New Roman"/>
          <w:bCs/>
          <w:sz w:val="24"/>
        </w:rPr>
        <w:t>although the bench also characterised the delegate’s failure as one of legal unreasonableness</w:t>
      </w:r>
      <w:r w:rsidR="00371D05" w:rsidRPr="00411383">
        <w:rPr>
          <w:rFonts w:ascii="Times New Roman" w:hAnsi="Times New Roman" w:cs="Times New Roman"/>
          <w:bCs/>
          <w:sz w:val="24"/>
        </w:rPr>
        <w:t xml:space="preserve">. </w:t>
      </w:r>
      <w:r w:rsidR="00B452DF" w:rsidRPr="00411383">
        <w:rPr>
          <w:rFonts w:ascii="Times New Roman" w:hAnsi="Times New Roman" w:cs="Times New Roman"/>
          <w:bCs/>
          <w:sz w:val="24"/>
        </w:rPr>
        <w:t>These distinct characterisations are considered below.</w:t>
      </w:r>
    </w:p>
    <w:p w14:paraId="7445988A" w14:textId="77777777" w:rsidR="00371D05" w:rsidRPr="00411383" w:rsidRDefault="00371D05" w:rsidP="00371D05">
      <w:pPr>
        <w:spacing w:line="360" w:lineRule="auto"/>
        <w:jc w:val="both"/>
        <w:rPr>
          <w:rFonts w:ascii="Times New Roman" w:hAnsi="Times New Roman" w:cs="Times New Roman"/>
          <w:bCs/>
          <w:sz w:val="24"/>
        </w:rPr>
      </w:pPr>
    </w:p>
    <w:p w14:paraId="2CF9DED8" w14:textId="5B9F265C" w:rsidR="00371D05" w:rsidRPr="00411383" w:rsidRDefault="007765E6" w:rsidP="00371D05">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Each of these </w:t>
      </w:r>
      <w:r w:rsidR="00371D05" w:rsidRPr="00411383">
        <w:rPr>
          <w:rFonts w:ascii="Times New Roman" w:hAnsi="Times New Roman" w:cs="Times New Roman"/>
          <w:bCs/>
          <w:sz w:val="24"/>
        </w:rPr>
        <w:t>cases, however, reached an equivalent result: tracing a clear boundary to the breadth of executive power to solely identify which factors are relevant to the ‘national interest’, and asserting a role for the courts in policing that boundary.</w:t>
      </w:r>
      <w:r w:rsidR="00DC6EA3">
        <w:rPr>
          <w:rFonts w:ascii="Times New Roman" w:hAnsi="Times New Roman" w:cs="Times New Roman"/>
          <w:bCs/>
          <w:sz w:val="24"/>
        </w:rPr>
        <w:t xml:space="preserve"> As discussed further below, this is consistent with Appleby and Reilly’s ‘meta-principle’ and provides an important </w:t>
      </w:r>
      <w:r w:rsidR="00DC6EA3">
        <w:rPr>
          <w:rFonts w:ascii="Times New Roman" w:hAnsi="Times New Roman" w:cs="Times New Roman"/>
          <w:bCs/>
          <w:sz w:val="24"/>
        </w:rPr>
        <w:lastRenderedPageBreak/>
        <w:t>example of how that doctrine could potentially work in practice.</w:t>
      </w:r>
      <w:r w:rsidR="007E4281">
        <w:rPr>
          <w:rFonts w:ascii="Times New Roman" w:hAnsi="Times New Roman" w:cs="Times New Roman"/>
          <w:bCs/>
          <w:sz w:val="24"/>
        </w:rPr>
        <w:t xml:space="preserve"> In the end, however, this line of cases was rejected by the Full Federal Court, which resiled from this brief attempt to explore limits to the national interest.</w:t>
      </w:r>
    </w:p>
    <w:p w14:paraId="3B5449C8" w14:textId="77777777" w:rsidR="00B81708" w:rsidRPr="00411383" w:rsidRDefault="00B81708" w:rsidP="00371D05">
      <w:pPr>
        <w:spacing w:line="360" w:lineRule="auto"/>
        <w:jc w:val="both"/>
        <w:rPr>
          <w:rFonts w:ascii="Times New Roman" w:hAnsi="Times New Roman" w:cs="Times New Roman"/>
          <w:bCs/>
          <w:sz w:val="24"/>
        </w:rPr>
      </w:pPr>
    </w:p>
    <w:p w14:paraId="69383AFB" w14:textId="2DB3CA2C" w:rsidR="00D6632F" w:rsidRPr="003574A9" w:rsidRDefault="00F52B00" w:rsidP="00E33B82">
      <w:pPr>
        <w:spacing w:line="360" w:lineRule="auto"/>
        <w:jc w:val="both"/>
        <w:rPr>
          <w:rFonts w:ascii="Times New Roman" w:hAnsi="Times New Roman" w:cs="Times New Roman"/>
          <w:b/>
          <w:i/>
          <w:iCs/>
          <w:sz w:val="24"/>
        </w:rPr>
      </w:pPr>
      <w:r w:rsidRPr="003574A9">
        <w:rPr>
          <w:rFonts w:ascii="Times New Roman" w:hAnsi="Times New Roman" w:cs="Times New Roman"/>
          <w:b/>
          <w:i/>
          <w:iCs/>
          <w:sz w:val="24"/>
        </w:rPr>
        <w:t>4</w:t>
      </w:r>
      <w:r w:rsidR="00FF6D3F" w:rsidRPr="003574A9">
        <w:rPr>
          <w:rFonts w:ascii="Times New Roman" w:hAnsi="Times New Roman" w:cs="Times New Roman"/>
          <w:b/>
          <w:i/>
          <w:iCs/>
          <w:sz w:val="24"/>
        </w:rPr>
        <w:t>.</w:t>
      </w:r>
      <w:r w:rsidR="00DC1FF3">
        <w:rPr>
          <w:rFonts w:ascii="Times New Roman" w:hAnsi="Times New Roman" w:cs="Times New Roman"/>
          <w:b/>
          <w:i/>
          <w:iCs/>
          <w:sz w:val="24"/>
        </w:rPr>
        <w:t>2</w:t>
      </w:r>
      <w:r w:rsidR="00FF6D3F" w:rsidRPr="003574A9">
        <w:rPr>
          <w:rFonts w:ascii="Times New Roman" w:hAnsi="Times New Roman" w:cs="Times New Roman"/>
          <w:b/>
          <w:i/>
          <w:iCs/>
          <w:sz w:val="24"/>
        </w:rPr>
        <w:tab/>
        <w:t>CWY20</w:t>
      </w:r>
      <w:r w:rsidR="00546B90" w:rsidRPr="003574A9">
        <w:rPr>
          <w:rFonts w:ascii="Times New Roman" w:hAnsi="Times New Roman" w:cs="Times New Roman"/>
          <w:b/>
          <w:i/>
          <w:iCs/>
          <w:sz w:val="24"/>
        </w:rPr>
        <w:t>: Failure to Consider Non-Refoulement Obligations as Legal Unreasonableness</w:t>
      </w:r>
    </w:p>
    <w:p w14:paraId="5E3FD57C" w14:textId="77777777" w:rsidR="00C26ADF" w:rsidRPr="00411383" w:rsidRDefault="00C26ADF" w:rsidP="00E33B82">
      <w:pPr>
        <w:spacing w:line="360" w:lineRule="auto"/>
        <w:jc w:val="both"/>
        <w:rPr>
          <w:rFonts w:ascii="Times New Roman" w:hAnsi="Times New Roman" w:cs="Times New Roman"/>
          <w:bCs/>
          <w:sz w:val="24"/>
        </w:rPr>
      </w:pPr>
    </w:p>
    <w:p w14:paraId="71524D00" w14:textId="655FCFC6" w:rsidR="00D744DA" w:rsidRPr="003574A9" w:rsidRDefault="00D744DA" w:rsidP="00E33B82">
      <w:pPr>
        <w:spacing w:line="360" w:lineRule="auto"/>
        <w:jc w:val="both"/>
        <w:rPr>
          <w:rFonts w:ascii="Times New Roman" w:hAnsi="Times New Roman" w:cs="Times New Roman"/>
          <w:bCs/>
          <w:i/>
          <w:iCs/>
          <w:sz w:val="24"/>
        </w:rPr>
      </w:pPr>
      <w:r w:rsidRPr="003574A9">
        <w:rPr>
          <w:rFonts w:ascii="Times New Roman" w:hAnsi="Times New Roman" w:cs="Times New Roman"/>
          <w:bCs/>
          <w:i/>
          <w:iCs/>
          <w:sz w:val="24"/>
        </w:rPr>
        <w:t>4.</w:t>
      </w:r>
      <w:r w:rsidR="00DC1FF3">
        <w:rPr>
          <w:rFonts w:ascii="Times New Roman" w:hAnsi="Times New Roman" w:cs="Times New Roman"/>
          <w:bCs/>
          <w:i/>
          <w:iCs/>
          <w:sz w:val="24"/>
        </w:rPr>
        <w:t>2</w:t>
      </w:r>
      <w:r w:rsidRPr="003574A9">
        <w:rPr>
          <w:rFonts w:ascii="Times New Roman" w:hAnsi="Times New Roman" w:cs="Times New Roman"/>
          <w:bCs/>
          <w:i/>
          <w:iCs/>
          <w:sz w:val="24"/>
        </w:rPr>
        <w:t>.</w:t>
      </w:r>
      <w:r w:rsidR="00666A98" w:rsidRPr="003574A9">
        <w:rPr>
          <w:rFonts w:ascii="Times New Roman" w:hAnsi="Times New Roman" w:cs="Times New Roman"/>
          <w:bCs/>
          <w:i/>
          <w:iCs/>
          <w:sz w:val="24"/>
        </w:rPr>
        <w:t>1</w:t>
      </w:r>
      <w:r w:rsidRPr="003574A9">
        <w:rPr>
          <w:rFonts w:ascii="Times New Roman" w:hAnsi="Times New Roman" w:cs="Times New Roman"/>
          <w:bCs/>
          <w:i/>
          <w:iCs/>
          <w:sz w:val="24"/>
        </w:rPr>
        <w:tab/>
        <w:t>CWY20: Relevant Facts</w:t>
      </w:r>
    </w:p>
    <w:p w14:paraId="07F5434D" w14:textId="77777777" w:rsidR="00D744DA" w:rsidRPr="00411383" w:rsidRDefault="00D744DA" w:rsidP="00E33B82">
      <w:pPr>
        <w:spacing w:line="360" w:lineRule="auto"/>
        <w:jc w:val="both"/>
        <w:rPr>
          <w:rFonts w:ascii="Times New Roman" w:hAnsi="Times New Roman" w:cs="Times New Roman"/>
          <w:bCs/>
          <w:sz w:val="24"/>
        </w:rPr>
      </w:pPr>
    </w:p>
    <w:p w14:paraId="40158A85" w14:textId="18693C7B" w:rsidR="00D66506" w:rsidRPr="00411383" w:rsidRDefault="00DE6857"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CWY20 was a citizen of Afghanistan.</w:t>
      </w:r>
      <w:r w:rsidR="00F52C1A" w:rsidRPr="00411383">
        <w:rPr>
          <w:rStyle w:val="FootnoteReference"/>
          <w:rFonts w:ascii="Times New Roman" w:hAnsi="Times New Roman" w:cs="Times New Roman"/>
          <w:bCs/>
          <w:sz w:val="24"/>
        </w:rPr>
        <w:footnoteReference w:id="90"/>
      </w:r>
      <w:r w:rsidR="00075190" w:rsidRPr="00411383">
        <w:rPr>
          <w:rFonts w:ascii="Times New Roman" w:hAnsi="Times New Roman" w:cs="Times New Roman"/>
          <w:bCs/>
          <w:sz w:val="24"/>
        </w:rPr>
        <w:t xml:space="preserve"> He applied for a protection visa</w:t>
      </w:r>
      <w:r w:rsidR="00A81DC8" w:rsidRPr="00411383">
        <w:rPr>
          <w:rFonts w:ascii="Times New Roman" w:hAnsi="Times New Roman" w:cs="Times New Roman"/>
          <w:bCs/>
          <w:sz w:val="24"/>
        </w:rPr>
        <w:t>.</w:t>
      </w:r>
      <w:r w:rsidR="00075190" w:rsidRPr="00411383">
        <w:rPr>
          <w:rFonts w:ascii="Times New Roman" w:hAnsi="Times New Roman" w:cs="Times New Roman"/>
          <w:bCs/>
          <w:sz w:val="24"/>
        </w:rPr>
        <w:t xml:space="preserve"> It was accepted at multiple stages in the decision-making process that he had a well-founded fear of persecution</w:t>
      </w:r>
      <w:r w:rsidR="00A81DC8" w:rsidRPr="00411383">
        <w:rPr>
          <w:rFonts w:ascii="Times New Roman" w:hAnsi="Times New Roman" w:cs="Times New Roman"/>
          <w:bCs/>
          <w:sz w:val="24"/>
        </w:rPr>
        <w:t xml:space="preserve"> if removed to Afghanistan</w:t>
      </w:r>
      <w:r w:rsidR="00075190" w:rsidRPr="00411383">
        <w:rPr>
          <w:rFonts w:ascii="Times New Roman" w:hAnsi="Times New Roman" w:cs="Times New Roman"/>
          <w:bCs/>
          <w:sz w:val="24"/>
        </w:rPr>
        <w:t xml:space="preserve">. His visa application was refused pursuant to s 501 of the </w:t>
      </w:r>
      <w:r w:rsidR="00075190" w:rsidRPr="00FE3B29">
        <w:rPr>
          <w:rFonts w:ascii="Times New Roman" w:hAnsi="Times New Roman" w:cs="Times New Roman"/>
          <w:bCs/>
          <w:i/>
          <w:iCs/>
          <w:sz w:val="24"/>
        </w:rPr>
        <w:t>Migration Act</w:t>
      </w:r>
      <w:r w:rsidR="00075190" w:rsidRPr="00411383">
        <w:rPr>
          <w:rFonts w:ascii="Times New Roman" w:hAnsi="Times New Roman" w:cs="Times New Roman"/>
          <w:bCs/>
          <w:sz w:val="24"/>
        </w:rPr>
        <w:t xml:space="preserve"> after multiple criminal convictions. This refusal was set aside by the </w:t>
      </w:r>
      <w:r w:rsidR="00D65E50">
        <w:rPr>
          <w:rFonts w:ascii="Times New Roman" w:hAnsi="Times New Roman" w:cs="Times New Roman"/>
          <w:bCs/>
          <w:sz w:val="24"/>
        </w:rPr>
        <w:t xml:space="preserve">Administrative Appeals </w:t>
      </w:r>
      <w:r w:rsidR="00075190" w:rsidRPr="00411383">
        <w:rPr>
          <w:rFonts w:ascii="Times New Roman" w:hAnsi="Times New Roman" w:cs="Times New Roman"/>
          <w:bCs/>
          <w:sz w:val="24"/>
        </w:rPr>
        <w:t xml:space="preserve">Tribunal. </w:t>
      </w:r>
    </w:p>
    <w:p w14:paraId="0879AFF0" w14:textId="77777777" w:rsidR="00D66506" w:rsidRPr="00411383" w:rsidRDefault="00D66506" w:rsidP="00E33B82">
      <w:pPr>
        <w:spacing w:line="360" w:lineRule="auto"/>
        <w:jc w:val="both"/>
        <w:rPr>
          <w:rFonts w:ascii="Times New Roman" w:hAnsi="Times New Roman" w:cs="Times New Roman"/>
          <w:bCs/>
          <w:sz w:val="24"/>
        </w:rPr>
      </w:pPr>
    </w:p>
    <w:p w14:paraId="0B41D036" w14:textId="4DB30E94" w:rsidR="00D66506" w:rsidRPr="00411383" w:rsidRDefault="005959F0"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Section 501A of the </w:t>
      </w:r>
      <w:r w:rsidRPr="00FE3B29">
        <w:rPr>
          <w:rFonts w:ascii="Times New Roman" w:hAnsi="Times New Roman" w:cs="Times New Roman"/>
          <w:bCs/>
          <w:i/>
          <w:iCs/>
          <w:sz w:val="24"/>
        </w:rPr>
        <w:t>Migration Act</w:t>
      </w:r>
      <w:r w:rsidRPr="00411383">
        <w:rPr>
          <w:rFonts w:ascii="Times New Roman" w:hAnsi="Times New Roman" w:cs="Times New Roman"/>
          <w:bCs/>
          <w:sz w:val="24"/>
        </w:rPr>
        <w:t xml:space="preserve"> permits the Minister to set aside a decision of the Administrative Appeals Tribunal not to cancel or refuse to grant a visa under s 501. The Minister’s power under s 501(2) involves several stages: </w:t>
      </w:r>
      <w:r w:rsidRPr="00411383">
        <w:rPr>
          <w:rFonts w:ascii="Times New Roman" w:hAnsi="Times New Roman" w:cs="Times New Roman"/>
          <w:bCs/>
          <w:i/>
          <w:iCs/>
          <w:sz w:val="24"/>
        </w:rPr>
        <w:t>first</w:t>
      </w:r>
      <w:r w:rsidRPr="00411383">
        <w:rPr>
          <w:rFonts w:ascii="Times New Roman" w:hAnsi="Times New Roman" w:cs="Times New Roman"/>
          <w:bCs/>
          <w:sz w:val="24"/>
        </w:rPr>
        <w:t xml:space="preserve">, that the Minister reasonably suspects that the person does not pass the character test; </w:t>
      </w:r>
      <w:r w:rsidRPr="00411383">
        <w:rPr>
          <w:rFonts w:ascii="Times New Roman" w:hAnsi="Times New Roman" w:cs="Times New Roman"/>
          <w:bCs/>
          <w:i/>
          <w:iCs/>
          <w:sz w:val="24"/>
        </w:rPr>
        <w:t>second</w:t>
      </w:r>
      <w:r w:rsidRPr="00411383">
        <w:rPr>
          <w:rFonts w:ascii="Times New Roman" w:hAnsi="Times New Roman" w:cs="Times New Roman"/>
          <w:bCs/>
          <w:sz w:val="24"/>
        </w:rPr>
        <w:t xml:space="preserve">, that the person does not satisfy the Minister that the person passes the character test; </w:t>
      </w:r>
      <w:r w:rsidRPr="00411383">
        <w:rPr>
          <w:rFonts w:ascii="Times New Roman" w:hAnsi="Times New Roman" w:cs="Times New Roman"/>
          <w:bCs/>
          <w:i/>
          <w:iCs/>
          <w:sz w:val="24"/>
        </w:rPr>
        <w:t>third</w:t>
      </w:r>
      <w:r w:rsidRPr="00411383">
        <w:rPr>
          <w:rFonts w:ascii="Times New Roman" w:hAnsi="Times New Roman" w:cs="Times New Roman"/>
          <w:bCs/>
          <w:sz w:val="24"/>
        </w:rPr>
        <w:t xml:space="preserve">, that the Minister is satisfied that the refusal or cancellation of the person’s visa in the national interest; and </w:t>
      </w:r>
      <w:r w:rsidRPr="00411383">
        <w:rPr>
          <w:rFonts w:ascii="Times New Roman" w:hAnsi="Times New Roman" w:cs="Times New Roman"/>
          <w:bCs/>
          <w:i/>
          <w:iCs/>
          <w:sz w:val="24"/>
        </w:rPr>
        <w:t>fourth</w:t>
      </w:r>
      <w:r w:rsidRPr="00411383">
        <w:rPr>
          <w:rFonts w:ascii="Times New Roman" w:hAnsi="Times New Roman" w:cs="Times New Roman"/>
          <w:bCs/>
          <w:sz w:val="24"/>
        </w:rPr>
        <w:t>, having formed that state of satisfaction, that the Minister determine in their discretion that the visa should be refused or cancelled.</w:t>
      </w:r>
    </w:p>
    <w:p w14:paraId="6ABB6F76" w14:textId="77777777" w:rsidR="00D66506" w:rsidRPr="00411383" w:rsidRDefault="00D66506" w:rsidP="00E33B82">
      <w:pPr>
        <w:spacing w:line="360" w:lineRule="auto"/>
        <w:jc w:val="both"/>
        <w:rPr>
          <w:rFonts w:ascii="Times New Roman" w:hAnsi="Times New Roman" w:cs="Times New Roman"/>
          <w:bCs/>
          <w:sz w:val="24"/>
        </w:rPr>
      </w:pPr>
    </w:p>
    <w:p w14:paraId="432249FF" w14:textId="25879A6D" w:rsidR="00B877B0" w:rsidRPr="00411383" w:rsidRDefault="00927046"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T</w:t>
      </w:r>
      <w:r w:rsidR="00075190" w:rsidRPr="00411383">
        <w:rPr>
          <w:rFonts w:ascii="Times New Roman" w:hAnsi="Times New Roman" w:cs="Times New Roman"/>
          <w:bCs/>
          <w:sz w:val="24"/>
        </w:rPr>
        <w:t xml:space="preserve">he </w:t>
      </w:r>
      <w:r w:rsidR="00C20801" w:rsidRPr="00411383">
        <w:rPr>
          <w:rFonts w:ascii="Times New Roman" w:hAnsi="Times New Roman" w:cs="Times New Roman"/>
          <w:bCs/>
          <w:sz w:val="24"/>
        </w:rPr>
        <w:t xml:space="preserve">Acting </w:t>
      </w:r>
      <w:r w:rsidR="00075190" w:rsidRPr="00411383">
        <w:rPr>
          <w:rFonts w:ascii="Times New Roman" w:hAnsi="Times New Roman" w:cs="Times New Roman"/>
          <w:bCs/>
          <w:sz w:val="24"/>
        </w:rPr>
        <w:t>Minister decided under s 501A to set aside the Tribunal’s decision</w:t>
      </w:r>
      <w:r w:rsidR="00D335F7" w:rsidRPr="00411383">
        <w:rPr>
          <w:rFonts w:ascii="Times New Roman" w:hAnsi="Times New Roman" w:cs="Times New Roman"/>
          <w:bCs/>
          <w:sz w:val="24"/>
        </w:rPr>
        <w:t xml:space="preserve"> and to refuse CWY20’s visa application</w:t>
      </w:r>
      <w:r w:rsidR="00075190" w:rsidRPr="00411383">
        <w:rPr>
          <w:rFonts w:ascii="Times New Roman" w:hAnsi="Times New Roman" w:cs="Times New Roman"/>
          <w:bCs/>
          <w:sz w:val="24"/>
        </w:rPr>
        <w:t xml:space="preserve">. </w:t>
      </w:r>
      <w:r w:rsidR="00FF3C28" w:rsidRPr="00411383">
        <w:rPr>
          <w:rFonts w:ascii="Times New Roman" w:hAnsi="Times New Roman" w:cs="Times New Roman"/>
          <w:bCs/>
          <w:sz w:val="24"/>
        </w:rPr>
        <w:t>T</w:t>
      </w:r>
      <w:r w:rsidR="00075190" w:rsidRPr="00411383">
        <w:rPr>
          <w:rFonts w:ascii="Times New Roman" w:hAnsi="Times New Roman" w:cs="Times New Roman"/>
          <w:bCs/>
          <w:sz w:val="24"/>
        </w:rPr>
        <w:t xml:space="preserve">he </w:t>
      </w:r>
      <w:r w:rsidR="00067F3F" w:rsidRPr="00411383">
        <w:rPr>
          <w:rFonts w:ascii="Times New Roman" w:hAnsi="Times New Roman" w:cs="Times New Roman"/>
          <w:bCs/>
          <w:sz w:val="24"/>
        </w:rPr>
        <w:t xml:space="preserve">Acting </w:t>
      </w:r>
      <w:r w:rsidR="00075190" w:rsidRPr="00411383">
        <w:rPr>
          <w:rFonts w:ascii="Times New Roman" w:hAnsi="Times New Roman" w:cs="Times New Roman"/>
          <w:bCs/>
          <w:sz w:val="24"/>
        </w:rPr>
        <w:t>Minister found that it was in the national interest to refuse CWY20’s visa application, and then exercised the resulting discretion to do so – but only considered Australia’s non-</w:t>
      </w:r>
      <w:r w:rsidR="00075190" w:rsidRPr="00411383">
        <w:rPr>
          <w:rFonts w:ascii="Times New Roman" w:hAnsi="Times New Roman" w:cs="Times New Roman"/>
          <w:bCs/>
          <w:i/>
          <w:iCs/>
          <w:sz w:val="24"/>
        </w:rPr>
        <w:t xml:space="preserve">refoulement </w:t>
      </w:r>
      <w:r w:rsidR="00075190" w:rsidRPr="00411383">
        <w:rPr>
          <w:rFonts w:ascii="Times New Roman" w:hAnsi="Times New Roman" w:cs="Times New Roman"/>
          <w:bCs/>
          <w:sz w:val="24"/>
        </w:rPr>
        <w:t xml:space="preserve">obligations in respect of CWY20 at the </w:t>
      </w:r>
      <w:r w:rsidR="00075190" w:rsidRPr="00411383">
        <w:rPr>
          <w:rFonts w:ascii="Times New Roman" w:hAnsi="Times New Roman" w:cs="Times New Roman"/>
          <w:bCs/>
          <w:i/>
          <w:iCs/>
          <w:sz w:val="24"/>
        </w:rPr>
        <w:t>discretionary</w:t>
      </w:r>
      <w:r w:rsidR="00075190" w:rsidRPr="00411383">
        <w:rPr>
          <w:rFonts w:ascii="Times New Roman" w:hAnsi="Times New Roman" w:cs="Times New Roman"/>
          <w:bCs/>
          <w:sz w:val="24"/>
        </w:rPr>
        <w:t xml:space="preserve"> state of the process, rather than in forming a state of satisfaction as to the national interest.</w:t>
      </w:r>
      <w:r w:rsidR="00F57201" w:rsidRPr="00411383">
        <w:rPr>
          <w:rFonts w:ascii="Times New Roman" w:hAnsi="Times New Roman" w:cs="Times New Roman"/>
          <w:bCs/>
          <w:sz w:val="24"/>
        </w:rPr>
        <w:t xml:space="preserve"> This decision by the </w:t>
      </w:r>
      <w:r w:rsidR="00067F3F" w:rsidRPr="00411383">
        <w:rPr>
          <w:rFonts w:ascii="Times New Roman" w:hAnsi="Times New Roman" w:cs="Times New Roman"/>
          <w:bCs/>
          <w:sz w:val="24"/>
        </w:rPr>
        <w:t xml:space="preserve">Acting </w:t>
      </w:r>
      <w:r w:rsidR="00F57201" w:rsidRPr="00411383">
        <w:rPr>
          <w:rFonts w:ascii="Times New Roman" w:hAnsi="Times New Roman" w:cs="Times New Roman"/>
          <w:bCs/>
          <w:sz w:val="24"/>
        </w:rPr>
        <w:t>Minister to refuse the visa application under s 501A was challenged by CWY20 in the Federal Court.</w:t>
      </w:r>
    </w:p>
    <w:p w14:paraId="2B1EB00A" w14:textId="77777777" w:rsidR="00303655" w:rsidRPr="00411383" w:rsidRDefault="00303655" w:rsidP="00E33B82">
      <w:pPr>
        <w:spacing w:line="360" w:lineRule="auto"/>
        <w:jc w:val="both"/>
        <w:rPr>
          <w:rFonts w:ascii="Times New Roman" w:hAnsi="Times New Roman" w:cs="Times New Roman"/>
          <w:bCs/>
          <w:sz w:val="24"/>
        </w:rPr>
      </w:pPr>
    </w:p>
    <w:p w14:paraId="4ACA2878" w14:textId="27B2DE4F" w:rsidR="005C0889" w:rsidRPr="00471DD3" w:rsidRDefault="005C0889" w:rsidP="005C0889">
      <w:pPr>
        <w:spacing w:line="360" w:lineRule="auto"/>
        <w:jc w:val="both"/>
        <w:rPr>
          <w:rFonts w:ascii="Times New Roman" w:hAnsi="Times New Roman" w:cs="Times New Roman"/>
          <w:bCs/>
          <w:i/>
          <w:iCs/>
          <w:sz w:val="24"/>
        </w:rPr>
      </w:pPr>
      <w:r w:rsidRPr="00471DD3">
        <w:rPr>
          <w:rFonts w:ascii="Times New Roman" w:hAnsi="Times New Roman" w:cs="Times New Roman"/>
          <w:bCs/>
          <w:i/>
          <w:iCs/>
          <w:sz w:val="24"/>
        </w:rPr>
        <w:t>4.</w:t>
      </w:r>
      <w:r w:rsidR="00DC1FF3">
        <w:rPr>
          <w:rFonts w:ascii="Times New Roman" w:hAnsi="Times New Roman" w:cs="Times New Roman"/>
          <w:bCs/>
          <w:i/>
          <w:iCs/>
          <w:sz w:val="24"/>
        </w:rPr>
        <w:t>2</w:t>
      </w:r>
      <w:r w:rsidRPr="00471DD3">
        <w:rPr>
          <w:rFonts w:ascii="Times New Roman" w:hAnsi="Times New Roman" w:cs="Times New Roman"/>
          <w:bCs/>
          <w:i/>
          <w:iCs/>
          <w:sz w:val="24"/>
        </w:rPr>
        <w:t>.2</w:t>
      </w:r>
      <w:r w:rsidRPr="00471DD3">
        <w:rPr>
          <w:rFonts w:ascii="Times New Roman" w:hAnsi="Times New Roman" w:cs="Times New Roman"/>
          <w:bCs/>
          <w:i/>
          <w:iCs/>
          <w:sz w:val="24"/>
        </w:rPr>
        <w:tab/>
        <w:t>CWY20: Federal Court Judgment</w:t>
      </w:r>
    </w:p>
    <w:p w14:paraId="2F764942" w14:textId="77777777" w:rsidR="005C0889" w:rsidRPr="00411383" w:rsidRDefault="005C0889" w:rsidP="00E33B82">
      <w:pPr>
        <w:spacing w:line="360" w:lineRule="auto"/>
        <w:jc w:val="both"/>
        <w:rPr>
          <w:rFonts w:ascii="Times New Roman" w:hAnsi="Times New Roman" w:cs="Times New Roman"/>
          <w:bCs/>
          <w:sz w:val="24"/>
        </w:rPr>
      </w:pPr>
    </w:p>
    <w:p w14:paraId="0991597E" w14:textId="1F5D3D0A" w:rsidR="000E0620" w:rsidRPr="00411383" w:rsidRDefault="00155192"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In the Federal Court, </w:t>
      </w:r>
      <w:r w:rsidR="000E0620" w:rsidRPr="00411383">
        <w:rPr>
          <w:rFonts w:ascii="Times New Roman" w:hAnsi="Times New Roman" w:cs="Times New Roman"/>
          <w:bCs/>
          <w:sz w:val="24"/>
        </w:rPr>
        <w:t>Griffiths J emphasised the specific and idiosyncratic circumstances of the case before him:</w:t>
      </w:r>
    </w:p>
    <w:p w14:paraId="57B44737" w14:textId="03FC9198" w:rsidR="000E0620" w:rsidRPr="00411383" w:rsidRDefault="000E0620" w:rsidP="00E33B82">
      <w:pPr>
        <w:spacing w:line="360" w:lineRule="auto"/>
        <w:ind w:left="720"/>
        <w:jc w:val="both"/>
        <w:rPr>
          <w:rFonts w:ascii="Times New Roman" w:hAnsi="Times New Roman" w:cs="Times New Roman"/>
          <w:bCs/>
          <w:sz w:val="24"/>
        </w:rPr>
      </w:pPr>
      <w:r w:rsidRPr="00411383">
        <w:rPr>
          <w:rFonts w:ascii="Times New Roman" w:hAnsi="Times New Roman" w:cs="Times New Roman"/>
          <w:bCs/>
          <w:sz w:val="24"/>
        </w:rPr>
        <w:t>(a) it was a species of protection visa which the Acting Minister refused to grant [CWY20];</w:t>
      </w:r>
    </w:p>
    <w:p w14:paraId="016741C4" w14:textId="0128B8DC" w:rsidR="000E0620" w:rsidRPr="00411383" w:rsidRDefault="000E0620" w:rsidP="00E33B82">
      <w:pPr>
        <w:spacing w:line="360" w:lineRule="auto"/>
        <w:ind w:left="720"/>
        <w:jc w:val="both"/>
        <w:rPr>
          <w:rFonts w:ascii="Times New Roman" w:hAnsi="Times New Roman" w:cs="Times New Roman"/>
          <w:bCs/>
          <w:sz w:val="24"/>
        </w:rPr>
      </w:pPr>
      <w:r w:rsidRPr="00411383">
        <w:rPr>
          <w:rFonts w:ascii="Times New Roman" w:hAnsi="Times New Roman" w:cs="Times New Roman"/>
          <w:bCs/>
          <w:sz w:val="24"/>
        </w:rPr>
        <w:t>(b) the Acting Minister made clear that he would not consider alternative management processes, such as the exercise of his power under s 195A of the Act;</w:t>
      </w:r>
    </w:p>
    <w:p w14:paraId="0D190D27" w14:textId="023379C0" w:rsidR="000E0620" w:rsidRPr="00411383" w:rsidRDefault="000E0620" w:rsidP="00E33B82">
      <w:pPr>
        <w:spacing w:line="360" w:lineRule="auto"/>
        <w:ind w:left="720"/>
        <w:jc w:val="both"/>
        <w:rPr>
          <w:rFonts w:ascii="Times New Roman" w:hAnsi="Times New Roman" w:cs="Times New Roman"/>
          <w:bCs/>
          <w:sz w:val="24"/>
        </w:rPr>
      </w:pPr>
      <w:r w:rsidRPr="00411383">
        <w:rPr>
          <w:rFonts w:ascii="Times New Roman" w:hAnsi="Times New Roman" w:cs="Times New Roman"/>
          <w:bCs/>
          <w:sz w:val="24"/>
        </w:rPr>
        <w:t>(c) the Acting Minister plainly understood that a consequence of his decision was that the applicant would be returned to his country of origin; and</w:t>
      </w:r>
    </w:p>
    <w:p w14:paraId="5C39E52C" w14:textId="6E6A0B4D" w:rsidR="000E0620" w:rsidRPr="00411383" w:rsidRDefault="000E0620" w:rsidP="00E33B82">
      <w:pPr>
        <w:spacing w:line="360" w:lineRule="auto"/>
        <w:ind w:left="720"/>
        <w:jc w:val="both"/>
        <w:rPr>
          <w:rFonts w:ascii="Times New Roman" w:hAnsi="Times New Roman" w:cs="Times New Roman"/>
          <w:bCs/>
          <w:sz w:val="24"/>
        </w:rPr>
      </w:pPr>
      <w:r w:rsidRPr="00411383">
        <w:rPr>
          <w:rFonts w:ascii="Times New Roman" w:hAnsi="Times New Roman" w:cs="Times New Roman"/>
          <w:bCs/>
          <w:sz w:val="24"/>
        </w:rPr>
        <w:t>(d) the Acting Minister accepted that there was a threat that the applicant would be killed if this occurred.</w:t>
      </w:r>
      <w:r w:rsidRPr="00411383">
        <w:rPr>
          <w:rStyle w:val="FootnoteReference"/>
          <w:rFonts w:ascii="Times New Roman" w:hAnsi="Times New Roman" w:cs="Times New Roman"/>
          <w:bCs/>
          <w:sz w:val="24"/>
        </w:rPr>
        <w:footnoteReference w:id="91"/>
      </w:r>
    </w:p>
    <w:p w14:paraId="1650CD2F" w14:textId="7F296F71" w:rsidR="00C042A1" w:rsidRPr="00411383" w:rsidRDefault="00C042A1" w:rsidP="00E33B82">
      <w:pPr>
        <w:spacing w:line="360" w:lineRule="auto"/>
        <w:jc w:val="both"/>
        <w:rPr>
          <w:rFonts w:ascii="Times New Roman" w:hAnsi="Times New Roman" w:cs="Times New Roman"/>
          <w:bCs/>
          <w:sz w:val="24"/>
        </w:rPr>
      </w:pPr>
    </w:p>
    <w:p w14:paraId="2783B6FF" w14:textId="288B7F62" w:rsidR="00C042A1" w:rsidRPr="00411383" w:rsidRDefault="00C042A1"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Griffiths J noted that, in </w:t>
      </w:r>
      <w:r w:rsidRPr="00411383">
        <w:rPr>
          <w:rFonts w:ascii="Times New Roman" w:hAnsi="Times New Roman" w:cs="Times New Roman"/>
          <w:bCs/>
          <w:i/>
          <w:iCs/>
          <w:sz w:val="24"/>
        </w:rPr>
        <w:t xml:space="preserve">Ali v Minister for </w:t>
      </w:r>
      <w:r w:rsidR="0036618E" w:rsidRPr="00411383">
        <w:rPr>
          <w:rFonts w:ascii="Times New Roman" w:hAnsi="Times New Roman" w:cs="Times New Roman"/>
          <w:bCs/>
          <w:i/>
          <w:iCs/>
          <w:sz w:val="24"/>
        </w:rPr>
        <w:t>Home Affairs</w:t>
      </w:r>
      <w:r w:rsidRPr="00411383">
        <w:rPr>
          <w:rFonts w:ascii="Times New Roman" w:hAnsi="Times New Roman" w:cs="Times New Roman"/>
          <w:bCs/>
          <w:sz w:val="24"/>
        </w:rPr>
        <w:t>, the Full Court had emphasised that ‘the consequence of non-compliance with Australia’s treaty obligations does not only impact on the person who might be returned to their home country’, but also ‘impacts upon Australia’s reputation and standing in the global community’.</w:t>
      </w:r>
      <w:r w:rsidRPr="00411383">
        <w:rPr>
          <w:rStyle w:val="FootnoteReference"/>
          <w:rFonts w:ascii="Times New Roman" w:hAnsi="Times New Roman" w:cs="Times New Roman"/>
          <w:bCs/>
          <w:sz w:val="24"/>
        </w:rPr>
        <w:footnoteReference w:id="92"/>
      </w:r>
      <w:r w:rsidR="00C20801" w:rsidRPr="00411383">
        <w:rPr>
          <w:rFonts w:ascii="Times New Roman" w:hAnsi="Times New Roman" w:cs="Times New Roman"/>
          <w:bCs/>
          <w:sz w:val="24"/>
        </w:rPr>
        <w:t xml:space="preserve"> Griffiths J found that, in the present case, ‘the implications of Australia acting in breach of its international </w:t>
      </w:r>
      <w:r w:rsidR="00C20801" w:rsidRPr="00411383">
        <w:rPr>
          <w:rFonts w:ascii="Times New Roman" w:hAnsi="Times New Roman" w:cs="Times New Roman"/>
          <w:bCs/>
          <w:i/>
          <w:iCs/>
          <w:sz w:val="24"/>
        </w:rPr>
        <w:t xml:space="preserve">non-refoulement </w:t>
      </w:r>
      <w:r w:rsidR="00C20801" w:rsidRPr="00411383">
        <w:rPr>
          <w:rFonts w:ascii="Times New Roman" w:hAnsi="Times New Roman" w:cs="Times New Roman"/>
          <w:bCs/>
          <w:sz w:val="24"/>
        </w:rPr>
        <w:t>obligations arose squarely on the basis of the materials before the Acting Minister and the findings he made’, including that the Acting Minister’s</w:t>
      </w:r>
      <w:r w:rsidR="00550966" w:rsidRPr="00411383">
        <w:rPr>
          <w:rFonts w:ascii="Times New Roman" w:hAnsi="Times New Roman" w:cs="Times New Roman"/>
          <w:bCs/>
          <w:sz w:val="24"/>
        </w:rPr>
        <w:t xml:space="preserve"> ‘decision to refuse the applicant the visa meant that the applicant would be refouled in breach of Australia’s obligations under international law’</w:t>
      </w:r>
      <w:r w:rsidR="00A27568" w:rsidRPr="00411383">
        <w:rPr>
          <w:rFonts w:ascii="Times New Roman" w:hAnsi="Times New Roman" w:cs="Times New Roman"/>
          <w:bCs/>
          <w:sz w:val="24"/>
        </w:rPr>
        <w:t>.</w:t>
      </w:r>
      <w:r w:rsidR="00A27568" w:rsidRPr="00411383">
        <w:rPr>
          <w:rStyle w:val="FootnoteReference"/>
          <w:rFonts w:ascii="Times New Roman" w:hAnsi="Times New Roman" w:cs="Times New Roman"/>
          <w:bCs/>
          <w:sz w:val="24"/>
        </w:rPr>
        <w:footnoteReference w:id="93"/>
      </w:r>
      <w:r w:rsidR="000E3CAD" w:rsidRPr="00411383">
        <w:rPr>
          <w:rFonts w:ascii="Times New Roman" w:hAnsi="Times New Roman" w:cs="Times New Roman"/>
          <w:bCs/>
          <w:sz w:val="24"/>
        </w:rPr>
        <w:t xml:space="preserve"> This ‘very serious consequence for Australia had to be confronted and assessed by the Acting Minister in assessing the national interest’, although it was a matter for the Acting Minister to determine whether, </w:t>
      </w:r>
      <w:r w:rsidR="000E3CAD" w:rsidRPr="00411383">
        <w:rPr>
          <w:rFonts w:ascii="Times New Roman" w:hAnsi="Times New Roman" w:cs="Times New Roman"/>
          <w:bCs/>
          <w:i/>
          <w:iCs/>
          <w:sz w:val="24"/>
        </w:rPr>
        <w:t xml:space="preserve">despite </w:t>
      </w:r>
      <w:r w:rsidR="000E3CAD" w:rsidRPr="00411383">
        <w:rPr>
          <w:rFonts w:ascii="Times New Roman" w:hAnsi="Times New Roman" w:cs="Times New Roman"/>
          <w:bCs/>
          <w:sz w:val="24"/>
        </w:rPr>
        <w:t>these consequences, the visa should nonetheless be refused.</w:t>
      </w:r>
      <w:r w:rsidR="006C2151" w:rsidRPr="00411383">
        <w:rPr>
          <w:rStyle w:val="FootnoteReference"/>
          <w:rFonts w:ascii="Times New Roman" w:hAnsi="Times New Roman" w:cs="Times New Roman"/>
          <w:bCs/>
          <w:sz w:val="24"/>
        </w:rPr>
        <w:footnoteReference w:id="94"/>
      </w:r>
      <w:r w:rsidR="000F5BF9" w:rsidRPr="00411383">
        <w:rPr>
          <w:rFonts w:ascii="Times New Roman" w:hAnsi="Times New Roman" w:cs="Times New Roman"/>
          <w:bCs/>
          <w:sz w:val="24"/>
        </w:rPr>
        <w:t xml:space="preserve"> </w:t>
      </w:r>
      <w:r w:rsidR="008451F9" w:rsidRPr="00411383">
        <w:rPr>
          <w:rFonts w:ascii="Times New Roman" w:hAnsi="Times New Roman" w:cs="Times New Roman"/>
          <w:bCs/>
          <w:sz w:val="24"/>
        </w:rPr>
        <w:t xml:space="preserve">Griffiths J rejected the Acting Minister’s contention that ‘the applicant had to adduce evidence to support his claim that the Acting Minister’s decision would harm Australia’s reputation in the eyes of other countries’, finding that ‘[t]he Court is entitled to take judicial notice of the </w:t>
      </w:r>
      <w:r w:rsidR="008451F9" w:rsidRPr="00411383">
        <w:rPr>
          <w:rFonts w:ascii="Times New Roman" w:hAnsi="Times New Roman" w:cs="Times New Roman"/>
          <w:bCs/>
          <w:sz w:val="24"/>
        </w:rPr>
        <w:lastRenderedPageBreak/>
        <w:t>fact that acting inconsistently with international law obligations and those solemn assurances may undermine confidence both within Australia and externally’.</w:t>
      </w:r>
      <w:r w:rsidR="00056365" w:rsidRPr="00411383">
        <w:rPr>
          <w:rStyle w:val="FootnoteReference"/>
          <w:rFonts w:ascii="Times New Roman" w:hAnsi="Times New Roman" w:cs="Times New Roman"/>
          <w:bCs/>
          <w:sz w:val="24"/>
        </w:rPr>
        <w:footnoteReference w:id="95"/>
      </w:r>
    </w:p>
    <w:p w14:paraId="4227678D" w14:textId="77777777" w:rsidR="002722D1" w:rsidRPr="00411383" w:rsidRDefault="002722D1" w:rsidP="00E33B82">
      <w:pPr>
        <w:spacing w:line="360" w:lineRule="auto"/>
        <w:jc w:val="both"/>
        <w:rPr>
          <w:rFonts w:ascii="Times New Roman" w:hAnsi="Times New Roman" w:cs="Times New Roman"/>
          <w:bCs/>
          <w:sz w:val="24"/>
        </w:rPr>
      </w:pPr>
    </w:p>
    <w:p w14:paraId="63DAB784" w14:textId="0B8BC7D4" w:rsidR="002722D1" w:rsidRPr="00411383" w:rsidRDefault="002722D1"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Griffiths J hence concluded that ‘the Acting Minister fell into jurisdictional error by assessing the question of the national interest on an erroneously narrow </w:t>
      </w:r>
      <w:r w:rsidR="00124446" w:rsidRPr="00411383">
        <w:rPr>
          <w:rFonts w:ascii="Times New Roman" w:hAnsi="Times New Roman" w:cs="Times New Roman"/>
          <w:bCs/>
          <w:sz w:val="24"/>
        </w:rPr>
        <w:t xml:space="preserve">basis’ </w:t>
      </w:r>
      <w:r w:rsidRPr="00411383">
        <w:rPr>
          <w:rFonts w:ascii="Times New Roman" w:hAnsi="Times New Roman" w:cs="Times New Roman"/>
          <w:bCs/>
          <w:sz w:val="24"/>
        </w:rPr>
        <w:t>– an error which could be characterised either as ‘reasoning unreasonably or failing to act upon a correct understanding of the law’.</w:t>
      </w:r>
      <w:r w:rsidR="0040128D" w:rsidRPr="00411383">
        <w:rPr>
          <w:rStyle w:val="FootnoteReference"/>
          <w:rFonts w:ascii="Times New Roman" w:hAnsi="Times New Roman" w:cs="Times New Roman"/>
          <w:bCs/>
          <w:sz w:val="24"/>
        </w:rPr>
        <w:footnoteReference w:id="96"/>
      </w:r>
      <w:r w:rsidR="00BF21FB" w:rsidRPr="00411383">
        <w:rPr>
          <w:rFonts w:ascii="Times New Roman" w:hAnsi="Times New Roman" w:cs="Times New Roman"/>
          <w:bCs/>
          <w:sz w:val="24"/>
        </w:rPr>
        <w:t xml:space="preserve"> </w:t>
      </w:r>
      <w:r w:rsidR="009630D8" w:rsidRPr="00411383">
        <w:rPr>
          <w:rFonts w:ascii="Times New Roman" w:hAnsi="Times New Roman" w:cs="Times New Roman"/>
          <w:bCs/>
          <w:sz w:val="24"/>
        </w:rPr>
        <w:t xml:space="preserve"> While the ‘balancing exercise’ required by s 501A(2) in determining the content of the national interest was ultimately a matter for the Minister, ‘the task must be carried out according to relevant legal principles’, including reasonableness and the need to proceed on a correct understanding of the </w:t>
      </w:r>
      <w:r w:rsidR="009630D8" w:rsidRPr="00411383">
        <w:rPr>
          <w:rFonts w:ascii="Times New Roman" w:hAnsi="Times New Roman" w:cs="Times New Roman"/>
          <w:bCs/>
          <w:i/>
          <w:iCs/>
          <w:sz w:val="24"/>
        </w:rPr>
        <w:t>Act</w:t>
      </w:r>
      <w:r w:rsidR="009630D8" w:rsidRPr="00411383">
        <w:rPr>
          <w:rFonts w:ascii="Times New Roman" w:hAnsi="Times New Roman" w:cs="Times New Roman"/>
          <w:bCs/>
          <w:sz w:val="24"/>
        </w:rPr>
        <w:t>. Griffiths J distinguished these constraints from ‘any issue of mandatory relevant considerations’.</w:t>
      </w:r>
      <w:r w:rsidR="004C11FB" w:rsidRPr="00411383">
        <w:rPr>
          <w:rStyle w:val="FootnoteReference"/>
          <w:rFonts w:ascii="Times New Roman" w:hAnsi="Times New Roman" w:cs="Times New Roman"/>
          <w:bCs/>
          <w:sz w:val="24"/>
        </w:rPr>
        <w:footnoteReference w:id="97"/>
      </w:r>
    </w:p>
    <w:p w14:paraId="7EB72F4E" w14:textId="77777777" w:rsidR="00D744DA" w:rsidRPr="00411383" w:rsidRDefault="00D744DA" w:rsidP="00E33B82">
      <w:pPr>
        <w:spacing w:line="360" w:lineRule="auto"/>
        <w:jc w:val="both"/>
        <w:rPr>
          <w:rFonts w:ascii="Times New Roman" w:hAnsi="Times New Roman" w:cs="Times New Roman"/>
          <w:bCs/>
          <w:sz w:val="24"/>
        </w:rPr>
      </w:pPr>
    </w:p>
    <w:p w14:paraId="67C94D6F" w14:textId="0C7DB735" w:rsidR="00D744DA" w:rsidRPr="00471DD3" w:rsidRDefault="00D744DA" w:rsidP="00E33B82">
      <w:pPr>
        <w:spacing w:line="360" w:lineRule="auto"/>
        <w:jc w:val="both"/>
        <w:rPr>
          <w:rFonts w:ascii="Times New Roman" w:hAnsi="Times New Roman" w:cs="Times New Roman"/>
          <w:bCs/>
          <w:i/>
          <w:iCs/>
          <w:sz w:val="24"/>
        </w:rPr>
      </w:pPr>
      <w:r w:rsidRPr="00471DD3">
        <w:rPr>
          <w:rFonts w:ascii="Times New Roman" w:hAnsi="Times New Roman" w:cs="Times New Roman"/>
          <w:bCs/>
          <w:i/>
          <w:iCs/>
          <w:sz w:val="24"/>
        </w:rPr>
        <w:t>4.</w:t>
      </w:r>
      <w:r w:rsidR="00DC1FF3">
        <w:rPr>
          <w:rFonts w:ascii="Times New Roman" w:hAnsi="Times New Roman" w:cs="Times New Roman"/>
          <w:bCs/>
          <w:i/>
          <w:iCs/>
          <w:sz w:val="24"/>
        </w:rPr>
        <w:t>2</w:t>
      </w:r>
      <w:r w:rsidRPr="00471DD3">
        <w:rPr>
          <w:rFonts w:ascii="Times New Roman" w:hAnsi="Times New Roman" w:cs="Times New Roman"/>
          <w:bCs/>
          <w:i/>
          <w:iCs/>
          <w:sz w:val="24"/>
        </w:rPr>
        <w:t>.</w:t>
      </w:r>
      <w:r w:rsidR="00666A98" w:rsidRPr="00471DD3">
        <w:rPr>
          <w:rFonts w:ascii="Times New Roman" w:hAnsi="Times New Roman" w:cs="Times New Roman"/>
          <w:bCs/>
          <w:i/>
          <w:iCs/>
          <w:sz w:val="24"/>
        </w:rPr>
        <w:t>3</w:t>
      </w:r>
      <w:r w:rsidRPr="00471DD3">
        <w:rPr>
          <w:rFonts w:ascii="Times New Roman" w:hAnsi="Times New Roman" w:cs="Times New Roman"/>
          <w:bCs/>
          <w:i/>
          <w:iCs/>
          <w:sz w:val="24"/>
        </w:rPr>
        <w:tab/>
        <w:t>CWY20: Full Federal Court Judgment</w:t>
      </w:r>
    </w:p>
    <w:p w14:paraId="19040BE8" w14:textId="77777777" w:rsidR="00544141" w:rsidRPr="00411383" w:rsidRDefault="00544141" w:rsidP="00E33B82">
      <w:pPr>
        <w:spacing w:line="360" w:lineRule="auto"/>
        <w:jc w:val="both"/>
        <w:rPr>
          <w:rFonts w:ascii="Times New Roman" w:hAnsi="Times New Roman" w:cs="Times New Roman"/>
          <w:bCs/>
          <w:sz w:val="24"/>
          <w:u w:val="single"/>
        </w:rPr>
      </w:pPr>
    </w:p>
    <w:p w14:paraId="03F51048" w14:textId="0E4C60AD" w:rsidR="007F5A0B" w:rsidRPr="00411383" w:rsidRDefault="00F24905"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The Minister appealed to the Full Court of the Federal Court. A bench of five judges unanimously dismissed the Minister’s appeal.</w:t>
      </w:r>
      <w:r w:rsidR="00172FC9" w:rsidRPr="00411383">
        <w:rPr>
          <w:rStyle w:val="FootnoteReference"/>
          <w:rFonts w:ascii="Times New Roman" w:hAnsi="Times New Roman" w:cs="Times New Roman"/>
          <w:bCs/>
          <w:sz w:val="24"/>
        </w:rPr>
        <w:footnoteReference w:id="98"/>
      </w:r>
      <w:r w:rsidR="006632DC">
        <w:rPr>
          <w:rFonts w:ascii="Times New Roman" w:hAnsi="Times New Roman" w:cs="Times New Roman"/>
          <w:bCs/>
          <w:sz w:val="24"/>
        </w:rPr>
        <w:t xml:space="preserve"> </w:t>
      </w:r>
      <w:r w:rsidR="005F2E65" w:rsidRPr="00411383">
        <w:rPr>
          <w:rFonts w:ascii="Times New Roman" w:hAnsi="Times New Roman" w:cs="Times New Roman"/>
          <w:bCs/>
          <w:sz w:val="24"/>
        </w:rPr>
        <w:t>Besanko J,</w:t>
      </w:r>
      <w:r w:rsidR="00032FF7" w:rsidRPr="00411383">
        <w:rPr>
          <w:rFonts w:ascii="Times New Roman" w:hAnsi="Times New Roman" w:cs="Times New Roman"/>
          <w:bCs/>
          <w:sz w:val="24"/>
        </w:rPr>
        <w:t xml:space="preserve"> with whom Allsop CJ, Kenny J, Kerr J and Charlesworth J agreed</w:t>
      </w:r>
      <w:r w:rsidR="00AA30BB" w:rsidRPr="00411383">
        <w:rPr>
          <w:rFonts w:ascii="Times New Roman" w:hAnsi="Times New Roman" w:cs="Times New Roman"/>
          <w:bCs/>
          <w:sz w:val="24"/>
        </w:rPr>
        <w:t>,</w:t>
      </w:r>
      <w:r w:rsidR="00032FF7" w:rsidRPr="00411383">
        <w:rPr>
          <w:rStyle w:val="FootnoteReference"/>
          <w:rFonts w:ascii="Times New Roman" w:hAnsi="Times New Roman" w:cs="Times New Roman"/>
          <w:bCs/>
          <w:sz w:val="24"/>
        </w:rPr>
        <w:footnoteReference w:id="99"/>
      </w:r>
      <w:r w:rsidR="000B0A95" w:rsidRPr="00411383">
        <w:rPr>
          <w:rFonts w:ascii="Times New Roman" w:hAnsi="Times New Roman" w:cs="Times New Roman"/>
          <w:bCs/>
          <w:sz w:val="24"/>
        </w:rPr>
        <w:t xml:space="preserve"> emphasised that Australia’s non-</w:t>
      </w:r>
      <w:r w:rsidR="000B0A95" w:rsidRPr="00411383">
        <w:rPr>
          <w:rFonts w:ascii="Times New Roman" w:hAnsi="Times New Roman" w:cs="Times New Roman"/>
          <w:bCs/>
          <w:i/>
          <w:iCs/>
          <w:sz w:val="24"/>
        </w:rPr>
        <w:t>refoulement</w:t>
      </w:r>
      <w:r w:rsidR="000B0A95" w:rsidRPr="00411383">
        <w:rPr>
          <w:rFonts w:ascii="Times New Roman" w:hAnsi="Times New Roman" w:cs="Times New Roman"/>
          <w:bCs/>
          <w:sz w:val="24"/>
        </w:rPr>
        <w:t xml:space="preserve"> obligations are not a ‘mandatory relevant consideration’ for s 501A, in the sense of being a consideration to be taken into account in every case.</w:t>
      </w:r>
      <w:r w:rsidR="001E15FD" w:rsidRPr="00411383">
        <w:rPr>
          <w:rStyle w:val="FootnoteReference"/>
          <w:rFonts w:ascii="Times New Roman" w:hAnsi="Times New Roman" w:cs="Times New Roman"/>
          <w:bCs/>
          <w:sz w:val="24"/>
        </w:rPr>
        <w:footnoteReference w:id="100"/>
      </w:r>
      <w:r w:rsidR="005F163A" w:rsidRPr="00411383">
        <w:rPr>
          <w:rFonts w:ascii="Times New Roman" w:hAnsi="Times New Roman" w:cs="Times New Roman"/>
          <w:bCs/>
          <w:sz w:val="24"/>
        </w:rPr>
        <w:t xml:space="preserve"> Nonetheless, his Honour also observed that there was ‘no incongruity’ between non-</w:t>
      </w:r>
      <w:r w:rsidR="005F163A" w:rsidRPr="00411383">
        <w:rPr>
          <w:rFonts w:ascii="Times New Roman" w:hAnsi="Times New Roman" w:cs="Times New Roman"/>
          <w:bCs/>
          <w:i/>
          <w:iCs/>
          <w:sz w:val="24"/>
        </w:rPr>
        <w:t xml:space="preserve">refoulement </w:t>
      </w:r>
      <w:r w:rsidR="005F163A" w:rsidRPr="00411383">
        <w:rPr>
          <w:rFonts w:ascii="Times New Roman" w:hAnsi="Times New Roman" w:cs="Times New Roman"/>
          <w:bCs/>
          <w:sz w:val="24"/>
        </w:rPr>
        <w:t xml:space="preserve">obligations </w:t>
      </w:r>
      <w:r w:rsidR="005F163A" w:rsidRPr="004F2CE3">
        <w:rPr>
          <w:rFonts w:ascii="Times New Roman" w:hAnsi="Times New Roman" w:cs="Times New Roman"/>
          <w:bCs/>
          <w:sz w:val="24"/>
        </w:rPr>
        <w:t xml:space="preserve">not being a mandatory relevant consideration </w:t>
      </w:r>
      <w:r w:rsidR="005F163A" w:rsidRPr="004F2CE3">
        <w:rPr>
          <w:rFonts w:ascii="Times New Roman" w:hAnsi="Times New Roman" w:cs="Times New Roman"/>
          <w:bCs/>
          <w:i/>
          <w:iCs/>
          <w:sz w:val="24"/>
        </w:rPr>
        <w:t xml:space="preserve">and </w:t>
      </w:r>
      <w:r w:rsidR="005F163A" w:rsidRPr="004F2CE3">
        <w:rPr>
          <w:rFonts w:ascii="Times New Roman" w:hAnsi="Times New Roman" w:cs="Times New Roman"/>
          <w:bCs/>
          <w:sz w:val="24"/>
        </w:rPr>
        <w:t>a conclusion that it may be unreasonable in a given case not to consider such obligations in forming a state of satisfaction as to the national interest.</w:t>
      </w:r>
      <w:r w:rsidR="00FF521B" w:rsidRPr="004F2CE3">
        <w:rPr>
          <w:rStyle w:val="FootnoteReference"/>
          <w:rFonts w:ascii="Times New Roman" w:hAnsi="Times New Roman" w:cs="Times New Roman"/>
          <w:bCs/>
          <w:sz w:val="24"/>
        </w:rPr>
        <w:footnoteReference w:id="101"/>
      </w:r>
      <w:r w:rsidR="00561267" w:rsidRPr="00411383">
        <w:rPr>
          <w:rFonts w:ascii="Times New Roman" w:hAnsi="Times New Roman" w:cs="Times New Roman"/>
          <w:bCs/>
          <w:sz w:val="24"/>
        </w:rPr>
        <w:t xml:space="preserve"> As noted above, his Honour hence emphasised unreasonableness, rather than a failure to proceed on a correc</w:t>
      </w:r>
      <w:r w:rsidR="007F5A0B" w:rsidRPr="00411383">
        <w:rPr>
          <w:rFonts w:ascii="Times New Roman" w:hAnsi="Times New Roman" w:cs="Times New Roman"/>
          <w:bCs/>
          <w:sz w:val="24"/>
        </w:rPr>
        <w:t>t understanding of the law, as the relevant error – consistent with the focus of the Acting Minister and of CWY20 in submissions on appeal.</w:t>
      </w:r>
      <w:r w:rsidR="007F5A0B" w:rsidRPr="00411383">
        <w:rPr>
          <w:rStyle w:val="FootnoteReference"/>
          <w:rFonts w:ascii="Times New Roman" w:hAnsi="Times New Roman" w:cs="Times New Roman"/>
          <w:bCs/>
          <w:sz w:val="24"/>
        </w:rPr>
        <w:footnoteReference w:id="102"/>
      </w:r>
    </w:p>
    <w:p w14:paraId="6F5F22D4" w14:textId="77777777" w:rsidR="007F5A0B" w:rsidRPr="00411383" w:rsidRDefault="007F5A0B" w:rsidP="00E33B82">
      <w:pPr>
        <w:spacing w:line="360" w:lineRule="auto"/>
        <w:jc w:val="both"/>
        <w:rPr>
          <w:rFonts w:ascii="Times New Roman" w:hAnsi="Times New Roman" w:cs="Times New Roman"/>
          <w:bCs/>
          <w:sz w:val="24"/>
        </w:rPr>
      </w:pPr>
    </w:p>
    <w:p w14:paraId="1A402398" w14:textId="7645D090" w:rsidR="00FB33AD" w:rsidRPr="00411383" w:rsidRDefault="00835A29"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lastRenderedPageBreak/>
        <w:t>Besanko J reasoned that Griffiths J’s approach at first instance did not require the Acting Minister to place ‘particular weight on the reputational or relational impacts of breaching international non-refoulement obligations’, and to thereby assume or find what those impacts may be</w:t>
      </w:r>
      <w:r w:rsidR="005D2AD0" w:rsidRPr="00411383">
        <w:rPr>
          <w:rFonts w:ascii="Times New Roman" w:hAnsi="Times New Roman" w:cs="Times New Roman"/>
          <w:bCs/>
          <w:sz w:val="24"/>
        </w:rPr>
        <w:t>.</w:t>
      </w:r>
      <w:r w:rsidRPr="00411383">
        <w:rPr>
          <w:rStyle w:val="FootnoteReference"/>
          <w:rFonts w:ascii="Times New Roman" w:hAnsi="Times New Roman" w:cs="Times New Roman"/>
          <w:bCs/>
          <w:sz w:val="24"/>
        </w:rPr>
        <w:footnoteReference w:id="103"/>
      </w:r>
      <w:r w:rsidR="005D2AD0" w:rsidRPr="00411383">
        <w:rPr>
          <w:rFonts w:ascii="Times New Roman" w:hAnsi="Times New Roman" w:cs="Times New Roman"/>
          <w:bCs/>
          <w:sz w:val="24"/>
        </w:rPr>
        <w:t xml:space="preserve"> The weight to be given to these obligations, and how it was to be balanced against other factors, remained matters for the Acting Minister alone – but it was not open to the Acting Minister to fail to consider these matters entirely, or to dismiss them implicitly as being entirely immaterial.</w:t>
      </w:r>
      <w:r w:rsidR="006E74F8" w:rsidRPr="00411383">
        <w:rPr>
          <w:rStyle w:val="FootnoteReference"/>
          <w:rFonts w:ascii="Times New Roman" w:hAnsi="Times New Roman" w:cs="Times New Roman"/>
          <w:bCs/>
          <w:sz w:val="24"/>
        </w:rPr>
        <w:footnoteReference w:id="104"/>
      </w:r>
      <w:r w:rsidR="00F52AB1" w:rsidRPr="00411383">
        <w:rPr>
          <w:rFonts w:ascii="Times New Roman" w:hAnsi="Times New Roman" w:cs="Times New Roman"/>
          <w:bCs/>
          <w:sz w:val="24"/>
        </w:rPr>
        <w:t xml:space="preserve"> </w:t>
      </w:r>
    </w:p>
    <w:p w14:paraId="76E8FE8D" w14:textId="77777777" w:rsidR="00FB33AD" w:rsidRPr="00411383" w:rsidRDefault="00FB33AD" w:rsidP="00E33B82">
      <w:pPr>
        <w:spacing w:line="360" w:lineRule="auto"/>
        <w:jc w:val="both"/>
        <w:rPr>
          <w:rFonts w:ascii="Times New Roman" w:hAnsi="Times New Roman" w:cs="Times New Roman"/>
          <w:bCs/>
          <w:sz w:val="24"/>
        </w:rPr>
      </w:pPr>
    </w:p>
    <w:p w14:paraId="09A2064E" w14:textId="77777777" w:rsidR="00FE1183" w:rsidRPr="00411383" w:rsidRDefault="00FB33AD"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Besanko J also rejected, again, the Acting Minister’s argument that no finding could be made about the implications of breaching Australia’s non-</w:t>
      </w:r>
      <w:r w:rsidRPr="00411383">
        <w:rPr>
          <w:rFonts w:ascii="Times New Roman" w:hAnsi="Times New Roman" w:cs="Times New Roman"/>
          <w:bCs/>
          <w:i/>
          <w:iCs/>
          <w:sz w:val="24"/>
        </w:rPr>
        <w:t xml:space="preserve">refoulement </w:t>
      </w:r>
      <w:r w:rsidRPr="00411383">
        <w:rPr>
          <w:rFonts w:ascii="Times New Roman" w:hAnsi="Times New Roman" w:cs="Times New Roman"/>
          <w:bCs/>
          <w:sz w:val="24"/>
        </w:rPr>
        <w:t>obligations without ‘actual evidence’ of harm to Australia’s reputation and relations with other nations.</w:t>
      </w:r>
      <w:r w:rsidRPr="00411383">
        <w:rPr>
          <w:rStyle w:val="FootnoteReference"/>
          <w:rFonts w:ascii="Times New Roman" w:hAnsi="Times New Roman" w:cs="Times New Roman"/>
          <w:bCs/>
          <w:sz w:val="24"/>
        </w:rPr>
        <w:footnoteReference w:id="105"/>
      </w:r>
      <w:r w:rsidR="00926C72" w:rsidRPr="00411383">
        <w:rPr>
          <w:rFonts w:ascii="Times New Roman" w:hAnsi="Times New Roman" w:cs="Times New Roman"/>
          <w:bCs/>
          <w:sz w:val="24"/>
        </w:rPr>
        <w:t xml:space="preserve"> Besanko J found that Griffiths J had not erred by taking judicial notice that ‘acting inconsistently with international law obligations may undermine confidence externally’;</w:t>
      </w:r>
      <w:r w:rsidR="00926C72" w:rsidRPr="00411383">
        <w:rPr>
          <w:rStyle w:val="FootnoteReference"/>
          <w:rFonts w:ascii="Times New Roman" w:hAnsi="Times New Roman" w:cs="Times New Roman"/>
          <w:bCs/>
          <w:sz w:val="24"/>
        </w:rPr>
        <w:footnoteReference w:id="106"/>
      </w:r>
      <w:r w:rsidR="003607F4" w:rsidRPr="00411383">
        <w:rPr>
          <w:rFonts w:ascii="Times New Roman" w:hAnsi="Times New Roman" w:cs="Times New Roman"/>
          <w:bCs/>
          <w:sz w:val="24"/>
        </w:rPr>
        <w:t xml:space="preserve"> earlier within his judgment, Besanko J had emphasised this matter by citing </w:t>
      </w:r>
      <w:r w:rsidR="003607F4" w:rsidRPr="00411383">
        <w:rPr>
          <w:rFonts w:ascii="Times New Roman" w:hAnsi="Times New Roman" w:cs="Times New Roman"/>
          <w:bCs/>
          <w:i/>
          <w:iCs/>
          <w:sz w:val="24"/>
        </w:rPr>
        <w:t>Teoh</w:t>
      </w:r>
      <w:r w:rsidR="003607F4" w:rsidRPr="00411383">
        <w:rPr>
          <w:rFonts w:ascii="Times New Roman" w:hAnsi="Times New Roman" w:cs="Times New Roman"/>
          <w:bCs/>
          <w:sz w:val="24"/>
        </w:rPr>
        <w:t xml:space="preserve"> to the effect that</w:t>
      </w:r>
      <w:r w:rsidR="003607F4" w:rsidRPr="00411383">
        <w:rPr>
          <w:rFonts w:ascii="Times New Roman" w:hAnsi="Times New Roman" w:cs="Times New Roman"/>
          <w:sz w:val="24"/>
        </w:rPr>
        <w:t xml:space="preserve"> ‘</w:t>
      </w:r>
      <w:r w:rsidR="003607F4" w:rsidRPr="00411383">
        <w:rPr>
          <w:rFonts w:ascii="Times New Roman" w:hAnsi="Times New Roman" w:cs="Times New Roman"/>
          <w:bCs/>
          <w:sz w:val="24"/>
        </w:rPr>
        <w:t>ratification by Australia of an international convention [is] not to be dismissed as a merely platitudinous or ineffectual act’, but is instead a positive statement ‘not only to the world, but also to the Australian people that the executive government and its agencies will act in accordance with the convention’.</w:t>
      </w:r>
      <w:r w:rsidR="003607F4" w:rsidRPr="00411383">
        <w:rPr>
          <w:rStyle w:val="FootnoteReference"/>
          <w:rFonts w:ascii="Times New Roman" w:hAnsi="Times New Roman" w:cs="Times New Roman"/>
          <w:bCs/>
          <w:sz w:val="24"/>
        </w:rPr>
        <w:footnoteReference w:id="107"/>
      </w:r>
      <w:r w:rsidR="00342BCD" w:rsidRPr="00411383">
        <w:rPr>
          <w:rFonts w:ascii="Times New Roman" w:hAnsi="Times New Roman" w:cs="Times New Roman"/>
          <w:bCs/>
          <w:sz w:val="24"/>
        </w:rPr>
        <w:t xml:space="preserve"> </w:t>
      </w:r>
    </w:p>
    <w:p w14:paraId="4BB32C71" w14:textId="77777777" w:rsidR="00FE1183" w:rsidRPr="00411383" w:rsidRDefault="00FE1183" w:rsidP="00E33B82">
      <w:pPr>
        <w:spacing w:line="360" w:lineRule="auto"/>
        <w:jc w:val="both"/>
        <w:rPr>
          <w:rFonts w:ascii="Times New Roman" w:hAnsi="Times New Roman" w:cs="Times New Roman"/>
          <w:bCs/>
          <w:sz w:val="24"/>
        </w:rPr>
      </w:pPr>
    </w:p>
    <w:p w14:paraId="3085CC6C" w14:textId="29CD3ABD" w:rsidR="00766BC9" w:rsidRPr="00411383" w:rsidRDefault="00342BCD"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This close relationship between Australia’s international obligations and the national interest was also emphasised by Allsop CJ in concurrence, in noting the repeated use of the term ‘national interest’ and international obligations as related concepts in Commonwealth legislation.</w:t>
      </w:r>
      <w:r w:rsidRPr="00411383">
        <w:rPr>
          <w:rStyle w:val="FootnoteReference"/>
          <w:rFonts w:ascii="Times New Roman" w:hAnsi="Times New Roman" w:cs="Times New Roman"/>
          <w:bCs/>
          <w:sz w:val="24"/>
        </w:rPr>
        <w:footnoteReference w:id="108"/>
      </w:r>
      <w:r w:rsidR="006547A2" w:rsidRPr="00411383">
        <w:rPr>
          <w:rFonts w:ascii="Times New Roman" w:hAnsi="Times New Roman" w:cs="Times New Roman"/>
          <w:bCs/>
          <w:sz w:val="24"/>
        </w:rPr>
        <w:t xml:space="preserve"> As his Honour observed, ‘Australia’s international obligations and violation thereof can thus be seen to bear directly and naturally on the conception of the “national interest”’,</w:t>
      </w:r>
      <w:r w:rsidR="006547A2" w:rsidRPr="00411383">
        <w:rPr>
          <w:rStyle w:val="FootnoteReference"/>
          <w:rFonts w:ascii="Times New Roman" w:hAnsi="Times New Roman" w:cs="Times New Roman"/>
          <w:bCs/>
          <w:sz w:val="24"/>
        </w:rPr>
        <w:footnoteReference w:id="109"/>
      </w:r>
      <w:r w:rsidR="00B75EF9" w:rsidRPr="00411383">
        <w:rPr>
          <w:rFonts w:ascii="Times New Roman" w:hAnsi="Times New Roman" w:cs="Times New Roman"/>
          <w:bCs/>
          <w:sz w:val="24"/>
        </w:rPr>
        <w:t xml:space="preserve"> and the violation of international law ‘is intrinsically and inherently a matter of national interest’.</w:t>
      </w:r>
      <w:r w:rsidR="001203D2" w:rsidRPr="00411383">
        <w:rPr>
          <w:rStyle w:val="FootnoteReference"/>
          <w:rFonts w:ascii="Times New Roman" w:hAnsi="Times New Roman" w:cs="Times New Roman"/>
          <w:bCs/>
          <w:sz w:val="24"/>
        </w:rPr>
        <w:footnoteReference w:id="110"/>
      </w:r>
      <w:r w:rsidR="00FE1183" w:rsidRPr="00411383">
        <w:rPr>
          <w:rFonts w:ascii="Times New Roman" w:hAnsi="Times New Roman" w:cs="Times New Roman"/>
          <w:bCs/>
          <w:sz w:val="24"/>
        </w:rPr>
        <w:t xml:space="preserve"> While Allsop CJ does not describe the jurisprudential basis for this form of error, it could be characterised as a failure to proceed on a correct understanding of the law, </w:t>
      </w:r>
      <w:r w:rsidR="00FE1183" w:rsidRPr="00411383">
        <w:rPr>
          <w:rFonts w:ascii="Times New Roman" w:hAnsi="Times New Roman" w:cs="Times New Roman"/>
          <w:bCs/>
          <w:sz w:val="24"/>
        </w:rPr>
        <w:lastRenderedPageBreak/>
        <w:t>rather than as ‘unreasonableness’ per se – that is, a failure to understand what the term ‘national interest’ means, at least in the circumstances of this particular case.</w:t>
      </w:r>
    </w:p>
    <w:p w14:paraId="4EB3257D" w14:textId="77777777" w:rsidR="00766BC9" w:rsidRPr="00411383" w:rsidRDefault="00766BC9" w:rsidP="00E33B82">
      <w:pPr>
        <w:spacing w:line="360" w:lineRule="auto"/>
        <w:jc w:val="both"/>
        <w:rPr>
          <w:rFonts w:ascii="Times New Roman" w:hAnsi="Times New Roman" w:cs="Times New Roman"/>
          <w:bCs/>
          <w:sz w:val="24"/>
        </w:rPr>
      </w:pPr>
    </w:p>
    <w:p w14:paraId="0E0BE8A8" w14:textId="2C5EA20D" w:rsidR="00314EEC" w:rsidRDefault="00766BC9"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As noted above,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is particularly relevant </w:t>
      </w:r>
      <w:r w:rsidRPr="00E90F2C">
        <w:rPr>
          <w:rFonts w:ascii="Times New Roman" w:hAnsi="Times New Roman" w:cs="Times New Roman"/>
          <w:bCs/>
          <w:sz w:val="24"/>
        </w:rPr>
        <w:t xml:space="preserve">to Appleby and Reilly’s proposed ‘stronger realist approach’ to judicial review of </w:t>
      </w:r>
      <w:r w:rsidR="004D5D3D">
        <w:rPr>
          <w:rFonts w:ascii="Times New Roman" w:hAnsi="Times New Roman" w:cs="Times New Roman"/>
          <w:bCs/>
          <w:sz w:val="24"/>
        </w:rPr>
        <w:t xml:space="preserve">public </w:t>
      </w:r>
      <w:r w:rsidRPr="00E90F2C">
        <w:rPr>
          <w:rFonts w:ascii="Times New Roman" w:hAnsi="Times New Roman" w:cs="Times New Roman"/>
          <w:bCs/>
          <w:sz w:val="24"/>
        </w:rPr>
        <w:t>interest determinations</w:t>
      </w:r>
      <w:r w:rsidR="00BE1C09" w:rsidRPr="00E90F2C">
        <w:rPr>
          <w:rFonts w:ascii="Times New Roman" w:hAnsi="Times New Roman" w:cs="Times New Roman"/>
          <w:bCs/>
          <w:sz w:val="24"/>
        </w:rPr>
        <w:t xml:space="preserve">, </w:t>
      </w:r>
      <w:r w:rsidR="00C066D5" w:rsidRPr="00E90F2C">
        <w:rPr>
          <w:rFonts w:ascii="Times New Roman" w:hAnsi="Times New Roman" w:cs="Times New Roman"/>
          <w:bCs/>
          <w:sz w:val="24"/>
        </w:rPr>
        <w:t xml:space="preserve">mandating that certain factors must or must not be taken into account in such determinations </w:t>
      </w:r>
      <w:r w:rsidR="00310306" w:rsidRPr="00E90F2C">
        <w:rPr>
          <w:rFonts w:ascii="Times New Roman" w:hAnsi="Times New Roman" w:cs="Times New Roman"/>
          <w:bCs/>
          <w:sz w:val="24"/>
        </w:rPr>
        <w:t xml:space="preserve">but not interfering in ultimate ‘substantive’ determinations as to where the </w:t>
      </w:r>
      <w:r w:rsidR="004D5D3D">
        <w:rPr>
          <w:rFonts w:ascii="Times New Roman" w:hAnsi="Times New Roman" w:cs="Times New Roman"/>
          <w:bCs/>
          <w:sz w:val="24"/>
        </w:rPr>
        <w:t xml:space="preserve">public </w:t>
      </w:r>
      <w:r w:rsidR="00310306" w:rsidRPr="00E90F2C">
        <w:rPr>
          <w:rFonts w:ascii="Times New Roman" w:hAnsi="Times New Roman" w:cs="Times New Roman"/>
          <w:bCs/>
          <w:sz w:val="24"/>
        </w:rPr>
        <w:t xml:space="preserve">interest </w:t>
      </w:r>
      <w:r w:rsidR="004D5D3D">
        <w:rPr>
          <w:rFonts w:ascii="Times New Roman" w:hAnsi="Times New Roman" w:cs="Times New Roman"/>
          <w:bCs/>
          <w:sz w:val="24"/>
        </w:rPr>
        <w:t xml:space="preserve">(or the national interest) </w:t>
      </w:r>
      <w:r w:rsidR="00310306" w:rsidRPr="00E90F2C">
        <w:rPr>
          <w:rFonts w:ascii="Times New Roman" w:hAnsi="Times New Roman" w:cs="Times New Roman"/>
          <w:bCs/>
          <w:sz w:val="24"/>
        </w:rPr>
        <w:t>may lie</w:t>
      </w:r>
      <w:r w:rsidR="00BE1C09" w:rsidRPr="00E90F2C">
        <w:rPr>
          <w:rFonts w:ascii="Times New Roman" w:hAnsi="Times New Roman" w:cs="Times New Roman"/>
          <w:bCs/>
          <w:sz w:val="24"/>
        </w:rPr>
        <w:t>.</w:t>
      </w:r>
      <w:r w:rsidRPr="00E90F2C">
        <w:rPr>
          <w:rStyle w:val="FootnoteReference"/>
          <w:rFonts w:ascii="Times New Roman" w:hAnsi="Times New Roman" w:cs="Times New Roman"/>
          <w:bCs/>
          <w:sz w:val="24"/>
        </w:rPr>
        <w:footnoteReference w:id="111"/>
      </w:r>
      <w:r w:rsidRPr="00411383">
        <w:rPr>
          <w:rFonts w:ascii="Times New Roman" w:hAnsi="Times New Roman" w:cs="Times New Roman"/>
          <w:bCs/>
          <w:sz w:val="24"/>
        </w:rPr>
        <w:t xml:space="preserve"> </w:t>
      </w:r>
      <w:r w:rsidR="00484E56" w:rsidRPr="00411383">
        <w:rPr>
          <w:rFonts w:ascii="Times New Roman" w:hAnsi="Times New Roman" w:cs="Times New Roman"/>
          <w:bCs/>
          <w:sz w:val="24"/>
        </w:rPr>
        <w:t>The Full Court’s decision was consistent with the proposition that whether removal of CWY20 from Australia would be in the ‘national interest’ remained a matter for the executive alone. Nonetheless, employing the doctrine of unreasonableness, the Full Court reserved a right for the judiciary in identifying which factors were necessary integers of the ‘national interest’. It would be a matter for the Acting Minister to determine whether CWY20 should be removed. But the term ‘national interest’ was not solely within the determination and caprice of the Minister; the courts had a legitimate role to play in ensuring that that term enjoyed meaningful substantive content, and in ensuring that matters which were necessarily relevant to Australia’s interests were taken into account by the Minister.</w:t>
      </w:r>
      <w:r w:rsidR="002160B0">
        <w:rPr>
          <w:rFonts w:ascii="Times New Roman" w:hAnsi="Times New Roman" w:cs="Times New Roman"/>
          <w:bCs/>
          <w:sz w:val="24"/>
        </w:rPr>
        <w:t xml:space="preserve"> </w:t>
      </w:r>
    </w:p>
    <w:p w14:paraId="762DF3B0" w14:textId="77777777" w:rsidR="00314EEC" w:rsidRDefault="00314EEC" w:rsidP="00E33B82">
      <w:pPr>
        <w:spacing w:line="360" w:lineRule="auto"/>
        <w:jc w:val="both"/>
        <w:rPr>
          <w:rFonts w:ascii="Times New Roman" w:hAnsi="Times New Roman" w:cs="Times New Roman"/>
          <w:bCs/>
          <w:sz w:val="24"/>
        </w:rPr>
      </w:pPr>
    </w:p>
    <w:p w14:paraId="4F13A67F" w14:textId="42F2C2F4" w:rsidR="00766BC9" w:rsidRPr="002160B0" w:rsidRDefault="002160B0" w:rsidP="00E33B82">
      <w:pPr>
        <w:spacing w:line="360" w:lineRule="auto"/>
        <w:jc w:val="both"/>
        <w:rPr>
          <w:rFonts w:ascii="Times New Roman" w:hAnsi="Times New Roman" w:cs="Times New Roman"/>
          <w:bCs/>
          <w:sz w:val="24"/>
        </w:rPr>
      </w:pPr>
      <w:r>
        <w:rPr>
          <w:rFonts w:ascii="Times New Roman" w:hAnsi="Times New Roman" w:cs="Times New Roman"/>
          <w:bCs/>
          <w:sz w:val="24"/>
        </w:rPr>
        <w:t>This is consistent with Appleby and Reilly’s ‘meta</w:t>
      </w:r>
      <w:r w:rsidR="00835FE1">
        <w:rPr>
          <w:rFonts w:ascii="Times New Roman" w:hAnsi="Times New Roman" w:cs="Times New Roman"/>
          <w:bCs/>
          <w:sz w:val="24"/>
        </w:rPr>
        <w:t>-</w:t>
      </w:r>
      <w:r>
        <w:rPr>
          <w:rFonts w:ascii="Times New Roman" w:hAnsi="Times New Roman" w:cs="Times New Roman"/>
          <w:bCs/>
          <w:sz w:val="24"/>
        </w:rPr>
        <w:t xml:space="preserve">principle’: that even if the </w:t>
      </w:r>
      <w:r>
        <w:rPr>
          <w:rFonts w:ascii="Times New Roman" w:hAnsi="Times New Roman" w:cs="Times New Roman"/>
          <w:bCs/>
          <w:i/>
          <w:iCs/>
          <w:sz w:val="24"/>
        </w:rPr>
        <w:t xml:space="preserve">outcome </w:t>
      </w:r>
      <w:r>
        <w:rPr>
          <w:rFonts w:ascii="Times New Roman" w:hAnsi="Times New Roman" w:cs="Times New Roman"/>
          <w:bCs/>
          <w:sz w:val="24"/>
        </w:rPr>
        <w:t xml:space="preserve">of where the national interest lies may be beyond the permissible judicial purview, the </w:t>
      </w:r>
      <w:r>
        <w:rPr>
          <w:rFonts w:ascii="Times New Roman" w:hAnsi="Times New Roman" w:cs="Times New Roman"/>
          <w:bCs/>
          <w:i/>
          <w:iCs/>
          <w:sz w:val="24"/>
        </w:rPr>
        <w:t xml:space="preserve">factors </w:t>
      </w:r>
      <w:r>
        <w:rPr>
          <w:rFonts w:ascii="Times New Roman" w:hAnsi="Times New Roman" w:cs="Times New Roman"/>
          <w:bCs/>
          <w:sz w:val="24"/>
        </w:rPr>
        <w:t>which inform that assessment are legitimately and properly the subject of judicial analysis. It is open to the courts, on this analysis, to determine that Australia’s non-</w:t>
      </w:r>
      <w:r>
        <w:rPr>
          <w:rFonts w:ascii="Times New Roman" w:hAnsi="Times New Roman" w:cs="Times New Roman"/>
          <w:bCs/>
          <w:i/>
          <w:iCs/>
          <w:sz w:val="24"/>
        </w:rPr>
        <w:t xml:space="preserve">refoulement </w:t>
      </w:r>
      <w:r>
        <w:rPr>
          <w:rFonts w:ascii="Times New Roman" w:hAnsi="Times New Roman" w:cs="Times New Roman"/>
          <w:bCs/>
          <w:sz w:val="24"/>
        </w:rPr>
        <w:t xml:space="preserve">obligations are so intrinsically ‘national’ in character that they </w:t>
      </w:r>
      <w:r w:rsidR="009964E0">
        <w:rPr>
          <w:rFonts w:ascii="Times New Roman" w:hAnsi="Times New Roman" w:cs="Times New Roman"/>
          <w:bCs/>
          <w:sz w:val="24"/>
        </w:rPr>
        <w:t>cannot sensibly or reasonably be treated as irrelevant.</w:t>
      </w:r>
      <w:r>
        <w:rPr>
          <w:rFonts w:ascii="Times New Roman" w:hAnsi="Times New Roman" w:cs="Times New Roman"/>
          <w:bCs/>
          <w:sz w:val="24"/>
        </w:rPr>
        <w:t xml:space="preserve"> </w:t>
      </w:r>
    </w:p>
    <w:p w14:paraId="69BD1285" w14:textId="1127684F" w:rsidR="00B675BB" w:rsidRPr="00411383" w:rsidRDefault="00B675BB" w:rsidP="00E33B82">
      <w:pPr>
        <w:spacing w:line="360" w:lineRule="auto"/>
        <w:jc w:val="both"/>
        <w:rPr>
          <w:rFonts w:ascii="Times New Roman" w:hAnsi="Times New Roman" w:cs="Times New Roman"/>
          <w:bCs/>
          <w:sz w:val="24"/>
        </w:rPr>
      </w:pPr>
    </w:p>
    <w:p w14:paraId="5054245A" w14:textId="457B9BFF" w:rsidR="00E52167" w:rsidRPr="00E62180" w:rsidRDefault="00E52167" w:rsidP="00E33B82">
      <w:pPr>
        <w:spacing w:line="360" w:lineRule="auto"/>
        <w:jc w:val="both"/>
        <w:rPr>
          <w:rFonts w:ascii="Times New Roman" w:hAnsi="Times New Roman" w:cs="Times New Roman"/>
          <w:b/>
          <w:i/>
          <w:iCs/>
          <w:sz w:val="24"/>
        </w:rPr>
      </w:pPr>
      <w:r w:rsidRPr="00E62180">
        <w:rPr>
          <w:rFonts w:ascii="Times New Roman" w:hAnsi="Times New Roman" w:cs="Times New Roman"/>
          <w:b/>
          <w:i/>
          <w:iCs/>
          <w:sz w:val="24"/>
        </w:rPr>
        <w:t>4.</w:t>
      </w:r>
      <w:r w:rsidR="00DC1FF3">
        <w:rPr>
          <w:rFonts w:ascii="Times New Roman" w:hAnsi="Times New Roman" w:cs="Times New Roman"/>
          <w:b/>
          <w:i/>
          <w:iCs/>
          <w:sz w:val="24"/>
        </w:rPr>
        <w:t>3</w:t>
      </w:r>
      <w:r w:rsidRPr="00E62180">
        <w:rPr>
          <w:rFonts w:ascii="Times New Roman" w:hAnsi="Times New Roman" w:cs="Times New Roman"/>
          <w:b/>
          <w:i/>
          <w:iCs/>
          <w:sz w:val="24"/>
        </w:rPr>
        <w:tab/>
        <w:t>ENT19: Failure to Consider Non-Refoulement Obligations as a Failure to Correctly Understand the Legal Consequences of a Decision</w:t>
      </w:r>
    </w:p>
    <w:p w14:paraId="73A1BEEC" w14:textId="77777777" w:rsidR="00E52167" w:rsidRPr="00411383" w:rsidRDefault="00E52167" w:rsidP="00E33B82">
      <w:pPr>
        <w:spacing w:line="360" w:lineRule="auto"/>
        <w:jc w:val="both"/>
        <w:rPr>
          <w:rFonts w:ascii="Times New Roman" w:hAnsi="Times New Roman" w:cs="Times New Roman"/>
          <w:bCs/>
          <w:sz w:val="24"/>
        </w:rPr>
      </w:pPr>
    </w:p>
    <w:p w14:paraId="37B88426" w14:textId="321C6638" w:rsidR="002217FB" w:rsidRPr="00E62180" w:rsidRDefault="002217FB" w:rsidP="00E33B82">
      <w:pPr>
        <w:spacing w:line="360" w:lineRule="auto"/>
        <w:jc w:val="both"/>
        <w:rPr>
          <w:rFonts w:ascii="Times New Roman" w:hAnsi="Times New Roman" w:cs="Times New Roman"/>
          <w:bCs/>
          <w:i/>
          <w:iCs/>
          <w:sz w:val="24"/>
        </w:rPr>
      </w:pPr>
      <w:r w:rsidRPr="00E62180">
        <w:rPr>
          <w:rFonts w:ascii="Times New Roman" w:hAnsi="Times New Roman" w:cs="Times New Roman"/>
          <w:bCs/>
          <w:i/>
          <w:iCs/>
          <w:sz w:val="24"/>
        </w:rPr>
        <w:t>4.</w:t>
      </w:r>
      <w:r w:rsidR="00DC1FF3">
        <w:rPr>
          <w:rFonts w:ascii="Times New Roman" w:hAnsi="Times New Roman" w:cs="Times New Roman"/>
          <w:bCs/>
          <w:i/>
          <w:iCs/>
          <w:sz w:val="24"/>
        </w:rPr>
        <w:t>3</w:t>
      </w:r>
      <w:r w:rsidRPr="00E62180">
        <w:rPr>
          <w:rFonts w:ascii="Times New Roman" w:hAnsi="Times New Roman" w:cs="Times New Roman"/>
          <w:bCs/>
          <w:i/>
          <w:iCs/>
          <w:sz w:val="24"/>
        </w:rPr>
        <w:t>.</w:t>
      </w:r>
      <w:r w:rsidR="00120077" w:rsidRPr="00E62180">
        <w:rPr>
          <w:rFonts w:ascii="Times New Roman" w:hAnsi="Times New Roman" w:cs="Times New Roman"/>
          <w:bCs/>
          <w:i/>
          <w:iCs/>
          <w:sz w:val="24"/>
        </w:rPr>
        <w:t>1</w:t>
      </w:r>
      <w:r w:rsidRPr="00E62180">
        <w:rPr>
          <w:rFonts w:ascii="Times New Roman" w:hAnsi="Times New Roman" w:cs="Times New Roman"/>
          <w:bCs/>
          <w:i/>
          <w:iCs/>
          <w:sz w:val="24"/>
        </w:rPr>
        <w:tab/>
        <w:t>ENT19: Relevant Facts</w:t>
      </w:r>
    </w:p>
    <w:p w14:paraId="24878942" w14:textId="77777777" w:rsidR="002217FB" w:rsidRPr="00411383" w:rsidRDefault="002217FB" w:rsidP="00E33B82">
      <w:pPr>
        <w:spacing w:line="360" w:lineRule="auto"/>
        <w:jc w:val="both"/>
        <w:rPr>
          <w:rFonts w:ascii="Times New Roman" w:hAnsi="Times New Roman" w:cs="Times New Roman"/>
          <w:bCs/>
          <w:sz w:val="24"/>
        </w:rPr>
      </w:pPr>
    </w:p>
    <w:p w14:paraId="6905474E" w14:textId="4BAA7FFD" w:rsidR="00D744DA" w:rsidRPr="00411383" w:rsidRDefault="00D744DA" w:rsidP="00D744DA">
      <w:pPr>
        <w:spacing w:line="360" w:lineRule="auto"/>
        <w:jc w:val="both"/>
        <w:rPr>
          <w:rFonts w:ascii="Times New Roman" w:hAnsi="Times New Roman" w:cs="Times New Roman"/>
          <w:bCs/>
          <w:sz w:val="24"/>
        </w:rPr>
      </w:pPr>
      <w:r w:rsidRPr="00411383">
        <w:rPr>
          <w:rFonts w:ascii="Times New Roman" w:hAnsi="Times New Roman" w:cs="Times New Roman"/>
          <w:bCs/>
          <w:sz w:val="24"/>
        </w:rPr>
        <w:t>ENT19 was a citizen of Iran. In 2012 and 2013, ENT19 facilitated other asylum seekers’ journeys from Indonesia to Australia by boat.</w:t>
      </w:r>
      <w:r w:rsidRPr="00411383">
        <w:rPr>
          <w:rFonts w:ascii="Times New Roman" w:hAnsi="Times New Roman" w:cs="Times New Roman"/>
          <w:bCs/>
          <w:sz w:val="24"/>
          <w:vertAlign w:val="superscript"/>
        </w:rPr>
        <w:footnoteReference w:id="112"/>
      </w:r>
      <w:r w:rsidRPr="00411383">
        <w:rPr>
          <w:rFonts w:ascii="Times New Roman" w:hAnsi="Times New Roman" w:cs="Times New Roman"/>
          <w:bCs/>
          <w:sz w:val="24"/>
        </w:rPr>
        <w:t xml:space="preserve"> </w:t>
      </w:r>
      <w:r w:rsidR="001B5625" w:rsidRPr="00411383">
        <w:rPr>
          <w:rFonts w:ascii="Times New Roman" w:hAnsi="Times New Roman" w:cs="Times New Roman"/>
          <w:bCs/>
          <w:sz w:val="24"/>
        </w:rPr>
        <w:t>H</w:t>
      </w:r>
      <w:r w:rsidRPr="00411383">
        <w:rPr>
          <w:rFonts w:ascii="Times New Roman" w:hAnsi="Times New Roman" w:cs="Times New Roman"/>
          <w:bCs/>
          <w:sz w:val="24"/>
        </w:rPr>
        <w:t xml:space="preserve">e arranged accommodation, transport, money </w:t>
      </w:r>
      <w:r w:rsidRPr="00411383">
        <w:rPr>
          <w:rFonts w:ascii="Times New Roman" w:hAnsi="Times New Roman" w:cs="Times New Roman"/>
          <w:bCs/>
          <w:sz w:val="24"/>
        </w:rPr>
        <w:lastRenderedPageBreak/>
        <w:t>and food for Iranian asylum seekers travelling from Indonesia to Australia, acting as an intermediary between the asylum seekers and a people smuggler; this was described by the District Court</w:t>
      </w:r>
      <w:r w:rsidR="001B5625" w:rsidRPr="00411383">
        <w:rPr>
          <w:rFonts w:ascii="Times New Roman" w:hAnsi="Times New Roman" w:cs="Times New Roman"/>
          <w:bCs/>
          <w:sz w:val="24"/>
        </w:rPr>
        <w:t xml:space="preserve"> of New South Wales</w:t>
      </w:r>
      <w:r w:rsidRPr="00411383">
        <w:rPr>
          <w:rFonts w:ascii="Times New Roman" w:hAnsi="Times New Roman" w:cs="Times New Roman"/>
          <w:bCs/>
          <w:sz w:val="24"/>
        </w:rPr>
        <w:t xml:space="preserve"> as a ‘people management role’.</w:t>
      </w:r>
      <w:r w:rsidR="00C15EC3" w:rsidRPr="00411383">
        <w:rPr>
          <w:rStyle w:val="FootnoteReference"/>
          <w:rFonts w:ascii="Times New Roman" w:hAnsi="Times New Roman" w:cs="Times New Roman"/>
          <w:bCs/>
          <w:sz w:val="24"/>
        </w:rPr>
        <w:footnoteReference w:id="113"/>
      </w:r>
      <w:r w:rsidRPr="00411383">
        <w:rPr>
          <w:rFonts w:ascii="Times New Roman" w:hAnsi="Times New Roman" w:cs="Times New Roman"/>
          <w:bCs/>
          <w:sz w:val="24"/>
        </w:rPr>
        <w:t xml:space="preserve"> He and his family had fled Iran but were stranded in Indonesia; they lost their money and possessions after a failed attempt to come to Australia. In order to ensure his family’s final journey to Australia, ENT19 remained behind in Indonesia and assisted the people smuggler in bringing other boats to Australia,</w:t>
      </w:r>
      <w:r w:rsidRPr="00411383">
        <w:rPr>
          <w:rFonts w:ascii="Times New Roman" w:hAnsi="Times New Roman" w:cs="Times New Roman"/>
          <w:bCs/>
          <w:sz w:val="24"/>
          <w:vertAlign w:val="superscript"/>
        </w:rPr>
        <w:footnoteReference w:id="114"/>
      </w:r>
      <w:r w:rsidRPr="00411383">
        <w:rPr>
          <w:rFonts w:ascii="Times New Roman" w:hAnsi="Times New Roman" w:cs="Times New Roman"/>
          <w:bCs/>
          <w:sz w:val="24"/>
        </w:rPr>
        <w:t xml:space="preserve"> and eventually arranged his own passage to Australia. ENT19 arrived in Australia in December 2013. He was taken into custody shortly after his arrival and was convicted of people smuggling in October 2017. Because of his conviction and sentence, ENT19 did not pass the ‘character test’ under s 501 of the </w:t>
      </w:r>
      <w:r w:rsidRPr="00411383">
        <w:rPr>
          <w:rFonts w:ascii="Times New Roman" w:hAnsi="Times New Roman" w:cs="Times New Roman"/>
          <w:bCs/>
          <w:i/>
          <w:iCs/>
          <w:sz w:val="24"/>
        </w:rPr>
        <w:t>Migration Act</w:t>
      </w:r>
      <w:r w:rsidRPr="00411383">
        <w:rPr>
          <w:rFonts w:ascii="Times New Roman" w:hAnsi="Times New Roman" w:cs="Times New Roman"/>
          <w:bCs/>
          <w:sz w:val="24"/>
        </w:rPr>
        <w:t>.</w:t>
      </w:r>
    </w:p>
    <w:p w14:paraId="0A8D71F3" w14:textId="77777777" w:rsidR="00D744DA" w:rsidRPr="00411383" w:rsidRDefault="00D744DA" w:rsidP="00D744DA">
      <w:pPr>
        <w:spacing w:line="360" w:lineRule="auto"/>
        <w:jc w:val="both"/>
        <w:rPr>
          <w:rFonts w:ascii="Times New Roman" w:hAnsi="Times New Roman" w:cs="Times New Roman"/>
          <w:bCs/>
          <w:sz w:val="24"/>
        </w:rPr>
      </w:pPr>
    </w:p>
    <w:p w14:paraId="54255FEE" w14:textId="3EBB0BF5" w:rsidR="009E0DF6" w:rsidRPr="00411383" w:rsidRDefault="00D744DA" w:rsidP="00D744DA">
      <w:pPr>
        <w:spacing w:line="360" w:lineRule="auto"/>
        <w:jc w:val="both"/>
        <w:rPr>
          <w:rFonts w:ascii="Times New Roman" w:hAnsi="Times New Roman" w:cs="Times New Roman"/>
          <w:bCs/>
          <w:sz w:val="24"/>
        </w:rPr>
      </w:pPr>
      <w:r w:rsidRPr="00411383">
        <w:rPr>
          <w:rFonts w:ascii="Times New Roman" w:hAnsi="Times New Roman" w:cs="Times New Roman"/>
          <w:bCs/>
          <w:sz w:val="24"/>
        </w:rPr>
        <w:t>ENT19 applied for a Safe Haven Enterprise visa, a type of protection visa, in February 2017. The Immigration Assessment Authority found that ENT19 was a refugee and that he would face a real chance of serious harm if removed to Iran, because of his conversion to Christianity while in Australia and his genuine commitment to practicing and proselytising his faith.</w:t>
      </w:r>
      <w:r w:rsidRPr="00411383">
        <w:rPr>
          <w:rFonts w:ascii="Times New Roman" w:hAnsi="Times New Roman" w:cs="Times New Roman"/>
          <w:bCs/>
          <w:sz w:val="24"/>
          <w:vertAlign w:val="superscript"/>
        </w:rPr>
        <w:footnoteReference w:id="115"/>
      </w:r>
      <w:r w:rsidRPr="00411383">
        <w:rPr>
          <w:rFonts w:ascii="Times New Roman" w:hAnsi="Times New Roman" w:cs="Times New Roman"/>
          <w:bCs/>
          <w:sz w:val="24"/>
        </w:rPr>
        <w:t xml:space="preserve"> However, ENT19’s visa application was refused by a delegate of the Minister based on ENT19’s failure to satisfy cl 790.227 of Schedule 2 of the Migration Regulations 1994, the ‘national interest’ criterion: that it was a criterion for a Safe Haven Enterprise Visa that ‘[t]he Minister is satisfied that the grant of the visa is in the national interest’.  </w:t>
      </w:r>
      <w:r w:rsidR="009E0DF6" w:rsidRPr="00411383">
        <w:rPr>
          <w:rFonts w:ascii="Times New Roman" w:hAnsi="Times New Roman" w:cs="Times New Roman"/>
          <w:bCs/>
          <w:sz w:val="24"/>
        </w:rPr>
        <w:t>The delegate did not consider the prospect that ENT19 would be refouled to Iran in breach of Australia’s non-</w:t>
      </w:r>
      <w:r w:rsidR="009E0DF6" w:rsidRPr="00411383">
        <w:rPr>
          <w:rFonts w:ascii="Times New Roman" w:hAnsi="Times New Roman" w:cs="Times New Roman"/>
          <w:bCs/>
          <w:i/>
          <w:iCs/>
          <w:sz w:val="24"/>
        </w:rPr>
        <w:t xml:space="preserve">refoulement </w:t>
      </w:r>
      <w:r w:rsidR="009E0DF6" w:rsidRPr="00411383">
        <w:rPr>
          <w:rFonts w:ascii="Times New Roman" w:hAnsi="Times New Roman" w:cs="Times New Roman"/>
          <w:bCs/>
          <w:sz w:val="24"/>
        </w:rPr>
        <w:t>obligations in determining whether it would be in the ‘national interest’ to refuse his visa application.</w:t>
      </w:r>
      <w:r w:rsidR="009E0DF6" w:rsidRPr="00411383">
        <w:rPr>
          <w:rStyle w:val="FootnoteReference"/>
          <w:rFonts w:ascii="Times New Roman" w:hAnsi="Times New Roman" w:cs="Times New Roman"/>
          <w:bCs/>
          <w:sz w:val="24"/>
        </w:rPr>
        <w:footnoteReference w:id="116"/>
      </w:r>
    </w:p>
    <w:p w14:paraId="078B0160" w14:textId="77777777" w:rsidR="009E0DF6" w:rsidRPr="00411383" w:rsidRDefault="009E0DF6" w:rsidP="00D744DA">
      <w:pPr>
        <w:spacing w:line="360" w:lineRule="auto"/>
        <w:jc w:val="both"/>
        <w:rPr>
          <w:rFonts w:ascii="Times New Roman" w:hAnsi="Times New Roman" w:cs="Times New Roman"/>
          <w:bCs/>
          <w:sz w:val="24"/>
        </w:rPr>
      </w:pPr>
    </w:p>
    <w:p w14:paraId="6F593F5B" w14:textId="45BD3AF1" w:rsidR="00D744DA" w:rsidRPr="00411383" w:rsidRDefault="00D744DA" w:rsidP="00D744DA">
      <w:pPr>
        <w:spacing w:line="360" w:lineRule="auto"/>
        <w:jc w:val="both"/>
        <w:rPr>
          <w:rFonts w:ascii="Times New Roman" w:hAnsi="Times New Roman" w:cs="Times New Roman"/>
          <w:bCs/>
          <w:sz w:val="24"/>
        </w:rPr>
      </w:pPr>
      <w:r w:rsidRPr="00411383">
        <w:rPr>
          <w:rFonts w:ascii="Times New Roman" w:hAnsi="Times New Roman" w:cs="Times New Roman"/>
          <w:bCs/>
          <w:sz w:val="24"/>
        </w:rPr>
        <w:t>ENT19 challenged that decision in the Federal Circuit Court. After that application for review was dismissed,</w:t>
      </w:r>
      <w:r w:rsidRPr="00411383">
        <w:rPr>
          <w:rStyle w:val="FootnoteReference"/>
          <w:rFonts w:ascii="Times New Roman" w:hAnsi="Times New Roman" w:cs="Times New Roman"/>
          <w:bCs/>
          <w:sz w:val="24"/>
        </w:rPr>
        <w:footnoteReference w:id="117"/>
      </w:r>
      <w:r w:rsidRPr="00411383">
        <w:rPr>
          <w:rFonts w:ascii="Times New Roman" w:hAnsi="Times New Roman" w:cs="Times New Roman"/>
          <w:bCs/>
          <w:sz w:val="24"/>
        </w:rPr>
        <w:t xml:space="preserve"> he appealed to the Full Court of the Federal Court of Australia.</w:t>
      </w:r>
    </w:p>
    <w:p w14:paraId="08BCA902" w14:textId="77777777" w:rsidR="00D744DA" w:rsidRPr="00411383" w:rsidRDefault="00D744DA" w:rsidP="00E33B82">
      <w:pPr>
        <w:spacing w:line="360" w:lineRule="auto"/>
        <w:jc w:val="both"/>
        <w:rPr>
          <w:rFonts w:ascii="Times New Roman" w:hAnsi="Times New Roman" w:cs="Times New Roman"/>
          <w:bCs/>
          <w:sz w:val="24"/>
        </w:rPr>
      </w:pPr>
    </w:p>
    <w:p w14:paraId="16406903" w14:textId="068A515B" w:rsidR="009A4158" w:rsidRPr="00F67507" w:rsidRDefault="009A4158" w:rsidP="00E33B82">
      <w:pPr>
        <w:spacing w:line="360" w:lineRule="auto"/>
        <w:jc w:val="both"/>
        <w:rPr>
          <w:rFonts w:ascii="Times New Roman" w:hAnsi="Times New Roman" w:cs="Times New Roman"/>
          <w:bCs/>
          <w:i/>
          <w:iCs/>
          <w:sz w:val="24"/>
        </w:rPr>
      </w:pPr>
      <w:r w:rsidRPr="00F67507">
        <w:rPr>
          <w:rFonts w:ascii="Times New Roman" w:hAnsi="Times New Roman" w:cs="Times New Roman"/>
          <w:bCs/>
          <w:i/>
          <w:iCs/>
          <w:sz w:val="24"/>
        </w:rPr>
        <w:t>4.</w:t>
      </w:r>
      <w:r w:rsidR="00DC1FF3">
        <w:rPr>
          <w:rFonts w:ascii="Times New Roman" w:hAnsi="Times New Roman" w:cs="Times New Roman"/>
          <w:bCs/>
          <w:i/>
          <w:iCs/>
          <w:sz w:val="24"/>
        </w:rPr>
        <w:t>3</w:t>
      </w:r>
      <w:r w:rsidRPr="00F67507">
        <w:rPr>
          <w:rFonts w:ascii="Times New Roman" w:hAnsi="Times New Roman" w:cs="Times New Roman"/>
          <w:bCs/>
          <w:i/>
          <w:iCs/>
          <w:sz w:val="24"/>
        </w:rPr>
        <w:t>.</w:t>
      </w:r>
      <w:r w:rsidR="00120077" w:rsidRPr="00F67507">
        <w:rPr>
          <w:rFonts w:ascii="Times New Roman" w:hAnsi="Times New Roman" w:cs="Times New Roman"/>
          <w:bCs/>
          <w:i/>
          <w:iCs/>
          <w:sz w:val="24"/>
        </w:rPr>
        <w:t>2</w:t>
      </w:r>
      <w:r w:rsidRPr="00F67507">
        <w:rPr>
          <w:rFonts w:ascii="Times New Roman" w:hAnsi="Times New Roman" w:cs="Times New Roman"/>
          <w:bCs/>
          <w:i/>
          <w:iCs/>
          <w:sz w:val="24"/>
        </w:rPr>
        <w:tab/>
        <w:t>ENT19: Full Federal Court Judgment</w:t>
      </w:r>
    </w:p>
    <w:p w14:paraId="179C7A1C" w14:textId="77777777" w:rsidR="00D744DA" w:rsidRPr="00411383" w:rsidRDefault="00D744DA" w:rsidP="00E33B82">
      <w:pPr>
        <w:spacing w:line="360" w:lineRule="auto"/>
        <w:jc w:val="both"/>
        <w:rPr>
          <w:rFonts w:ascii="Times New Roman" w:hAnsi="Times New Roman" w:cs="Times New Roman"/>
          <w:bCs/>
          <w:sz w:val="24"/>
        </w:rPr>
      </w:pPr>
    </w:p>
    <w:p w14:paraId="13FDC32E" w14:textId="4895983D" w:rsidR="006F483D" w:rsidRPr="00411383" w:rsidRDefault="00545934"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lastRenderedPageBreak/>
        <w:t xml:space="preserve">17 days after the Full Court judgment in </w:t>
      </w:r>
      <w:r w:rsidRPr="00411383">
        <w:rPr>
          <w:rFonts w:ascii="Times New Roman" w:hAnsi="Times New Roman" w:cs="Times New Roman"/>
          <w:bCs/>
          <w:i/>
          <w:iCs/>
          <w:sz w:val="24"/>
        </w:rPr>
        <w:t>CWY20</w:t>
      </w:r>
      <w:r w:rsidRPr="00411383">
        <w:rPr>
          <w:rFonts w:ascii="Times New Roman" w:hAnsi="Times New Roman" w:cs="Times New Roman"/>
          <w:bCs/>
          <w:sz w:val="24"/>
        </w:rPr>
        <w:t>, another bench of the Full Court allowed ENT19’s appeal.</w:t>
      </w:r>
      <w:r w:rsidR="00DD052B" w:rsidRPr="00411383">
        <w:rPr>
          <w:rStyle w:val="FootnoteReference"/>
          <w:rFonts w:ascii="Times New Roman" w:hAnsi="Times New Roman" w:cs="Times New Roman"/>
          <w:bCs/>
          <w:sz w:val="24"/>
        </w:rPr>
        <w:footnoteReference w:id="118"/>
      </w:r>
      <w:r w:rsidR="00375966" w:rsidRPr="00411383">
        <w:rPr>
          <w:rFonts w:ascii="Times New Roman" w:hAnsi="Times New Roman" w:cs="Times New Roman"/>
          <w:bCs/>
          <w:sz w:val="24"/>
        </w:rPr>
        <w:t xml:space="preserve"> In the Full Court proceedings in </w:t>
      </w:r>
      <w:r w:rsidR="00375966" w:rsidRPr="00411383">
        <w:rPr>
          <w:rFonts w:ascii="Times New Roman" w:hAnsi="Times New Roman" w:cs="Times New Roman"/>
          <w:bCs/>
          <w:i/>
          <w:iCs/>
          <w:sz w:val="24"/>
        </w:rPr>
        <w:t>CWY20</w:t>
      </w:r>
      <w:r w:rsidR="00375966" w:rsidRPr="00411383">
        <w:rPr>
          <w:rFonts w:ascii="Times New Roman" w:hAnsi="Times New Roman" w:cs="Times New Roman"/>
          <w:bCs/>
          <w:sz w:val="24"/>
        </w:rPr>
        <w:t xml:space="preserve">, </w:t>
      </w:r>
      <w:r w:rsidR="00120077" w:rsidRPr="00411383">
        <w:rPr>
          <w:rFonts w:ascii="Times New Roman" w:hAnsi="Times New Roman" w:cs="Times New Roman"/>
          <w:bCs/>
          <w:sz w:val="24"/>
        </w:rPr>
        <w:t xml:space="preserve">as noted above, </w:t>
      </w:r>
      <w:r w:rsidR="00375966" w:rsidRPr="00411383">
        <w:rPr>
          <w:rFonts w:ascii="Times New Roman" w:hAnsi="Times New Roman" w:cs="Times New Roman"/>
          <w:bCs/>
          <w:sz w:val="24"/>
        </w:rPr>
        <w:t>the parties’ emphasis had been on whether the Acting Minister’s reasoning was unreasonable</w:t>
      </w:r>
      <w:r w:rsidR="00120077" w:rsidRPr="00411383">
        <w:rPr>
          <w:rFonts w:ascii="Times New Roman" w:hAnsi="Times New Roman" w:cs="Times New Roman"/>
          <w:bCs/>
          <w:sz w:val="24"/>
        </w:rPr>
        <w:t>.</w:t>
      </w:r>
      <w:r w:rsidR="00120077" w:rsidRPr="00411383">
        <w:rPr>
          <w:rStyle w:val="FootnoteReference"/>
          <w:rFonts w:ascii="Times New Roman" w:hAnsi="Times New Roman" w:cs="Times New Roman"/>
          <w:bCs/>
          <w:sz w:val="24"/>
        </w:rPr>
        <w:footnoteReference w:id="119"/>
      </w:r>
      <w:r w:rsidR="00120077" w:rsidRPr="00411383">
        <w:rPr>
          <w:rFonts w:ascii="Times New Roman" w:hAnsi="Times New Roman" w:cs="Times New Roman"/>
          <w:bCs/>
          <w:sz w:val="24"/>
        </w:rPr>
        <w:t xml:space="preserve"> In </w:t>
      </w:r>
      <w:r w:rsidR="004651F9" w:rsidRPr="00411383">
        <w:rPr>
          <w:rFonts w:ascii="Times New Roman" w:hAnsi="Times New Roman" w:cs="Times New Roman"/>
          <w:bCs/>
          <w:i/>
          <w:iCs/>
          <w:sz w:val="24"/>
        </w:rPr>
        <w:t>ENT19</w:t>
      </w:r>
      <w:r w:rsidR="004651F9" w:rsidRPr="00411383">
        <w:rPr>
          <w:rFonts w:ascii="Times New Roman" w:hAnsi="Times New Roman" w:cs="Times New Roman"/>
          <w:bCs/>
          <w:sz w:val="24"/>
        </w:rPr>
        <w:t>, by contrast, the emphasis was upon whether the Minister</w:t>
      </w:r>
      <w:r w:rsidR="00B86CCB" w:rsidRPr="00411383">
        <w:rPr>
          <w:rFonts w:ascii="Times New Roman" w:hAnsi="Times New Roman" w:cs="Times New Roman"/>
          <w:bCs/>
          <w:sz w:val="24"/>
        </w:rPr>
        <w:t xml:space="preserve"> had failed to consider the legal and practical consequences of the visa refusal.</w:t>
      </w:r>
      <w:r w:rsidR="00C44FA4" w:rsidRPr="00411383">
        <w:rPr>
          <w:rStyle w:val="FootnoteReference"/>
          <w:rFonts w:ascii="Times New Roman" w:hAnsi="Times New Roman" w:cs="Times New Roman"/>
          <w:bCs/>
          <w:sz w:val="24"/>
        </w:rPr>
        <w:footnoteReference w:id="120"/>
      </w:r>
      <w:r w:rsidR="00AC4961" w:rsidRPr="00411383">
        <w:rPr>
          <w:rFonts w:ascii="Times New Roman" w:hAnsi="Times New Roman" w:cs="Times New Roman"/>
          <w:bCs/>
          <w:sz w:val="24"/>
        </w:rPr>
        <w:t xml:space="preserve"> </w:t>
      </w:r>
    </w:p>
    <w:p w14:paraId="6597CC56" w14:textId="77777777" w:rsidR="006F483D" w:rsidRPr="00411383" w:rsidRDefault="006F483D" w:rsidP="00E33B82">
      <w:pPr>
        <w:spacing w:line="360" w:lineRule="auto"/>
        <w:jc w:val="both"/>
        <w:rPr>
          <w:rFonts w:ascii="Times New Roman" w:hAnsi="Times New Roman" w:cs="Times New Roman"/>
          <w:bCs/>
          <w:sz w:val="24"/>
        </w:rPr>
      </w:pPr>
    </w:p>
    <w:p w14:paraId="0E2D81D0" w14:textId="77777777" w:rsidR="00F44F69" w:rsidRPr="00411383" w:rsidRDefault="00A123F6"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Katzmann J</w:t>
      </w:r>
      <w:r w:rsidR="004477AA" w:rsidRPr="00411383">
        <w:rPr>
          <w:rFonts w:ascii="Times New Roman" w:hAnsi="Times New Roman" w:cs="Times New Roman"/>
          <w:bCs/>
          <w:sz w:val="24"/>
        </w:rPr>
        <w:t xml:space="preserve"> </w:t>
      </w:r>
      <w:r w:rsidRPr="00411383">
        <w:rPr>
          <w:rFonts w:ascii="Times New Roman" w:hAnsi="Times New Roman" w:cs="Times New Roman"/>
          <w:bCs/>
          <w:sz w:val="24"/>
        </w:rPr>
        <w:t xml:space="preserve">found that there was a distinction between ‘considering matters personal to a visa holder or visa applicant’ (which, following authority, the Minister is not required to consider) and ‘matters that necessarily result from the application of the Act’, such as </w:t>
      </w:r>
      <w:r w:rsidRPr="00411383">
        <w:rPr>
          <w:rFonts w:ascii="Times New Roman" w:hAnsi="Times New Roman" w:cs="Times New Roman"/>
          <w:bCs/>
          <w:i/>
          <w:iCs/>
          <w:sz w:val="24"/>
        </w:rPr>
        <w:t xml:space="preserve">refoulement </w:t>
      </w:r>
      <w:r w:rsidRPr="00411383">
        <w:rPr>
          <w:rFonts w:ascii="Times New Roman" w:hAnsi="Times New Roman" w:cs="Times New Roman"/>
          <w:bCs/>
          <w:sz w:val="24"/>
        </w:rPr>
        <w:t>or indefinite detention.</w:t>
      </w:r>
      <w:r w:rsidRPr="00411383">
        <w:rPr>
          <w:rStyle w:val="FootnoteReference"/>
          <w:rFonts w:ascii="Times New Roman" w:hAnsi="Times New Roman" w:cs="Times New Roman"/>
          <w:bCs/>
          <w:sz w:val="24"/>
        </w:rPr>
        <w:footnoteReference w:id="121"/>
      </w:r>
      <w:r w:rsidRPr="00411383">
        <w:rPr>
          <w:rFonts w:ascii="Times New Roman" w:hAnsi="Times New Roman" w:cs="Times New Roman"/>
          <w:bCs/>
          <w:sz w:val="24"/>
        </w:rPr>
        <w:t xml:space="preserve">  </w:t>
      </w:r>
      <w:r w:rsidR="009705BA" w:rsidRPr="00411383">
        <w:rPr>
          <w:rFonts w:ascii="Times New Roman" w:hAnsi="Times New Roman" w:cs="Times New Roman"/>
          <w:bCs/>
          <w:sz w:val="24"/>
        </w:rPr>
        <w:t xml:space="preserve">As in </w:t>
      </w:r>
      <w:r w:rsidR="009705BA" w:rsidRPr="00411383">
        <w:rPr>
          <w:rFonts w:ascii="Times New Roman" w:hAnsi="Times New Roman" w:cs="Times New Roman"/>
          <w:bCs/>
          <w:i/>
          <w:iCs/>
          <w:sz w:val="24"/>
        </w:rPr>
        <w:t>CWY20</w:t>
      </w:r>
      <w:r w:rsidR="009705BA" w:rsidRPr="00411383">
        <w:rPr>
          <w:rFonts w:ascii="Times New Roman" w:hAnsi="Times New Roman" w:cs="Times New Roman"/>
          <w:bCs/>
          <w:sz w:val="24"/>
        </w:rPr>
        <w:t>, Katzmann J emphasised that ‘Australia’s standing in the international community could be adversely affected by a decision to refuse to grant a protection visa to a person, like the appellant, who has been found to be a refugee’.</w:t>
      </w:r>
      <w:r w:rsidR="009705BA" w:rsidRPr="00411383">
        <w:rPr>
          <w:rStyle w:val="FootnoteReference"/>
          <w:rFonts w:ascii="Times New Roman" w:hAnsi="Times New Roman" w:cs="Times New Roman"/>
          <w:bCs/>
          <w:sz w:val="24"/>
        </w:rPr>
        <w:footnoteReference w:id="122"/>
      </w:r>
      <w:r w:rsidR="000A38DD" w:rsidRPr="00411383">
        <w:rPr>
          <w:rFonts w:ascii="Times New Roman" w:hAnsi="Times New Roman" w:cs="Times New Roman"/>
          <w:bCs/>
          <w:sz w:val="24"/>
        </w:rPr>
        <w:t xml:space="preserve"> </w:t>
      </w:r>
      <w:r w:rsidR="00124446" w:rsidRPr="00411383">
        <w:rPr>
          <w:rFonts w:ascii="Times New Roman" w:hAnsi="Times New Roman" w:cs="Times New Roman"/>
          <w:bCs/>
          <w:sz w:val="24"/>
        </w:rPr>
        <w:t>C</w:t>
      </w:r>
      <w:r w:rsidR="000A38DD" w:rsidRPr="00411383">
        <w:rPr>
          <w:rFonts w:ascii="Times New Roman" w:hAnsi="Times New Roman" w:cs="Times New Roman"/>
          <w:bCs/>
          <w:sz w:val="24"/>
        </w:rPr>
        <w:t xml:space="preserve">iting Allsop CJ’s reasoning in the Full Court in </w:t>
      </w:r>
      <w:r w:rsidR="000A38DD" w:rsidRPr="00411383">
        <w:rPr>
          <w:rFonts w:ascii="Times New Roman" w:hAnsi="Times New Roman" w:cs="Times New Roman"/>
          <w:bCs/>
          <w:i/>
          <w:iCs/>
          <w:sz w:val="24"/>
        </w:rPr>
        <w:t>CWY20</w:t>
      </w:r>
      <w:r w:rsidR="000A38DD" w:rsidRPr="00411383">
        <w:rPr>
          <w:rFonts w:ascii="Times New Roman" w:hAnsi="Times New Roman" w:cs="Times New Roman"/>
          <w:bCs/>
          <w:sz w:val="24"/>
        </w:rPr>
        <w:t>, Katzmann J observed that ‘the implications for Australia of returning the appellant to his country of nationality in breach of Australia’s non-refoulement obligations were also intrinsically and inherently relevant’ to the national interest, as was the prospect of indefinite detention – and that the Minister had ‘erroneously confined his assessment of the national interest’ by failing to take these matters into account.</w:t>
      </w:r>
      <w:r w:rsidR="004A42E3" w:rsidRPr="00411383">
        <w:rPr>
          <w:rStyle w:val="FootnoteReference"/>
          <w:rFonts w:ascii="Times New Roman" w:hAnsi="Times New Roman" w:cs="Times New Roman"/>
          <w:bCs/>
          <w:sz w:val="24"/>
        </w:rPr>
        <w:footnoteReference w:id="123"/>
      </w:r>
      <w:r w:rsidR="005972D3" w:rsidRPr="00411383">
        <w:rPr>
          <w:rFonts w:ascii="Times New Roman" w:hAnsi="Times New Roman" w:cs="Times New Roman"/>
          <w:bCs/>
          <w:sz w:val="24"/>
        </w:rPr>
        <w:t xml:space="preserve"> </w:t>
      </w:r>
    </w:p>
    <w:p w14:paraId="0FC401A5" w14:textId="77777777" w:rsidR="00F44F69" w:rsidRPr="00411383" w:rsidRDefault="00F44F69" w:rsidP="00E33B82">
      <w:pPr>
        <w:spacing w:line="360" w:lineRule="auto"/>
        <w:jc w:val="both"/>
        <w:rPr>
          <w:rFonts w:ascii="Times New Roman" w:hAnsi="Times New Roman" w:cs="Times New Roman"/>
          <w:bCs/>
          <w:sz w:val="24"/>
        </w:rPr>
      </w:pPr>
    </w:p>
    <w:p w14:paraId="2F831327" w14:textId="035FCFD4" w:rsidR="00545934" w:rsidRDefault="005972D3"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Further, as in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Katzmann J noted that </w:t>
      </w:r>
      <w:r w:rsidR="00693D2F" w:rsidRPr="00411383">
        <w:rPr>
          <w:rFonts w:ascii="Times New Roman" w:hAnsi="Times New Roman" w:cs="Times New Roman"/>
          <w:bCs/>
          <w:sz w:val="24"/>
        </w:rPr>
        <w:t xml:space="preserve">the relevant form </w:t>
      </w:r>
      <w:r w:rsidRPr="00411383">
        <w:rPr>
          <w:rFonts w:ascii="Times New Roman" w:hAnsi="Times New Roman" w:cs="Times New Roman"/>
          <w:bCs/>
          <w:sz w:val="24"/>
        </w:rPr>
        <w:t>of error could also be characterised as unreasonableness: ‘in the particular circumstances of the present case no reasonable decision-maker could lawfully calculate whether it was in the national interest to grant the applicant a visa’ without considering the prospect of non-</w:t>
      </w:r>
      <w:r w:rsidRPr="00411383">
        <w:rPr>
          <w:rFonts w:ascii="Times New Roman" w:hAnsi="Times New Roman" w:cs="Times New Roman"/>
          <w:bCs/>
          <w:i/>
          <w:iCs/>
          <w:sz w:val="24"/>
        </w:rPr>
        <w:t xml:space="preserve">refoulement </w:t>
      </w:r>
      <w:r w:rsidRPr="00411383">
        <w:rPr>
          <w:rFonts w:ascii="Times New Roman" w:hAnsi="Times New Roman" w:cs="Times New Roman"/>
          <w:bCs/>
          <w:sz w:val="24"/>
        </w:rPr>
        <w:t>or indefinite detention.</w:t>
      </w:r>
      <w:r w:rsidR="008C11AE" w:rsidRPr="00411383">
        <w:rPr>
          <w:rStyle w:val="FootnoteReference"/>
          <w:rFonts w:ascii="Times New Roman" w:hAnsi="Times New Roman" w:cs="Times New Roman"/>
          <w:bCs/>
          <w:sz w:val="24"/>
        </w:rPr>
        <w:footnoteReference w:id="124"/>
      </w:r>
      <w:r w:rsidR="002A17DE" w:rsidRPr="00411383">
        <w:rPr>
          <w:rFonts w:ascii="Times New Roman" w:hAnsi="Times New Roman" w:cs="Times New Roman"/>
          <w:bCs/>
          <w:sz w:val="24"/>
        </w:rPr>
        <w:t xml:space="preserve"> In concurring</w:t>
      </w:r>
      <w:r w:rsidR="00A123F6" w:rsidRPr="00411383">
        <w:rPr>
          <w:rFonts w:ascii="Times New Roman" w:hAnsi="Times New Roman" w:cs="Times New Roman"/>
          <w:bCs/>
          <w:sz w:val="24"/>
        </w:rPr>
        <w:t xml:space="preserve"> with Katzmann J</w:t>
      </w:r>
      <w:r w:rsidR="002A17DE" w:rsidRPr="00411383">
        <w:rPr>
          <w:rFonts w:ascii="Times New Roman" w:hAnsi="Times New Roman" w:cs="Times New Roman"/>
          <w:bCs/>
          <w:sz w:val="24"/>
        </w:rPr>
        <w:t>, Wheelahan J (with whom Collier J agreed) found that, in order to undertake a consideration of the national interest ‘rationally and reasonably’, the Minister was required to assess whether the decision would cause Australia to breach its international treaty obligations.</w:t>
      </w:r>
      <w:r w:rsidR="002A17DE" w:rsidRPr="00411383">
        <w:rPr>
          <w:rFonts w:ascii="Times New Roman" w:hAnsi="Times New Roman" w:cs="Times New Roman"/>
          <w:bCs/>
          <w:sz w:val="24"/>
          <w:vertAlign w:val="superscript"/>
        </w:rPr>
        <w:footnoteReference w:id="125"/>
      </w:r>
      <w:r w:rsidR="00561835" w:rsidRPr="00411383">
        <w:rPr>
          <w:rFonts w:ascii="Times New Roman" w:hAnsi="Times New Roman" w:cs="Times New Roman"/>
          <w:bCs/>
          <w:sz w:val="24"/>
        </w:rPr>
        <w:t xml:space="preserve"> It is not clear whether this was a restatement of, or </w:t>
      </w:r>
      <w:r w:rsidR="00DF3B7C">
        <w:rPr>
          <w:rFonts w:ascii="Times New Roman" w:hAnsi="Times New Roman" w:cs="Times New Roman"/>
          <w:bCs/>
          <w:sz w:val="24"/>
        </w:rPr>
        <w:t xml:space="preserve">distinct </w:t>
      </w:r>
      <w:r w:rsidR="00561835" w:rsidRPr="00411383">
        <w:rPr>
          <w:rFonts w:ascii="Times New Roman" w:hAnsi="Times New Roman" w:cs="Times New Roman"/>
          <w:bCs/>
          <w:sz w:val="24"/>
        </w:rPr>
        <w:t xml:space="preserve">from, Katzmann J’s characterisation of the relevant error as a failure to consider ‘matters that necessarily result from the application of the Act’. If Wheelahan and Collier JJ did </w:t>
      </w:r>
      <w:r w:rsidR="00C03B83" w:rsidRPr="00411383">
        <w:rPr>
          <w:rFonts w:ascii="Times New Roman" w:hAnsi="Times New Roman" w:cs="Times New Roman"/>
          <w:bCs/>
          <w:sz w:val="24"/>
        </w:rPr>
        <w:t xml:space="preserve">adopt </w:t>
      </w:r>
      <w:r w:rsidR="00C03B83" w:rsidRPr="00411383">
        <w:rPr>
          <w:rFonts w:ascii="Times New Roman" w:hAnsi="Times New Roman" w:cs="Times New Roman"/>
          <w:bCs/>
          <w:sz w:val="24"/>
        </w:rPr>
        <w:lastRenderedPageBreak/>
        <w:t>another characterisation,</w:t>
      </w:r>
      <w:r w:rsidR="002A17DE" w:rsidRPr="00411383">
        <w:rPr>
          <w:rFonts w:ascii="Times New Roman" w:hAnsi="Times New Roman" w:cs="Times New Roman"/>
          <w:bCs/>
          <w:sz w:val="24"/>
        </w:rPr>
        <w:t xml:space="preserve"> </w:t>
      </w:r>
      <w:r w:rsidR="00C03B83" w:rsidRPr="00411383">
        <w:rPr>
          <w:rFonts w:ascii="Times New Roman" w:hAnsi="Times New Roman" w:cs="Times New Roman"/>
          <w:bCs/>
          <w:sz w:val="24"/>
        </w:rPr>
        <w:t>i</w:t>
      </w:r>
      <w:r w:rsidR="00F44F69" w:rsidRPr="00411383">
        <w:rPr>
          <w:rFonts w:ascii="Times New Roman" w:hAnsi="Times New Roman" w:cs="Times New Roman"/>
          <w:bCs/>
          <w:sz w:val="24"/>
        </w:rPr>
        <w:t xml:space="preserve">t may hence be that Katzmann J’s characterisation as the relevant error as a failure to form </w:t>
      </w:r>
      <w:r w:rsidR="00D41D42" w:rsidRPr="00411383">
        <w:rPr>
          <w:rFonts w:ascii="Times New Roman" w:hAnsi="Times New Roman" w:cs="Times New Roman"/>
          <w:bCs/>
          <w:sz w:val="24"/>
        </w:rPr>
        <w:t xml:space="preserve">a correct understanding of ‘matters that necessarily result from the application of the Act’ was a minority position, and that (as in </w:t>
      </w:r>
      <w:r w:rsidR="00D41D42" w:rsidRPr="00411383">
        <w:rPr>
          <w:rFonts w:ascii="Times New Roman" w:hAnsi="Times New Roman" w:cs="Times New Roman"/>
          <w:bCs/>
          <w:i/>
          <w:iCs/>
          <w:sz w:val="24"/>
        </w:rPr>
        <w:t>CWY20</w:t>
      </w:r>
      <w:r w:rsidR="00D41D42" w:rsidRPr="00411383">
        <w:rPr>
          <w:rFonts w:ascii="Times New Roman" w:hAnsi="Times New Roman" w:cs="Times New Roman"/>
          <w:bCs/>
          <w:sz w:val="24"/>
        </w:rPr>
        <w:t xml:space="preserve">) the majority position in </w:t>
      </w:r>
      <w:r w:rsidR="00D41D42" w:rsidRPr="00411383">
        <w:rPr>
          <w:rFonts w:ascii="Times New Roman" w:hAnsi="Times New Roman" w:cs="Times New Roman"/>
          <w:bCs/>
          <w:i/>
          <w:iCs/>
          <w:sz w:val="24"/>
        </w:rPr>
        <w:t>ENT19</w:t>
      </w:r>
      <w:r w:rsidR="00D41D42" w:rsidRPr="00411383">
        <w:rPr>
          <w:rFonts w:ascii="Times New Roman" w:hAnsi="Times New Roman" w:cs="Times New Roman"/>
          <w:bCs/>
          <w:sz w:val="24"/>
        </w:rPr>
        <w:t xml:space="preserve"> </w:t>
      </w:r>
      <w:r w:rsidR="00036781" w:rsidRPr="00411383">
        <w:rPr>
          <w:rFonts w:ascii="Times New Roman" w:hAnsi="Times New Roman" w:cs="Times New Roman"/>
          <w:bCs/>
          <w:sz w:val="24"/>
        </w:rPr>
        <w:t>characterised the relevant error as legal unreasonableness.</w:t>
      </w:r>
    </w:p>
    <w:p w14:paraId="5A8B6C5D" w14:textId="77777777" w:rsidR="00D5616E" w:rsidRDefault="00D5616E" w:rsidP="00E33B82">
      <w:pPr>
        <w:spacing w:line="360" w:lineRule="auto"/>
        <w:jc w:val="both"/>
        <w:rPr>
          <w:rFonts w:ascii="Times New Roman" w:hAnsi="Times New Roman" w:cs="Times New Roman"/>
          <w:bCs/>
          <w:sz w:val="24"/>
        </w:rPr>
      </w:pPr>
    </w:p>
    <w:p w14:paraId="3DA0ECF6" w14:textId="64B40E82" w:rsidR="00D5616E" w:rsidRDefault="00D5616E" w:rsidP="00E33B82">
      <w:pPr>
        <w:spacing w:line="360" w:lineRule="auto"/>
        <w:jc w:val="both"/>
        <w:rPr>
          <w:rFonts w:ascii="Times New Roman" w:hAnsi="Times New Roman" w:cs="Times New Roman"/>
          <w:bCs/>
          <w:sz w:val="24"/>
        </w:rPr>
      </w:pPr>
      <w:r>
        <w:rPr>
          <w:rFonts w:ascii="Times New Roman" w:hAnsi="Times New Roman" w:cs="Times New Roman"/>
          <w:bCs/>
          <w:i/>
          <w:iCs/>
          <w:sz w:val="24"/>
        </w:rPr>
        <w:t>ENT19</w:t>
      </w:r>
      <w:r>
        <w:rPr>
          <w:rFonts w:ascii="Times New Roman" w:hAnsi="Times New Roman" w:cs="Times New Roman"/>
          <w:bCs/>
          <w:sz w:val="24"/>
        </w:rPr>
        <w:t xml:space="preserve">’s use of the language of ‘intrinsically and inherently relevant’ is, again, relevant to and supports an application of the meta-principle. Even if the weighing of the factors which inform the national interest is a matter for the Executive alone, it ascribes to the Court a legitimate role in identifying which factors are </w:t>
      </w:r>
      <w:r>
        <w:rPr>
          <w:rFonts w:ascii="Times New Roman" w:hAnsi="Times New Roman" w:cs="Times New Roman"/>
          <w:bCs/>
          <w:i/>
          <w:iCs/>
          <w:sz w:val="24"/>
        </w:rPr>
        <w:t xml:space="preserve">necessarily </w:t>
      </w:r>
      <w:r>
        <w:rPr>
          <w:rFonts w:ascii="Times New Roman" w:hAnsi="Times New Roman" w:cs="Times New Roman"/>
          <w:bCs/>
          <w:sz w:val="24"/>
        </w:rPr>
        <w:t>‘national’</w:t>
      </w:r>
      <w:r w:rsidR="004730E4">
        <w:rPr>
          <w:rFonts w:ascii="Times New Roman" w:hAnsi="Times New Roman" w:cs="Times New Roman"/>
          <w:bCs/>
          <w:sz w:val="24"/>
        </w:rPr>
        <w:t xml:space="preserve">, </w:t>
      </w:r>
      <w:r>
        <w:rPr>
          <w:rFonts w:ascii="Times New Roman" w:hAnsi="Times New Roman" w:cs="Times New Roman"/>
          <w:bCs/>
          <w:sz w:val="24"/>
        </w:rPr>
        <w:t xml:space="preserve">and hence </w:t>
      </w:r>
      <w:r w:rsidR="004730E4">
        <w:rPr>
          <w:rFonts w:ascii="Times New Roman" w:hAnsi="Times New Roman" w:cs="Times New Roman"/>
          <w:bCs/>
          <w:sz w:val="24"/>
        </w:rPr>
        <w:t xml:space="preserve">which </w:t>
      </w:r>
      <w:r w:rsidRPr="00B22AB7">
        <w:rPr>
          <w:rFonts w:ascii="Times New Roman" w:hAnsi="Times New Roman" w:cs="Times New Roman"/>
          <w:bCs/>
          <w:i/>
          <w:iCs/>
          <w:sz w:val="24"/>
        </w:rPr>
        <w:t>must</w:t>
      </w:r>
      <w:r>
        <w:rPr>
          <w:rFonts w:ascii="Times New Roman" w:hAnsi="Times New Roman" w:cs="Times New Roman"/>
          <w:bCs/>
          <w:sz w:val="24"/>
        </w:rPr>
        <w:t xml:space="preserve"> be considered. </w:t>
      </w:r>
    </w:p>
    <w:p w14:paraId="26D5F88F" w14:textId="77777777" w:rsidR="00D5616E" w:rsidRDefault="00D5616E" w:rsidP="00E33B82">
      <w:pPr>
        <w:spacing w:line="360" w:lineRule="auto"/>
        <w:jc w:val="both"/>
        <w:rPr>
          <w:rFonts w:ascii="Times New Roman" w:hAnsi="Times New Roman" w:cs="Times New Roman"/>
          <w:bCs/>
          <w:sz w:val="24"/>
        </w:rPr>
      </w:pPr>
    </w:p>
    <w:p w14:paraId="12F930D2" w14:textId="6A9D7687" w:rsidR="0067444E" w:rsidRDefault="00D5616E" w:rsidP="00E33B82">
      <w:pPr>
        <w:spacing w:line="360" w:lineRule="auto"/>
        <w:jc w:val="both"/>
        <w:rPr>
          <w:rFonts w:ascii="Times New Roman" w:hAnsi="Times New Roman" w:cs="Times New Roman"/>
          <w:bCs/>
          <w:sz w:val="24"/>
        </w:rPr>
      </w:pPr>
      <w:r>
        <w:rPr>
          <w:rFonts w:ascii="Times New Roman" w:hAnsi="Times New Roman" w:cs="Times New Roman"/>
          <w:bCs/>
          <w:sz w:val="24"/>
        </w:rPr>
        <w:t xml:space="preserve">Interestingly, the corollary principle – that there are some factors which are ‘intrinsically’ or ‘inherently’ </w:t>
      </w:r>
      <w:r>
        <w:rPr>
          <w:rFonts w:ascii="Times New Roman" w:hAnsi="Times New Roman" w:cs="Times New Roman"/>
          <w:bCs/>
          <w:i/>
          <w:iCs/>
          <w:sz w:val="24"/>
        </w:rPr>
        <w:t xml:space="preserve">not </w:t>
      </w:r>
      <w:r>
        <w:rPr>
          <w:rFonts w:ascii="Times New Roman" w:hAnsi="Times New Roman" w:cs="Times New Roman"/>
          <w:bCs/>
          <w:sz w:val="24"/>
        </w:rPr>
        <w:t xml:space="preserve">national – was recognised by the High Court </w:t>
      </w:r>
      <w:r w:rsidR="00AE2207">
        <w:rPr>
          <w:rFonts w:ascii="Times New Roman" w:hAnsi="Times New Roman" w:cs="Times New Roman"/>
          <w:bCs/>
          <w:sz w:val="24"/>
        </w:rPr>
        <w:t xml:space="preserve">at a later stage in </w:t>
      </w:r>
      <w:r w:rsidR="00AE2207">
        <w:rPr>
          <w:rFonts w:ascii="Times New Roman" w:hAnsi="Times New Roman" w:cs="Times New Roman"/>
          <w:bCs/>
          <w:i/>
          <w:iCs/>
          <w:sz w:val="24"/>
        </w:rPr>
        <w:t>ENT19</w:t>
      </w:r>
      <w:r w:rsidR="00AE2207">
        <w:rPr>
          <w:rFonts w:ascii="Times New Roman" w:hAnsi="Times New Roman" w:cs="Times New Roman"/>
          <w:bCs/>
          <w:sz w:val="24"/>
        </w:rPr>
        <w:t>’s quest for a visa.</w:t>
      </w:r>
      <w:r w:rsidR="006664D5">
        <w:rPr>
          <w:rStyle w:val="FootnoteReference"/>
          <w:rFonts w:ascii="Times New Roman" w:hAnsi="Times New Roman" w:cs="Times New Roman"/>
          <w:bCs/>
          <w:sz w:val="24"/>
        </w:rPr>
        <w:footnoteReference w:id="126"/>
      </w:r>
      <w:r w:rsidR="00AE2207">
        <w:rPr>
          <w:rFonts w:ascii="Times New Roman" w:hAnsi="Times New Roman" w:cs="Times New Roman"/>
          <w:bCs/>
          <w:sz w:val="24"/>
        </w:rPr>
        <w:t xml:space="preserve"> After the Full</w:t>
      </w:r>
      <w:r w:rsidR="00FE66AE">
        <w:rPr>
          <w:rFonts w:ascii="Times New Roman" w:hAnsi="Times New Roman" w:cs="Times New Roman"/>
          <w:bCs/>
          <w:sz w:val="24"/>
        </w:rPr>
        <w:t xml:space="preserve"> Federal</w:t>
      </w:r>
      <w:r w:rsidR="00AE2207">
        <w:rPr>
          <w:rFonts w:ascii="Times New Roman" w:hAnsi="Times New Roman" w:cs="Times New Roman"/>
          <w:bCs/>
          <w:sz w:val="24"/>
        </w:rPr>
        <w:t xml:space="preserve"> Court judgment, the Minister </w:t>
      </w:r>
      <w:r w:rsidR="00AE2207">
        <w:rPr>
          <w:rFonts w:ascii="Times New Roman" w:hAnsi="Times New Roman" w:cs="Times New Roman"/>
          <w:bCs/>
          <w:i/>
          <w:iCs/>
          <w:sz w:val="24"/>
        </w:rPr>
        <w:t>again</w:t>
      </w:r>
      <w:r w:rsidR="00AE2207">
        <w:rPr>
          <w:rFonts w:ascii="Times New Roman" w:hAnsi="Times New Roman" w:cs="Times New Roman"/>
          <w:bCs/>
          <w:sz w:val="24"/>
        </w:rPr>
        <w:t xml:space="preserve"> purported to refuse ENT19’s visa application</w:t>
      </w:r>
      <w:r w:rsidR="005708A6">
        <w:rPr>
          <w:rFonts w:ascii="Times New Roman" w:hAnsi="Times New Roman" w:cs="Times New Roman"/>
          <w:bCs/>
          <w:sz w:val="24"/>
        </w:rPr>
        <w:t xml:space="preserve"> under cl 790.227</w:t>
      </w:r>
      <w:r w:rsidR="00AE2207">
        <w:rPr>
          <w:rFonts w:ascii="Times New Roman" w:hAnsi="Times New Roman" w:cs="Times New Roman"/>
          <w:bCs/>
          <w:sz w:val="24"/>
        </w:rPr>
        <w:t xml:space="preserve">, on the basis that it would not be in the national interest </w:t>
      </w:r>
      <w:r w:rsidR="001D1612">
        <w:rPr>
          <w:rFonts w:ascii="Times New Roman" w:hAnsi="Times New Roman" w:cs="Times New Roman"/>
          <w:bCs/>
          <w:sz w:val="24"/>
        </w:rPr>
        <w:t xml:space="preserve">‘for a person convicted of people smuggling to be seen to get the benefit of a protection visa’, and that granting a visa to a person in those circumstances ‘would send the wrong signal to people who may be contemplating engaging in similar conduct in the future, thereby </w:t>
      </w:r>
      <w:r w:rsidR="005708A6">
        <w:rPr>
          <w:rFonts w:ascii="Times New Roman" w:hAnsi="Times New Roman" w:cs="Times New Roman"/>
          <w:bCs/>
          <w:sz w:val="24"/>
        </w:rPr>
        <w:t>potentially weakening Australia’s border protection regime’.</w:t>
      </w:r>
      <w:r w:rsidR="005708A6">
        <w:rPr>
          <w:rStyle w:val="FootnoteReference"/>
          <w:rFonts w:ascii="Times New Roman" w:hAnsi="Times New Roman" w:cs="Times New Roman"/>
          <w:bCs/>
          <w:sz w:val="24"/>
        </w:rPr>
        <w:footnoteReference w:id="127"/>
      </w:r>
      <w:r w:rsidR="005708A6">
        <w:rPr>
          <w:rFonts w:ascii="Times New Roman" w:hAnsi="Times New Roman" w:cs="Times New Roman"/>
          <w:bCs/>
          <w:sz w:val="24"/>
        </w:rPr>
        <w:t xml:space="preserve"> The High Court majority</w:t>
      </w:r>
      <w:r w:rsidR="004F6510">
        <w:rPr>
          <w:rFonts w:ascii="Times New Roman" w:hAnsi="Times New Roman" w:cs="Times New Roman"/>
          <w:bCs/>
          <w:sz w:val="24"/>
        </w:rPr>
        <w:t xml:space="preserve"> emphasised that cl 790.227 is a visa criterion, one among many, and ‘not a special visa refusal power conferred by the Act on the Minister personally’, and that the content of the ‘national interest’ for the purposes of cl 790.227 cannot be read as a ‘freestanding concept divorced in its context in the Act and Regulations’.</w:t>
      </w:r>
      <w:r w:rsidR="004F6510">
        <w:rPr>
          <w:rStyle w:val="FootnoteReference"/>
          <w:rFonts w:ascii="Times New Roman" w:hAnsi="Times New Roman" w:cs="Times New Roman"/>
          <w:bCs/>
          <w:sz w:val="24"/>
        </w:rPr>
        <w:footnoteReference w:id="128"/>
      </w:r>
      <w:r w:rsidR="004F6510">
        <w:rPr>
          <w:rFonts w:ascii="Times New Roman" w:hAnsi="Times New Roman" w:cs="Times New Roman"/>
          <w:bCs/>
          <w:sz w:val="24"/>
        </w:rPr>
        <w:t xml:space="preserve"> The fact of ENT19’s conviction</w:t>
      </w:r>
      <w:r w:rsidR="00C92E06">
        <w:rPr>
          <w:rFonts w:ascii="Times New Roman" w:hAnsi="Times New Roman" w:cs="Times New Roman"/>
          <w:bCs/>
          <w:sz w:val="24"/>
        </w:rPr>
        <w:t xml:space="preserve"> for people smuggling (and associated considerations), which had not been used to refuse him a visa under s 501 at an earlier stage of the decision-making process, ‘cannot be resurrected as part of the same decision-making process to form the basis of a decision relying on cl 790.227’.</w:t>
      </w:r>
      <w:r w:rsidR="00C92E06">
        <w:rPr>
          <w:rStyle w:val="FootnoteReference"/>
          <w:rFonts w:ascii="Times New Roman" w:hAnsi="Times New Roman" w:cs="Times New Roman"/>
          <w:bCs/>
          <w:sz w:val="24"/>
        </w:rPr>
        <w:footnoteReference w:id="129"/>
      </w:r>
      <w:r w:rsidR="0067444E">
        <w:rPr>
          <w:rFonts w:ascii="Times New Roman" w:hAnsi="Times New Roman" w:cs="Times New Roman"/>
          <w:bCs/>
          <w:sz w:val="24"/>
        </w:rPr>
        <w:t xml:space="preserve"> </w:t>
      </w:r>
    </w:p>
    <w:p w14:paraId="42F0F476" w14:textId="77777777" w:rsidR="0067444E" w:rsidRDefault="0067444E" w:rsidP="00E33B82">
      <w:pPr>
        <w:spacing w:line="360" w:lineRule="auto"/>
        <w:jc w:val="both"/>
        <w:rPr>
          <w:rFonts w:ascii="Times New Roman" w:hAnsi="Times New Roman" w:cs="Times New Roman"/>
          <w:bCs/>
          <w:sz w:val="24"/>
        </w:rPr>
      </w:pPr>
    </w:p>
    <w:p w14:paraId="3653E3CD" w14:textId="6A8489F4" w:rsidR="006664D5" w:rsidRDefault="0067444E" w:rsidP="00E33B82">
      <w:pPr>
        <w:spacing w:line="360" w:lineRule="auto"/>
        <w:jc w:val="both"/>
        <w:rPr>
          <w:rFonts w:ascii="Times New Roman" w:hAnsi="Times New Roman" w:cs="Times New Roman"/>
          <w:bCs/>
          <w:sz w:val="24"/>
        </w:rPr>
      </w:pPr>
      <w:r>
        <w:rPr>
          <w:rFonts w:ascii="Times New Roman" w:hAnsi="Times New Roman" w:cs="Times New Roman"/>
          <w:bCs/>
          <w:sz w:val="24"/>
        </w:rPr>
        <w:t xml:space="preserve">The High Court proceedings in </w:t>
      </w:r>
      <w:r>
        <w:rPr>
          <w:rFonts w:ascii="Times New Roman" w:hAnsi="Times New Roman" w:cs="Times New Roman"/>
          <w:bCs/>
          <w:i/>
          <w:iCs/>
          <w:sz w:val="24"/>
        </w:rPr>
        <w:t>ENT19</w:t>
      </w:r>
      <w:r>
        <w:rPr>
          <w:rFonts w:ascii="Times New Roman" w:hAnsi="Times New Roman" w:cs="Times New Roman"/>
          <w:bCs/>
          <w:sz w:val="24"/>
        </w:rPr>
        <w:t xml:space="preserve"> are not directly relevant to this article, because</w:t>
      </w:r>
      <w:r w:rsidR="005B0315">
        <w:rPr>
          <w:rFonts w:ascii="Times New Roman" w:hAnsi="Times New Roman" w:cs="Times New Roman"/>
          <w:bCs/>
          <w:sz w:val="24"/>
        </w:rPr>
        <w:t xml:space="preserve"> (unlike the preceding Full Federal Court judgment)</w:t>
      </w:r>
      <w:r>
        <w:rPr>
          <w:rFonts w:ascii="Times New Roman" w:hAnsi="Times New Roman" w:cs="Times New Roman"/>
          <w:bCs/>
          <w:sz w:val="24"/>
        </w:rPr>
        <w:t xml:space="preserve"> they do not concern the interaction of the national interest and </w:t>
      </w:r>
      <w:r w:rsidR="005B0315">
        <w:rPr>
          <w:rFonts w:ascii="Times New Roman" w:hAnsi="Times New Roman" w:cs="Times New Roman"/>
          <w:bCs/>
          <w:sz w:val="24"/>
        </w:rPr>
        <w:t>non-</w:t>
      </w:r>
      <w:r w:rsidR="005B0315">
        <w:rPr>
          <w:rFonts w:ascii="Times New Roman" w:hAnsi="Times New Roman" w:cs="Times New Roman"/>
          <w:bCs/>
          <w:i/>
          <w:iCs/>
          <w:sz w:val="24"/>
        </w:rPr>
        <w:t xml:space="preserve">refoulement </w:t>
      </w:r>
      <w:r w:rsidR="005B0315">
        <w:rPr>
          <w:rFonts w:ascii="Times New Roman" w:hAnsi="Times New Roman" w:cs="Times New Roman"/>
          <w:bCs/>
          <w:sz w:val="24"/>
        </w:rPr>
        <w:t>obligations.</w:t>
      </w:r>
      <w:r>
        <w:rPr>
          <w:rFonts w:ascii="Times New Roman" w:hAnsi="Times New Roman" w:cs="Times New Roman"/>
          <w:bCs/>
          <w:sz w:val="24"/>
        </w:rPr>
        <w:t xml:space="preserve"> </w:t>
      </w:r>
      <w:r w:rsidR="005B0315">
        <w:rPr>
          <w:rFonts w:ascii="Times New Roman" w:hAnsi="Times New Roman" w:cs="Times New Roman"/>
          <w:bCs/>
          <w:sz w:val="24"/>
        </w:rPr>
        <w:t xml:space="preserve">But the two </w:t>
      </w:r>
      <w:r w:rsidR="00FE66AE">
        <w:rPr>
          <w:rFonts w:ascii="Times New Roman" w:hAnsi="Times New Roman" w:cs="Times New Roman"/>
          <w:bCs/>
          <w:sz w:val="24"/>
        </w:rPr>
        <w:t xml:space="preserve">judgments both illustrate the role for the courts in policing the outer boundaries of the term ‘national interest’. The Full Federal Court </w:t>
      </w:r>
      <w:r w:rsidR="00FE66AE">
        <w:rPr>
          <w:rFonts w:ascii="Times New Roman" w:hAnsi="Times New Roman" w:cs="Times New Roman"/>
          <w:bCs/>
          <w:sz w:val="24"/>
        </w:rPr>
        <w:lastRenderedPageBreak/>
        <w:t xml:space="preserve">in </w:t>
      </w:r>
      <w:r w:rsidR="00FE66AE">
        <w:rPr>
          <w:rFonts w:ascii="Times New Roman" w:hAnsi="Times New Roman" w:cs="Times New Roman"/>
          <w:bCs/>
          <w:i/>
          <w:iCs/>
          <w:sz w:val="24"/>
        </w:rPr>
        <w:t>ENT19</w:t>
      </w:r>
      <w:r w:rsidR="00FE66AE">
        <w:rPr>
          <w:rFonts w:ascii="Times New Roman" w:hAnsi="Times New Roman" w:cs="Times New Roman"/>
          <w:bCs/>
          <w:sz w:val="24"/>
        </w:rPr>
        <w:t xml:space="preserve">, as in </w:t>
      </w:r>
      <w:r w:rsidR="00FE66AE">
        <w:rPr>
          <w:rFonts w:ascii="Times New Roman" w:hAnsi="Times New Roman" w:cs="Times New Roman"/>
          <w:bCs/>
          <w:i/>
          <w:iCs/>
          <w:sz w:val="24"/>
        </w:rPr>
        <w:t>CWY20</w:t>
      </w:r>
      <w:r w:rsidR="00FE66AE">
        <w:rPr>
          <w:rFonts w:ascii="Times New Roman" w:hAnsi="Times New Roman" w:cs="Times New Roman"/>
          <w:bCs/>
          <w:sz w:val="24"/>
        </w:rPr>
        <w:t xml:space="preserve">, took the view that certain concepts may inherently inform ‘the national interest’ </w:t>
      </w:r>
      <w:r w:rsidR="00922D47">
        <w:rPr>
          <w:rFonts w:ascii="Times New Roman" w:hAnsi="Times New Roman" w:cs="Times New Roman"/>
          <w:bCs/>
          <w:sz w:val="24"/>
        </w:rPr>
        <w:t xml:space="preserve">– </w:t>
      </w:r>
      <w:r w:rsidR="00FE66AE">
        <w:rPr>
          <w:rFonts w:ascii="Times New Roman" w:hAnsi="Times New Roman" w:cs="Times New Roman"/>
          <w:bCs/>
          <w:sz w:val="24"/>
        </w:rPr>
        <w:t xml:space="preserve">at least in the circumstances of particular cases. </w:t>
      </w:r>
    </w:p>
    <w:p w14:paraId="1785C1B5" w14:textId="77777777" w:rsidR="006664D5" w:rsidRDefault="006664D5" w:rsidP="00E33B82">
      <w:pPr>
        <w:spacing w:line="360" w:lineRule="auto"/>
        <w:jc w:val="both"/>
        <w:rPr>
          <w:rFonts w:ascii="Times New Roman" w:hAnsi="Times New Roman" w:cs="Times New Roman"/>
          <w:bCs/>
          <w:sz w:val="24"/>
        </w:rPr>
      </w:pPr>
    </w:p>
    <w:p w14:paraId="049895E9" w14:textId="41488E3E" w:rsidR="0067444E" w:rsidRPr="00FE66AE" w:rsidRDefault="00FE66AE" w:rsidP="00E33B82">
      <w:pPr>
        <w:spacing w:line="360" w:lineRule="auto"/>
        <w:jc w:val="both"/>
        <w:rPr>
          <w:rFonts w:ascii="Times New Roman" w:hAnsi="Times New Roman" w:cs="Times New Roman"/>
          <w:bCs/>
          <w:sz w:val="24"/>
        </w:rPr>
      </w:pPr>
      <w:r>
        <w:rPr>
          <w:rFonts w:ascii="Times New Roman" w:hAnsi="Times New Roman" w:cs="Times New Roman"/>
          <w:bCs/>
          <w:sz w:val="24"/>
        </w:rPr>
        <w:t xml:space="preserve">The High Court in </w:t>
      </w:r>
      <w:r>
        <w:rPr>
          <w:rFonts w:ascii="Times New Roman" w:hAnsi="Times New Roman" w:cs="Times New Roman"/>
          <w:bCs/>
          <w:i/>
          <w:iCs/>
          <w:sz w:val="24"/>
        </w:rPr>
        <w:t>CWY20</w:t>
      </w:r>
      <w:r>
        <w:rPr>
          <w:rFonts w:ascii="Times New Roman" w:hAnsi="Times New Roman" w:cs="Times New Roman"/>
          <w:bCs/>
          <w:sz w:val="24"/>
        </w:rPr>
        <w:t xml:space="preserve"> took the view that the use of the term ‘national interest’ within a particular statutory context may similarly inform meaning, and that some concepts may fall </w:t>
      </w:r>
      <w:r>
        <w:rPr>
          <w:rFonts w:ascii="Times New Roman" w:hAnsi="Times New Roman" w:cs="Times New Roman"/>
          <w:bCs/>
          <w:i/>
          <w:iCs/>
          <w:sz w:val="24"/>
        </w:rPr>
        <w:t xml:space="preserve">outside </w:t>
      </w:r>
      <w:r>
        <w:rPr>
          <w:rFonts w:ascii="Times New Roman" w:hAnsi="Times New Roman" w:cs="Times New Roman"/>
          <w:bCs/>
          <w:sz w:val="24"/>
        </w:rPr>
        <w:t>the ‘national interest’ as used within that context. Neither construction denies considerable Executive discretion in identifying the content of the ‘national interest’. But neither construction renders the meaning of the term ‘national interest’ wholly for the Executive to determine.</w:t>
      </w:r>
    </w:p>
    <w:p w14:paraId="7693BAA3" w14:textId="77777777" w:rsidR="00545934" w:rsidRPr="00411383" w:rsidRDefault="00545934" w:rsidP="00E33B82">
      <w:pPr>
        <w:spacing w:line="360" w:lineRule="auto"/>
        <w:jc w:val="both"/>
        <w:rPr>
          <w:rFonts w:ascii="Times New Roman" w:hAnsi="Times New Roman" w:cs="Times New Roman"/>
          <w:bCs/>
          <w:sz w:val="24"/>
        </w:rPr>
      </w:pPr>
    </w:p>
    <w:p w14:paraId="1AAEAEDB" w14:textId="376C249D" w:rsidR="00504CA9" w:rsidRPr="009A5B3C" w:rsidRDefault="00F52B00" w:rsidP="00BE6C7F">
      <w:pPr>
        <w:rPr>
          <w:rFonts w:ascii="Times New Roman" w:hAnsi="Times New Roman" w:cs="Times New Roman"/>
          <w:b/>
          <w:i/>
          <w:iCs/>
          <w:sz w:val="24"/>
        </w:rPr>
      </w:pPr>
      <w:r w:rsidRPr="009A5B3C">
        <w:rPr>
          <w:rFonts w:ascii="Times New Roman" w:hAnsi="Times New Roman" w:cs="Times New Roman"/>
          <w:b/>
          <w:i/>
          <w:iCs/>
          <w:sz w:val="24"/>
        </w:rPr>
        <w:t>4</w:t>
      </w:r>
      <w:r w:rsidR="00504CA9" w:rsidRPr="009A5B3C">
        <w:rPr>
          <w:rFonts w:ascii="Times New Roman" w:hAnsi="Times New Roman" w:cs="Times New Roman"/>
          <w:b/>
          <w:i/>
          <w:iCs/>
          <w:sz w:val="24"/>
        </w:rPr>
        <w:t>.</w:t>
      </w:r>
      <w:r w:rsidR="00DC1FF3">
        <w:rPr>
          <w:rFonts w:ascii="Times New Roman" w:hAnsi="Times New Roman" w:cs="Times New Roman"/>
          <w:b/>
          <w:i/>
          <w:iCs/>
          <w:sz w:val="24"/>
        </w:rPr>
        <w:t>4</w:t>
      </w:r>
      <w:r w:rsidR="00DC1FF3">
        <w:rPr>
          <w:rFonts w:ascii="Times New Roman" w:hAnsi="Times New Roman" w:cs="Times New Roman"/>
          <w:b/>
          <w:i/>
          <w:iCs/>
          <w:sz w:val="24"/>
        </w:rPr>
        <w:tab/>
      </w:r>
      <w:r w:rsidR="00504CA9" w:rsidRPr="009A5B3C">
        <w:rPr>
          <w:rFonts w:ascii="Times New Roman" w:hAnsi="Times New Roman" w:cs="Times New Roman"/>
          <w:b/>
          <w:i/>
          <w:iCs/>
          <w:sz w:val="24"/>
        </w:rPr>
        <w:t>Plaintiff M1</w:t>
      </w:r>
      <w:r w:rsidR="002728FC" w:rsidRPr="009A5B3C">
        <w:rPr>
          <w:rFonts w:ascii="Times New Roman" w:hAnsi="Times New Roman" w:cs="Times New Roman"/>
          <w:b/>
          <w:i/>
          <w:iCs/>
          <w:sz w:val="24"/>
        </w:rPr>
        <w:t xml:space="preserve"> (HCA)</w:t>
      </w:r>
      <w:r w:rsidR="002B0734" w:rsidRPr="009A5B3C">
        <w:rPr>
          <w:rFonts w:ascii="Times New Roman" w:hAnsi="Times New Roman" w:cs="Times New Roman"/>
          <w:b/>
          <w:i/>
          <w:iCs/>
          <w:sz w:val="24"/>
        </w:rPr>
        <w:t xml:space="preserve">: The Migration Act as an </w:t>
      </w:r>
      <w:r w:rsidR="006E5939" w:rsidRPr="009A5B3C">
        <w:rPr>
          <w:rFonts w:ascii="Times New Roman" w:hAnsi="Times New Roman" w:cs="Times New Roman"/>
          <w:b/>
          <w:i/>
          <w:iCs/>
          <w:sz w:val="24"/>
        </w:rPr>
        <w:t>‘</w:t>
      </w:r>
      <w:r w:rsidR="002B0734" w:rsidRPr="009A5B3C">
        <w:rPr>
          <w:rFonts w:ascii="Times New Roman" w:hAnsi="Times New Roman" w:cs="Times New Roman"/>
          <w:b/>
          <w:i/>
          <w:iCs/>
          <w:sz w:val="24"/>
        </w:rPr>
        <w:t>Exhaustive Statement</w:t>
      </w:r>
      <w:r w:rsidR="006E5939" w:rsidRPr="009A5B3C">
        <w:rPr>
          <w:rFonts w:ascii="Times New Roman" w:hAnsi="Times New Roman" w:cs="Times New Roman"/>
          <w:b/>
          <w:i/>
          <w:iCs/>
          <w:sz w:val="24"/>
        </w:rPr>
        <w:t>’</w:t>
      </w:r>
      <w:r w:rsidR="002B0734" w:rsidRPr="009A5B3C">
        <w:rPr>
          <w:rFonts w:ascii="Times New Roman" w:hAnsi="Times New Roman" w:cs="Times New Roman"/>
          <w:b/>
          <w:i/>
          <w:iCs/>
          <w:sz w:val="24"/>
        </w:rPr>
        <w:t xml:space="preserve"> </w:t>
      </w:r>
    </w:p>
    <w:p w14:paraId="2724FDCF" w14:textId="77777777" w:rsidR="006D20FE" w:rsidRPr="00411383" w:rsidRDefault="006D20FE" w:rsidP="00E33B82">
      <w:pPr>
        <w:spacing w:line="360" w:lineRule="auto"/>
        <w:jc w:val="both"/>
        <w:rPr>
          <w:rFonts w:ascii="Times New Roman" w:hAnsi="Times New Roman" w:cs="Times New Roman"/>
          <w:bCs/>
          <w:sz w:val="24"/>
        </w:rPr>
      </w:pPr>
    </w:p>
    <w:p w14:paraId="67F883E2" w14:textId="13163314" w:rsidR="006D20FE" w:rsidRPr="00411383" w:rsidRDefault="009C3DDD"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The special leave determinations in </w:t>
      </w:r>
      <w:r w:rsidRPr="00411383">
        <w:rPr>
          <w:rFonts w:ascii="Times New Roman" w:hAnsi="Times New Roman" w:cs="Times New Roman"/>
          <w:bCs/>
          <w:i/>
          <w:iCs/>
          <w:sz w:val="24"/>
        </w:rPr>
        <w:t xml:space="preserve">CWY20 </w:t>
      </w:r>
      <w:r w:rsidRPr="00411383">
        <w:rPr>
          <w:rFonts w:ascii="Times New Roman" w:hAnsi="Times New Roman" w:cs="Times New Roman"/>
          <w:bCs/>
          <w:sz w:val="24"/>
        </w:rPr>
        <w:t xml:space="preserve">and </w:t>
      </w:r>
      <w:r w:rsidRPr="00411383">
        <w:rPr>
          <w:rFonts w:ascii="Times New Roman" w:hAnsi="Times New Roman" w:cs="Times New Roman"/>
          <w:bCs/>
          <w:i/>
          <w:iCs/>
          <w:sz w:val="24"/>
        </w:rPr>
        <w:t>ENT19</w:t>
      </w:r>
      <w:r w:rsidRPr="00411383">
        <w:rPr>
          <w:rFonts w:ascii="Times New Roman" w:hAnsi="Times New Roman" w:cs="Times New Roman"/>
          <w:bCs/>
          <w:sz w:val="24"/>
        </w:rPr>
        <w:t xml:space="preserve"> were made six days before the High Court’s judgment in </w:t>
      </w:r>
      <w:r w:rsidRPr="00411383">
        <w:rPr>
          <w:rFonts w:ascii="Times New Roman" w:hAnsi="Times New Roman" w:cs="Times New Roman"/>
          <w:bCs/>
          <w:i/>
          <w:iCs/>
          <w:sz w:val="24"/>
        </w:rPr>
        <w:t>M1</w:t>
      </w:r>
      <w:r w:rsidRPr="00411383">
        <w:rPr>
          <w:rFonts w:ascii="Times New Roman" w:hAnsi="Times New Roman" w:cs="Times New Roman"/>
          <w:bCs/>
          <w:sz w:val="24"/>
        </w:rPr>
        <w:t>.</w:t>
      </w:r>
      <w:r w:rsidRPr="00411383">
        <w:rPr>
          <w:rStyle w:val="FootnoteReference"/>
          <w:rFonts w:ascii="Times New Roman" w:hAnsi="Times New Roman" w:cs="Times New Roman"/>
          <w:bCs/>
          <w:sz w:val="24"/>
        </w:rPr>
        <w:footnoteReference w:id="130"/>
      </w:r>
      <w:r w:rsidRPr="00411383">
        <w:rPr>
          <w:rFonts w:ascii="Times New Roman" w:hAnsi="Times New Roman" w:cs="Times New Roman"/>
          <w:bCs/>
          <w:sz w:val="24"/>
        </w:rPr>
        <w:t xml:space="preserve"> That judgment has had significant consequences for the future of these doctrines.</w:t>
      </w:r>
      <w:r w:rsidR="006D20FE" w:rsidRPr="00411383">
        <w:rPr>
          <w:rFonts w:ascii="Times New Roman" w:hAnsi="Times New Roman" w:cs="Times New Roman"/>
          <w:bCs/>
          <w:sz w:val="24"/>
        </w:rPr>
        <w:t xml:space="preserve"> </w:t>
      </w:r>
    </w:p>
    <w:p w14:paraId="4808A196" w14:textId="77777777" w:rsidR="006D20FE" w:rsidRPr="00411383" w:rsidRDefault="006D20FE" w:rsidP="00E33B82">
      <w:pPr>
        <w:spacing w:line="360" w:lineRule="auto"/>
        <w:jc w:val="both"/>
        <w:rPr>
          <w:rFonts w:ascii="Times New Roman" w:hAnsi="Times New Roman" w:cs="Times New Roman"/>
          <w:bCs/>
          <w:sz w:val="24"/>
        </w:rPr>
      </w:pPr>
    </w:p>
    <w:p w14:paraId="0496491A" w14:textId="77777777" w:rsidR="00E12698" w:rsidRDefault="006D20FE"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The majority (</w:t>
      </w:r>
      <w:r w:rsidR="001430E3" w:rsidRPr="00411383">
        <w:rPr>
          <w:rFonts w:ascii="Times New Roman" w:hAnsi="Times New Roman" w:cs="Times New Roman"/>
          <w:bCs/>
          <w:sz w:val="24"/>
        </w:rPr>
        <w:t>Kiefel CJ, Keane, Gordon and Steward JJ)</w:t>
      </w:r>
      <w:r w:rsidRPr="00411383">
        <w:rPr>
          <w:rFonts w:ascii="Times New Roman" w:hAnsi="Times New Roman" w:cs="Times New Roman"/>
          <w:bCs/>
          <w:sz w:val="24"/>
        </w:rPr>
        <w:t xml:space="preserve"> declared that ‘Australia's non</w:t>
      </w:r>
      <w:r w:rsidRPr="00411383">
        <w:rPr>
          <w:rFonts w:ascii="Times New Roman" w:hAnsi="Times New Roman" w:cs="Times New Roman"/>
          <w:bCs/>
          <w:sz w:val="24"/>
        </w:rPr>
        <w:noBreakHyphen/>
        <w:t xml:space="preserve">refoulement obligations, to the extent enacted as domestic law, are addressed in the </w:t>
      </w:r>
      <w:r w:rsidRPr="00411383">
        <w:rPr>
          <w:rFonts w:ascii="Times New Roman" w:hAnsi="Times New Roman" w:cs="Times New Roman"/>
          <w:bCs/>
          <w:i/>
          <w:iCs/>
          <w:sz w:val="24"/>
        </w:rPr>
        <w:t>Migration Act</w:t>
      </w:r>
      <w:r w:rsidRPr="00411383">
        <w:rPr>
          <w:rFonts w:ascii="Times New Roman" w:hAnsi="Times New Roman" w:cs="Times New Roman"/>
          <w:bCs/>
          <w:sz w:val="24"/>
        </w:rPr>
        <w:t xml:space="preserve"> in provisions concerning the grant of protection visas, being a class of visa created specifically to allow decision</w:t>
      </w:r>
      <w:r w:rsidRPr="00411383">
        <w:rPr>
          <w:rFonts w:ascii="Times New Roman" w:hAnsi="Times New Roman" w:cs="Times New Roman"/>
          <w:bCs/>
          <w:sz w:val="24"/>
        </w:rPr>
        <w:noBreakHyphen/>
        <w:t>makers to grant visas to persons who cannot be removed from Australia consistently, but not co</w:t>
      </w:r>
      <w:r w:rsidRPr="00411383">
        <w:rPr>
          <w:rFonts w:ascii="Times New Roman" w:hAnsi="Times New Roman" w:cs="Times New Roman"/>
          <w:bCs/>
          <w:sz w:val="24"/>
        </w:rPr>
        <w:noBreakHyphen/>
        <w:t>extensively, with Australia's non</w:t>
      </w:r>
      <w:r w:rsidRPr="00411383">
        <w:rPr>
          <w:rFonts w:ascii="Times New Roman" w:hAnsi="Times New Roman" w:cs="Times New Roman"/>
          <w:bCs/>
          <w:sz w:val="24"/>
        </w:rPr>
        <w:noBreakHyphen/>
        <w:t>refoulement obligations under international law’.</w:t>
      </w:r>
      <w:r w:rsidRPr="00411383">
        <w:rPr>
          <w:rStyle w:val="FootnoteReference"/>
          <w:rFonts w:ascii="Times New Roman" w:hAnsi="Times New Roman" w:cs="Times New Roman"/>
          <w:bCs/>
          <w:sz w:val="24"/>
        </w:rPr>
        <w:footnoteReference w:id="131"/>
      </w:r>
      <w:r w:rsidRPr="00411383">
        <w:rPr>
          <w:rFonts w:ascii="Times New Roman" w:hAnsi="Times New Roman" w:cs="Times New Roman"/>
          <w:bCs/>
          <w:sz w:val="24"/>
        </w:rPr>
        <w:t xml:space="preserve"> As a consequence of this, the High Court rejected numerous Full Court authorities (including </w:t>
      </w:r>
      <w:r w:rsidRPr="00411383">
        <w:rPr>
          <w:rFonts w:ascii="Times New Roman" w:hAnsi="Times New Roman" w:cs="Times New Roman"/>
          <w:bCs/>
          <w:i/>
          <w:iCs/>
          <w:sz w:val="24"/>
        </w:rPr>
        <w:t>Ali</w:t>
      </w:r>
      <w:r w:rsidRPr="00411383">
        <w:rPr>
          <w:rFonts w:ascii="Times New Roman" w:hAnsi="Times New Roman" w:cs="Times New Roman"/>
          <w:bCs/>
          <w:sz w:val="24"/>
        </w:rPr>
        <w:t xml:space="preserve">) identifying error by decision-makers in ‘failing to properly consider </w:t>
      </w:r>
      <w:r w:rsidRPr="00411383">
        <w:rPr>
          <w:rFonts w:ascii="Times New Roman" w:hAnsi="Times New Roman" w:cs="Times New Roman"/>
          <w:bCs/>
          <w:i/>
          <w:iCs/>
          <w:sz w:val="24"/>
        </w:rPr>
        <w:t>the consequences</w:t>
      </w:r>
      <w:r w:rsidRPr="00411383">
        <w:rPr>
          <w:rFonts w:ascii="Times New Roman" w:hAnsi="Times New Roman" w:cs="Times New Roman"/>
          <w:bCs/>
          <w:sz w:val="24"/>
        </w:rPr>
        <w:t xml:space="preserve">, both to a former visa holder and to Australia (for example, the impact on Australia's reputation and standing in the global community), which would flow from removing a former visa holder </w:t>
      </w:r>
      <w:r w:rsidRPr="00411383">
        <w:rPr>
          <w:rFonts w:ascii="Times New Roman" w:hAnsi="Times New Roman" w:cs="Times New Roman"/>
          <w:bCs/>
          <w:i/>
          <w:iCs/>
          <w:sz w:val="24"/>
        </w:rPr>
        <w:t>contrary to</w:t>
      </w:r>
      <w:r w:rsidRPr="00411383">
        <w:rPr>
          <w:rFonts w:ascii="Times New Roman" w:hAnsi="Times New Roman" w:cs="Times New Roman"/>
          <w:bCs/>
          <w:sz w:val="24"/>
        </w:rPr>
        <w:t xml:space="preserve"> non</w:t>
      </w:r>
      <w:r w:rsidRPr="00411383">
        <w:rPr>
          <w:rFonts w:ascii="Times New Roman" w:hAnsi="Times New Roman" w:cs="Times New Roman"/>
          <w:bCs/>
          <w:sz w:val="24"/>
        </w:rPr>
        <w:noBreakHyphen/>
        <w:t>refoulement obligations under international law’.</w:t>
      </w:r>
      <w:r w:rsidRPr="00411383">
        <w:rPr>
          <w:rStyle w:val="FootnoteReference"/>
          <w:rFonts w:ascii="Times New Roman" w:hAnsi="Times New Roman" w:cs="Times New Roman"/>
          <w:bCs/>
          <w:sz w:val="24"/>
        </w:rPr>
        <w:footnoteReference w:id="132"/>
      </w:r>
      <w:r w:rsidRPr="00411383">
        <w:rPr>
          <w:rFonts w:ascii="Times New Roman" w:hAnsi="Times New Roman" w:cs="Times New Roman"/>
          <w:bCs/>
          <w:sz w:val="24"/>
        </w:rPr>
        <w:t xml:space="preserve"> </w:t>
      </w:r>
    </w:p>
    <w:p w14:paraId="2189F97A" w14:textId="77777777" w:rsidR="00E12698" w:rsidRDefault="00E12698" w:rsidP="00E33B82">
      <w:pPr>
        <w:spacing w:line="360" w:lineRule="auto"/>
        <w:jc w:val="both"/>
        <w:rPr>
          <w:rFonts w:ascii="Times New Roman" w:hAnsi="Times New Roman" w:cs="Times New Roman"/>
          <w:bCs/>
          <w:sz w:val="24"/>
        </w:rPr>
      </w:pPr>
    </w:p>
    <w:p w14:paraId="21872E1D" w14:textId="55B238EB" w:rsidR="00C04AE0" w:rsidRPr="00411383" w:rsidRDefault="006D20FE"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According to the High Court, this line of authority ‘ignored the choice Parliament made about the extent to, and manner in, which Australia's international non</w:t>
      </w:r>
      <w:r w:rsidRPr="00411383">
        <w:rPr>
          <w:rFonts w:ascii="Times New Roman" w:hAnsi="Times New Roman" w:cs="Times New Roman"/>
          <w:bCs/>
          <w:sz w:val="24"/>
        </w:rPr>
        <w:noBreakHyphen/>
        <w:t xml:space="preserve">refoulement obligations are incorporated into the </w:t>
      </w:r>
      <w:r w:rsidRPr="00411383">
        <w:rPr>
          <w:rFonts w:ascii="Times New Roman" w:hAnsi="Times New Roman" w:cs="Times New Roman"/>
          <w:bCs/>
          <w:i/>
          <w:iCs/>
          <w:sz w:val="24"/>
        </w:rPr>
        <w:t>Migration Act</w:t>
      </w:r>
      <w:r w:rsidRPr="00411383">
        <w:rPr>
          <w:rFonts w:ascii="Times New Roman" w:hAnsi="Times New Roman" w:cs="Times New Roman"/>
          <w:bCs/>
          <w:sz w:val="24"/>
        </w:rPr>
        <w:t>’.</w:t>
      </w:r>
      <w:r w:rsidRPr="00411383">
        <w:rPr>
          <w:rStyle w:val="FootnoteReference"/>
          <w:rFonts w:ascii="Times New Roman" w:hAnsi="Times New Roman" w:cs="Times New Roman"/>
          <w:bCs/>
          <w:sz w:val="24"/>
        </w:rPr>
        <w:footnoteReference w:id="133"/>
      </w:r>
      <w:r w:rsidR="00421FB6" w:rsidRPr="00411383">
        <w:rPr>
          <w:rFonts w:ascii="Times New Roman" w:hAnsi="Times New Roman" w:cs="Times New Roman"/>
          <w:bCs/>
          <w:sz w:val="24"/>
        </w:rPr>
        <w:t xml:space="preserve"> The </w:t>
      </w:r>
      <w:r w:rsidR="00421FB6" w:rsidRPr="00411383">
        <w:rPr>
          <w:rFonts w:ascii="Times New Roman" w:hAnsi="Times New Roman" w:cs="Times New Roman"/>
          <w:bCs/>
          <w:i/>
          <w:iCs/>
          <w:sz w:val="24"/>
        </w:rPr>
        <w:t>Migration Act</w:t>
      </w:r>
      <w:r w:rsidR="00421FB6" w:rsidRPr="00411383">
        <w:rPr>
          <w:rFonts w:ascii="Times New Roman" w:hAnsi="Times New Roman" w:cs="Times New Roman"/>
          <w:bCs/>
          <w:sz w:val="24"/>
        </w:rPr>
        <w:t xml:space="preserve"> </w:t>
      </w:r>
      <w:r w:rsidR="00E12698">
        <w:rPr>
          <w:rFonts w:ascii="Times New Roman" w:hAnsi="Times New Roman" w:cs="Times New Roman"/>
          <w:bCs/>
          <w:sz w:val="24"/>
        </w:rPr>
        <w:t xml:space="preserve">was hence </w:t>
      </w:r>
      <w:r w:rsidR="00421FB6" w:rsidRPr="00411383">
        <w:rPr>
          <w:rFonts w:ascii="Times New Roman" w:hAnsi="Times New Roman" w:cs="Times New Roman"/>
          <w:bCs/>
          <w:sz w:val="24"/>
        </w:rPr>
        <w:t xml:space="preserve">taken to include an </w:t>
      </w:r>
      <w:r w:rsidR="00421FB6" w:rsidRPr="00411383">
        <w:rPr>
          <w:rFonts w:ascii="Times New Roman" w:hAnsi="Times New Roman" w:cs="Times New Roman"/>
          <w:bCs/>
          <w:sz w:val="24"/>
        </w:rPr>
        <w:lastRenderedPageBreak/>
        <w:t xml:space="preserve">exhaustive statement of Australia’s international obligations for the purposes of domestic law – and obligations beyond those incorporated into the </w:t>
      </w:r>
      <w:r w:rsidR="00421FB6" w:rsidRPr="00411383">
        <w:rPr>
          <w:rFonts w:ascii="Times New Roman" w:hAnsi="Times New Roman" w:cs="Times New Roman"/>
          <w:bCs/>
          <w:i/>
          <w:iCs/>
          <w:sz w:val="24"/>
        </w:rPr>
        <w:t xml:space="preserve">Act </w:t>
      </w:r>
      <w:r w:rsidR="00421FB6" w:rsidRPr="00411383">
        <w:rPr>
          <w:rFonts w:ascii="Times New Roman" w:hAnsi="Times New Roman" w:cs="Times New Roman"/>
          <w:bCs/>
          <w:sz w:val="24"/>
        </w:rPr>
        <w:t xml:space="preserve">are hence not taken to have been given domestic legal effect. </w:t>
      </w:r>
    </w:p>
    <w:p w14:paraId="04A8A0C0" w14:textId="77777777" w:rsidR="009410FA" w:rsidRPr="00411383" w:rsidRDefault="009410FA" w:rsidP="00E33B82">
      <w:pPr>
        <w:spacing w:line="360" w:lineRule="auto"/>
        <w:jc w:val="both"/>
        <w:rPr>
          <w:rFonts w:ascii="Times New Roman" w:hAnsi="Times New Roman" w:cs="Times New Roman"/>
          <w:bCs/>
          <w:sz w:val="24"/>
        </w:rPr>
      </w:pPr>
    </w:p>
    <w:p w14:paraId="1A9DDC61" w14:textId="6C1F1159" w:rsidR="00B153EE" w:rsidRDefault="00BF4DAA" w:rsidP="00E33B82">
      <w:pPr>
        <w:spacing w:line="360" w:lineRule="auto"/>
        <w:jc w:val="both"/>
        <w:rPr>
          <w:rFonts w:ascii="Times New Roman" w:hAnsi="Times New Roman" w:cs="Times New Roman"/>
          <w:sz w:val="24"/>
        </w:rPr>
      </w:pPr>
      <w:r>
        <w:rPr>
          <w:rFonts w:ascii="Times New Roman" w:hAnsi="Times New Roman" w:cs="Times New Roman"/>
          <w:bCs/>
          <w:sz w:val="24"/>
        </w:rPr>
        <w:t xml:space="preserve">Interestingly, </w:t>
      </w:r>
      <w:r w:rsidR="008D5BC6" w:rsidRPr="00411383">
        <w:rPr>
          <w:rFonts w:ascii="Times New Roman" w:hAnsi="Times New Roman" w:cs="Times New Roman"/>
          <w:bCs/>
          <w:sz w:val="24"/>
        </w:rPr>
        <w:t>the judgement in</w:t>
      </w:r>
      <w:r w:rsidR="008D5BC6" w:rsidRPr="00411383">
        <w:rPr>
          <w:rFonts w:ascii="Times New Roman" w:hAnsi="Times New Roman" w:cs="Times New Roman"/>
          <w:bCs/>
          <w:i/>
          <w:iCs/>
          <w:sz w:val="24"/>
        </w:rPr>
        <w:t xml:space="preserve"> </w:t>
      </w:r>
      <w:r w:rsidR="007B4287" w:rsidRPr="00411383">
        <w:rPr>
          <w:rFonts w:ascii="Times New Roman" w:hAnsi="Times New Roman" w:cs="Times New Roman"/>
          <w:bCs/>
          <w:i/>
          <w:iCs/>
          <w:sz w:val="24"/>
        </w:rPr>
        <w:t>M1</w:t>
      </w:r>
      <w:r w:rsidR="007B4287" w:rsidRPr="00411383">
        <w:rPr>
          <w:rFonts w:ascii="Times New Roman" w:hAnsi="Times New Roman" w:cs="Times New Roman"/>
          <w:bCs/>
          <w:sz w:val="24"/>
        </w:rPr>
        <w:t xml:space="preserve"> does not cite the High Court’s earlier judgment in </w:t>
      </w:r>
      <w:r w:rsidR="007B4287" w:rsidRPr="00411383">
        <w:rPr>
          <w:rFonts w:ascii="Times New Roman" w:hAnsi="Times New Roman" w:cs="Times New Roman"/>
          <w:bCs/>
          <w:i/>
          <w:iCs/>
          <w:sz w:val="24"/>
        </w:rPr>
        <w:t>MIEA v Teoh</w:t>
      </w:r>
      <w:r w:rsidR="00E03B29" w:rsidRPr="00411383">
        <w:rPr>
          <w:rFonts w:ascii="Times New Roman" w:hAnsi="Times New Roman" w:cs="Times New Roman"/>
          <w:bCs/>
          <w:sz w:val="24"/>
        </w:rPr>
        <w:t>.</w:t>
      </w:r>
      <w:r w:rsidR="007B4287" w:rsidRPr="00411383">
        <w:rPr>
          <w:rStyle w:val="FootnoteReference"/>
          <w:rFonts w:ascii="Times New Roman" w:hAnsi="Times New Roman" w:cs="Times New Roman"/>
          <w:bCs/>
          <w:sz w:val="24"/>
        </w:rPr>
        <w:footnoteReference w:id="134"/>
      </w:r>
      <w:r w:rsidR="00E03B29" w:rsidRPr="00411383">
        <w:rPr>
          <w:rFonts w:ascii="Times New Roman" w:hAnsi="Times New Roman" w:cs="Times New Roman"/>
          <w:bCs/>
          <w:sz w:val="24"/>
        </w:rPr>
        <w:t xml:space="preserve"> </w:t>
      </w:r>
      <w:r w:rsidR="00F06673">
        <w:rPr>
          <w:rFonts w:ascii="Times New Roman" w:hAnsi="Times New Roman" w:cs="Times New Roman"/>
          <w:bCs/>
          <w:sz w:val="24"/>
        </w:rPr>
        <w:t xml:space="preserve">As discussed above in Part 2, </w:t>
      </w:r>
      <w:r w:rsidR="00E03B29" w:rsidRPr="00411383">
        <w:rPr>
          <w:rFonts w:ascii="Times New Roman" w:hAnsi="Times New Roman" w:cs="Times New Roman"/>
          <w:bCs/>
          <w:sz w:val="24"/>
        </w:rPr>
        <w:t xml:space="preserve">Mason CJ and Deane J’s statement in that case </w:t>
      </w:r>
      <w:r w:rsidR="00C03A32">
        <w:rPr>
          <w:rFonts w:ascii="Times New Roman" w:hAnsi="Times New Roman" w:cs="Times New Roman"/>
          <w:bCs/>
          <w:sz w:val="24"/>
        </w:rPr>
        <w:t xml:space="preserve">was </w:t>
      </w:r>
      <w:r w:rsidR="00E03B29" w:rsidRPr="00411383">
        <w:rPr>
          <w:rFonts w:ascii="Times New Roman" w:hAnsi="Times New Roman" w:cs="Times New Roman"/>
          <w:bCs/>
          <w:sz w:val="24"/>
        </w:rPr>
        <w:t>that ratification of a treaty without valid incorporation by statute was ‘</w:t>
      </w:r>
      <w:r w:rsidR="00E03B29" w:rsidRPr="00411383">
        <w:rPr>
          <w:rFonts w:ascii="Times New Roman" w:hAnsi="Times New Roman" w:cs="Times New Roman"/>
          <w:sz w:val="24"/>
        </w:rPr>
        <w:t>not to be dismissed as a merely platitudinous or ineffectual act’, but was instead to be viewed as ‘a positive statement by the executive government of this country to the world and to the Australian people that the executive government and its agencies will act in accordance with the Convention’</w:t>
      </w:r>
      <w:r w:rsidR="00C03A32">
        <w:rPr>
          <w:rFonts w:ascii="Times New Roman" w:hAnsi="Times New Roman" w:cs="Times New Roman"/>
          <w:sz w:val="24"/>
        </w:rPr>
        <w:t>.</w:t>
      </w:r>
      <w:r w:rsidR="00E03B29" w:rsidRPr="00411383">
        <w:rPr>
          <w:rStyle w:val="FootnoteReference"/>
          <w:rFonts w:ascii="Times New Roman" w:hAnsi="Times New Roman" w:cs="Times New Roman"/>
          <w:sz w:val="24"/>
        </w:rPr>
        <w:footnoteReference w:id="135"/>
      </w:r>
      <w:r w:rsidR="00B832D6" w:rsidRPr="00411383">
        <w:rPr>
          <w:rFonts w:ascii="Times New Roman" w:hAnsi="Times New Roman" w:cs="Times New Roman"/>
          <w:sz w:val="24"/>
        </w:rPr>
        <w:t xml:space="preserve"> </w:t>
      </w:r>
      <w:r w:rsidR="00B2155E">
        <w:rPr>
          <w:rFonts w:ascii="Times New Roman" w:hAnsi="Times New Roman" w:cs="Times New Roman"/>
          <w:sz w:val="24"/>
        </w:rPr>
        <w:t xml:space="preserve">Significantly, this </w:t>
      </w:r>
      <w:r w:rsidR="00B832D6" w:rsidRPr="00411383">
        <w:rPr>
          <w:rFonts w:ascii="Times New Roman" w:hAnsi="Times New Roman" w:cs="Times New Roman"/>
          <w:sz w:val="24"/>
        </w:rPr>
        <w:t xml:space="preserve">was relied upon by Griffiths J in </w:t>
      </w:r>
      <w:r w:rsidR="00B832D6" w:rsidRPr="00411383">
        <w:rPr>
          <w:rFonts w:ascii="Times New Roman" w:hAnsi="Times New Roman" w:cs="Times New Roman"/>
          <w:i/>
          <w:iCs/>
          <w:sz w:val="24"/>
        </w:rPr>
        <w:t>CWY20</w:t>
      </w:r>
      <w:r w:rsidR="00B832D6" w:rsidRPr="00411383">
        <w:rPr>
          <w:rFonts w:ascii="Times New Roman" w:hAnsi="Times New Roman" w:cs="Times New Roman"/>
          <w:sz w:val="24"/>
        </w:rPr>
        <w:t xml:space="preserve"> at first instance</w:t>
      </w:r>
      <w:r w:rsidR="00B832D6" w:rsidRPr="00411383">
        <w:rPr>
          <w:rStyle w:val="FootnoteReference"/>
          <w:rFonts w:ascii="Times New Roman" w:hAnsi="Times New Roman" w:cs="Times New Roman"/>
          <w:sz w:val="24"/>
        </w:rPr>
        <w:footnoteReference w:id="136"/>
      </w:r>
      <w:r w:rsidR="00B832D6" w:rsidRPr="00411383">
        <w:rPr>
          <w:rFonts w:ascii="Times New Roman" w:hAnsi="Times New Roman" w:cs="Times New Roman"/>
          <w:sz w:val="24"/>
        </w:rPr>
        <w:t xml:space="preserve"> and, as noted above, by Besanko J on appeal.</w:t>
      </w:r>
      <w:r w:rsidR="00B832D6" w:rsidRPr="00411383">
        <w:rPr>
          <w:rStyle w:val="FootnoteReference"/>
          <w:rFonts w:ascii="Times New Roman" w:hAnsi="Times New Roman" w:cs="Times New Roman"/>
          <w:bCs/>
          <w:sz w:val="24"/>
        </w:rPr>
        <w:footnoteReference w:id="137"/>
      </w:r>
      <w:r w:rsidR="002410F9" w:rsidRPr="00411383">
        <w:rPr>
          <w:rFonts w:ascii="Times New Roman" w:hAnsi="Times New Roman" w:cs="Times New Roman"/>
          <w:sz w:val="24"/>
        </w:rPr>
        <w:t xml:space="preserve"> </w:t>
      </w:r>
    </w:p>
    <w:p w14:paraId="18241A2F" w14:textId="77777777" w:rsidR="00B153EE" w:rsidRDefault="00B153EE" w:rsidP="00E33B82">
      <w:pPr>
        <w:spacing w:line="360" w:lineRule="auto"/>
        <w:jc w:val="both"/>
        <w:rPr>
          <w:rFonts w:ascii="Times New Roman" w:hAnsi="Times New Roman" w:cs="Times New Roman"/>
          <w:sz w:val="24"/>
        </w:rPr>
      </w:pPr>
    </w:p>
    <w:p w14:paraId="298DA1A1" w14:textId="41209C42" w:rsidR="009410FA" w:rsidRPr="00A07F1D" w:rsidRDefault="002410F9" w:rsidP="00E33B82">
      <w:pPr>
        <w:spacing w:line="360" w:lineRule="auto"/>
        <w:jc w:val="both"/>
        <w:rPr>
          <w:rFonts w:ascii="Times New Roman" w:hAnsi="Times New Roman" w:cs="Times New Roman"/>
          <w:sz w:val="24"/>
        </w:rPr>
      </w:pPr>
      <w:r w:rsidRPr="00411383">
        <w:rPr>
          <w:rFonts w:ascii="Times New Roman" w:hAnsi="Times New Roman" w:cs="Times New Roman"/>
          <w:sz w:val="24"/>
        </w:rPr>
        <w:t xml:space="preserve">As </w:t>
      </w:r>
      <w:r w:rsidR="006B38EC" w:rsidRPr="00411383">
        <w:rPr>
          <w:rFonts w:ascii="Times New Roman" w:hAnsi="Times New Roman" w:cs="Times New Roman"/>
          <w:sz w:val="24"/>
        </w:rPr>
        <w:t>McHugh and Gummow JJ</w:t>
      </w:r>
      <w:r w:rsidRPr="00411383">
        <w:rPr>
          <w:rFonts w:ascii="Times New Roman" w:hAnsi="Times New Roman" w:cs="Times New Roman"/>
          <w:sz w:val="24"/>
        </w:rPr>
        <w:t xml:space="preserve"> observed in </w:t>
      </w:r>
      <w:r w:rsidRPr="00411383">
        <w:rPr>
          <w:rFonts w:ascii="Times New Roman" w:hAnsi="Times New Roman" w:cs="Times New Roman"/>
          <w:i/>
          <w:iCs/>
          <w:sz w:val="24"/>
        </w:rPr>
        <w:t>Ex parte Lam</w:t>
      </w:r>
      <w:r w:rsidRPr="00411383">
        <w:rPr>
          <w:rFonts w:ascii="Times New Roman" w:hAnsi="Times New Roman" w:cs="Times New Roman"/>
          <w:sz w:val="24"/>
        </w:rPr>
        <w:t xml:space="preserve">, there is a tension within </w:t>
      </w:r>
      <w:r w:rsidRPr="00411383">
        <w:rPr>
          <w:rFonts w:ascii="Times New Roman" w:hAnsi="Times New Roman" w:cs="Times New Roman"/>
          <w:i/>
          <w:iCs/>
          <w:sz w:val="24"/>
        </w:rPr>
        <w:t>Teoh</w:t>
      </w:r>
      <w:r w:rsidRPr="00411383">
        <w:rPr>
          <w:rFonts w:ascii="Times New Roman" w:hAnsi="Times New Roman" w:cs="Times New Roman"/>
          <w:sz w:val="24"/>
        </w:rPr>
        <w:t xml:space="preserve"> between the proposition that international obligations ‘are not mandatory relevant considerations attracting judicial review for jurisdictional error’ and the corollary that ‘such matters are to be treated, if </w:t>
      </w:r>
      <w:r w:rsidRPr="00411383">
        <w:rPr>
          <w:rFonts w:ascii="Times New Roman" w:hAnsi="Times New Roman" w:cs="Times New Roman"/>
          <w:i/>
          <w:iCs/>
          <w:sz w:val="24"/>
        </w:rPr>
        <w:t xml:space="preserve">Teoh </w:t>
      </w:r>
      <w:r w:rsidRPr="00411383">
        <w:rPr>
          <w:rFonts w:ascii="Times New Roman" w:hAnsi="Times New Roman" w:cs="Times New Roman"/>
          <w:sz w:val="24"/>
        </w:rPr>
        <w:t>be taken as establishing any general proposition in this area, as mandatory relevant considerations for that species of judicial review concerned with procedural fairness’.</w:t>
      </w:r>
      <w:r w:rsidR="00C86454" w:rsidRPr="00411383">
        <w:rPr>
          <w:rStyle w:val="FootnoteReference"/>
          <w:rFonts w:ascii="Times New Roman" w:hAnsi="Times New Roman" w:cs="Times New Roman"/>
          <w:sz w:val="24"/>
        </w:rPr>
        <w:footnoteReference w:id="138"/>
      </w:r>
      <w:r w:rsidR="006B38EC" w:rsidRPr="00411383">
        <w:rPr>
          <w:rFonts w:ascii="Times New Roman" w:hAnsi="Times New Roman" w:cs="Times New Roman"/>
          <w:sz w:val="24"/>
        </w:rPr>
        <w:t xml:space="preserve"> It was not necessary in </w:t>
      </w:r>
      <w:r w:rsidR="006B38EC" w:rsidRPr="00411383">
        <w:rPr>
          <w:rFonts w:ascii="Times New Roman" w:hAnsi="Times New Roman" w:cs="Times New Roman"/>
          <w:i/>
          <w:iCs/>
          <w:sz w:val="24"/>
        </w:rPr>
        <w:t>Ex parte Lam</w:t>
      </w:r>
      <w:r w:rsidR="006B38EC" w:rsidRPr="00411383">
        <w:rPr>
          <w:rFonts w:ascii="Times New Roman" w:hAnsi="Times New Roman" w:cs="Times New Roman"/>
          <w:sz w:val="24"/>
        </w:rPr>
        <w:t xml:space="preserve"> to determine the continued correctness of </w:t>
      </w:r>
      <w:r w:rsidR="006B38EC" w:rsidRPr="00411383">
        <w:rPr>
          <w:rFonts w:ascii="Times New Roman" w:hAnsi="Times New Roman" w:cs="Times New Roman"/>
          <w:i/>
          <w:iCs/>
          <w:sz w:val="24"/>
        </w:rPr>
        <w:t>Teoh</w:t>
      </w:r>
      <w:r w:rsidR="006B38EC" w:rsidRPr="00411383">
        <w:rPr>
          <w:rFonts w:ascii="Times New Roman" w:hAnsi="Times New Roman" w:cs="Times New Roman"/>
          <w:sz w:val="24"/>
        </w:rPr>
        <w:t>,</w:t>
      </w:r>
      <w:r w:rsidR="006B38EC" w:rsidRPr="00411383">
        <w:rPr>
          <w:rStyle w:val="FootnoteReference"/>
          <w:rFonts w:ascii="Times New Roman" w:hAnsi="Times New Roman" w:cs="Times New Roman"/>
          <w:sz w:val="24"/>
        </w:rPr>
        <w:footnoteReference w:id="139"/>
      </w:r>
      <w:r w:rsidR="009F3468" w:rsidRPr="00411383">
        <w:rPr>
          <w:rFonts w:ascii="Times New Roman" w:hAnsi="Times New Roman" w:cs="Times New Roman"/>
          <w:sz w:val="24"/>
        </w:rPr>
        <w:t xml:space="preserve"> and the ‘legitimate expectations’ doctrine </w:t>
      </w:r>
      <w:r w:rsidR="0032364C" w:rsidRPr="00411383">
        <w:rPr>
          <w:rFonts w:ascii="Times New Roman" w:hAnsi="Times New Roman" w:cs="Times New Roman"/>
          <w:sz w:val="24"/>
        </w:rPr>
        <w:t xml:space="preserve">relied upon in </w:t>
      </w:r>
      <w:r w:rsidR="0032364C" w:rsidRPr="00411383">
        <w:rPr>
          <w:rFonts w:ascii="Times New Roman" w:hAnsi="Times New Roman" w:cs="Times New Roman"/>
          <w:i/>
          <w:iCs/>
          <w:sz w:val="24"/>
        </w:rPr>
        <w:t>Teoh</w:t>
      </w:r>
      <w:r w:rsidR="0032364C" w:rsidRPr="00411383">
        <w:rPr>
          <w:rFonts w:ascii="Times New Roman" w:hAnsi="Times New Roman" w:cs="Times New Roman"/>
          <w:sz w:val="24"/>
        </w:rPr>
        <w:t xml:space="preserve"> (and questioned in </w:t>
      </w:r>
      <w:r w:rsidR="0032364C" w:rsidRPr="00411383">
        <w:rPr>
          <w:rFonts w:ascii="Times New Roman" w:hAnsi="Times New Roman" w:cs="Times New Roman"/>
          <w:i/>
          <w:iCs/>
          <w:sz w:val="24"/>
        </w:rPr>
        <w:t>Ex parte Lam</w:t>
      </w:r>
      <w:r w:rsidR="0032364C" w:rsidRPr="00411383">
        <w:rPr>
          <w:rFonts w:ascii="Times New Roman" w:hAnsi="Times New Roman" w:cs="Times New Roman"/>
          <w:sz w:val="24"/>
        </w:rPr>
        <w:t>)</w:t>
      </w:r>
      <w:r w:rsidR="009F3468" w:rsidRPr="00411383">
        <w:rPr>
          <w:rFonts w:ascii="Times New Roman" w:hAnsi="Times New Roman" w:cs="Times New Roman"/>
          <w:sz w:val="24"/>
        </w:rPr>
        <w:t xml:space="preserve"> has since been abandoned.</w:t>
      </w:r>
      <w:r w:rsidR="0032364C" w:rsidRPr="00411383">
        <w:rPr>
          <w:rStyle w:val="FootnoteReference"/>
          <w:rFonts w:ascii="Times New Roman" w:hAnsi="Times New Roman" w:cs="Times New Roman"/>
          <w:sz w:val="24"/>
        </w:rPr>
        <w:footnoteReference w:id="140"/>
      </w:r>
      <w:r w:rsidR="009C50E7" w:rsidRPr="00411383">
        <w:rPr>
          <w:rFonts w:ascii="Times New Roman" w:hAnsi="Times New Roman" w:cs="Times New Roman"/>
          <w:sz w:val="24"/>
        </w:rPr>
        <w:t xml:space="preserve"> </w:t>
      </w:r>
      <w:r w:rsidR="009C50E7" w:rsidRPr="00411383">
        <w:rPr>
          <w:rFonts w:ascii="Times New Roman" w:hAnsi="Times New Roman" w:cs="Times New Roman"/>
          <w:i/>
          <w:iCs/>
          <w:sz w:val="24"/>
        </w:rPr>
        <w:t>M1</w:t>
      </w:r>
      <w:r w:rsidR="009C50E7" w:rsidRPr="00411383">
        <w:rPr>
          <w:rFonts w:ascii="Times New Roman" w:hAnsi="Times New Roman" w:cs="Times New Roman"/>
          <w:sz w:val="24"/>
        </w:rPr>
        <w:t xml:space="preserve"> reinforce</w:t>
      </w:r>
      <w:bookmarkStart w:id="1" w:name="_Hlk154744848"/>
      <w:r w:rsidR="009C50E7" w:rsidRPr="00411383">
        <w:rPr>
          <w:rFonts w:ascii="Times New Roman" w:hAnsi="Times New Roman" w:cs="Times New Roman"/>
          <w:sz w:val="24"/>
        </w:rPr>
        <w:t xml:space="preserve">s </w:t>
      </w:r>
      <w:r w:rsidR="009C50E7" w:rsidRPr="00411383">
        <w:rPr>
          <w:rFonts w:ascii="Times New Roman" w:hAnsi="Times New Roman" w:cs="Times New Roman"/>
          <w:i/>
          <w:iCs/>
          <w:sz w:val="24"/>
        </w:rPr>
        <w:t>Teoh</w:t>
      </w:r>
      <w:r w:rsidR="009C50E7" w:rsidRPr="00411383">
        <w:rPr>
          <w:rFonts w:ascii="Times New Roman" w:hAnsi="Times New Roman" w:cs="Times New Roman"/>
          <w:sz w:val="24"/>
        </w:rPr>
        <w:t xml:space="preserve">’s acknowledgment that international obligations do not form mandatory relevant considerations in domestic law of their own accord, while allowing little space for any contemporary ‘corollary’ to that principle by which international obligations may nonetheless give rise to jurisdictional error through other means </w:t>
      </w:r>
      <w:r w:rsidR="00A07F1D">
        <w:rPr>
          <w:rFonts w:ascii="Times New Roman" w:hAnsi="Times New Roman" w:cs="Times New Roman"/>
          <w:sz w:val="24"/>
        </w:rPr>
        <w:t xml:space="preserve">– </w:t>
      </w:r>
      <w:r w:rsidR="009C50E7" w:rsidRPr="00411383">
        <w:rPr>
          <w:rFonts w:ascii="Times New Roman" w:hAnsi="Times New Roman" w:cs="Times New Roman"/>
          <w:sz w:val="24"/>
        </w:rPr>
        <w:t xml:space="preserve">such as, for example, through review for legal unreasonableness. </w:t>
      </w:r>
      <w:bookmarkEnd w:id="1"/>
    </w:p>
    <w:p w14:paraId="36963366" w14:textId="77777777" w:rsidR="00826297" w:rsidRPr="00411383" w:rsidRDefault="00826297" w:rsidP="00E33B82">
      <w:pPr>
        <w:spacing w:line="360" w:lineRule="auto"/>
        <w:jc w:val="both"/>
        <w:rPr>
          <w:rFonts w:ascii="Times New Roman" w:hAnsi="Times New Roman" w:cs="Times New Roman"/>
          <w:bCs/>
          <w:sz w:val="24"/>
        </w:rPr>
      </w:pPr>
    </w:p>
    <w:p w14:paraId="0B37ABFE" w14:textId="69E7A3C1" w:rsidR="006D20FE" w:rsidRPr="00411383" w:rsidRDefault="00C04AE0"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lastRenderedPageBreak/>
        <w:t xml:space="preserve">In </w:t>
      </w:r>
      <w:r w:rsidRPr="00411383">
        <w:rPr>
          <w:rFonts w:ascii="Times New Roman" w:hAnsi="Times New Roman" w:cs="Times New Roman"/>
          <w:bCs/>
          <w:i/>
          <w:iCs/>
          <w:sz w:val="24"/>
        </w:rPr>
        <w:t>M1</w:t>
      </w:r>
      <w:r w:rsidRPr="00411383">
        <w:rPr>
          <w:rFonts w:ascii="Times New Roman" w:hAnsi="Times New Roman" w:cs="Times New Roman"/>
          <w:bCs/>
          <w:sz w:val="24"/>
        </w:rPr>
        <w:t>,</w:t>
      </w:r>
      <w:r w:rsidRPr="00411383">
        <w:rPr>
          <w:rFonts w:ascii="Times New Roman" w:hAnsi="Times New Roman" w:cs="Times New Roman"/>
          <w:bCs/>
          <w:i/>
          <w:iCs/>
          <w:sz w:val="24"/>
        </w:rPr>
        <w:t xml:space="preserve"> </w:t>
      </w:r>
      <w:r w:rsidRPr="00411383">
        <w:rPr>
          <w:rFonts w:ascii="Times New Roman" w:hAnsi="Times New Roman" w:cs="Times New Roman"/>
          <w:bCs/>
          <w:sz w:val="24"/>
        </w:rPr>
        <w:t>t</w:t>
      </w:r>
      <w:r w:rsidR="006D20FE" w:rsidRPr="00411383">
        <w:rPr>
          <w:rFonts w:ascii="Times New Roman" w:hAnsi="Times New Roman" w:cs="Times New Roman"/>
          <w:bCs/>
          <w:sz w:val="24"/>
        </w:rPr>
        <w:t>he High Court identified numerous Federal Court and Full Federal Court authorities as inconsistent with its analysis.</w:t>
      </w:r>
      <w:r w:rsidR="006D20FE" w:rsidRPr="00411383">
        <w:rPr>
          <w:rStyle w:val="FootnoteReference"/>
          <w:rFonts w:ascii="Times New Roman" w:hAnsi="Times New Roman" w:cs="Times New Roman"/>
          <w:bCs/>
          <w:sz w:val="24"/>
        </w:rPr>
        <w:footnoteReference w:id="141"/>
      </w:r>
      <w:r w:rsidR="006D20FE" w:rsidRPr="00411383">
        <w:rPr>
          <w:rFonts w:ascii="Times New Roman" w:hAnsi="Times New Roman" w:cs="Times New Roman"/>
          <w:bCs/>
          <w:sz w:val="24"/>
        </w:rPr>
        <w:t xml:space="preserve"> </w:t>
      </w:r>
      <w:r w:rsidR="006D20FE" w:rsidRPr="00411383">
        <w:rPr>
          <w:rFonts w:ascii="Times New Roman" w:hAnsi="Times New Roman" w:cs="Times New Roman"/>
          <w:bCs/>
          <w:i/>
          <w:iCs/>
          <w:sz w:val="24"/>
        </w:rPr>
        <w:t>CWY20</w:t>
      </w:r>
      <w:r w:rsidR="006D20FE" w:rsidRPr="00411383">
        <w:rPr>
          <w:rFonts w:ascii="Times New Roman" w:hAnsi="Times New Roman" w:cs="Times New Roman"/>
          <w:bCs/>
          <w:sz w:val="24"/>
        </w:rPr>
        <w:t xml:space="preserve"> and </w:t>
      </w:r>
      <w:r w:rsidR="006D20FE" w:rsidRPr="00411383">
        <w:rPr>
          <w:rFonts w:ascii="Times New Roman" w:hAnsi="Times New Roman" w:cs="Times New Roman"/>
          <w:bCs/>
          <w:i/>
          <w:iCs/>
          <w:sz w:val="24"/>
        </w:rPr>
        <w:t>ENT19</w:t>
      </w:r>
      <w:r w:rsidR="006D20FE" w:rsidRPr="00411383">
        <w:rPr>
          <w:rFonts w:ascii="Times New Roman" w:hAnsi="Times New Roman" w:cs="Times New Roman"/>
          <w:bCs/>
          <w:sz w:val="24"/>
        </w:rPr>
        <w:t xml:space="preserve"> were not among the cases listed by the High Court in its footnotes. But the question thereby arose whether those cases had been </w:t>
      </w:r>
      <w:r w:rsidR="006D20FE" w:rsidRPr="00411383">
        <w:rPr>
          <w:rFonts w:ascii="Times New Roman" w:hAnsi="Times New Roman" w:cs="Times New Roman"/>
          <w:bCs/>
          <w:i/>
          <w:iCs/>
          <w:sz w:val="24"/>
        </w:rPr>
        <w:t xml:space="preserve">implicitly </w:t>
      </w:r>
      <w:r w:rsidR="006D20FE" w:rsidRPr="00411383">
        <w:rPr>
          <w:rFonts w:ascii="Times New Roman" w:hAnsi="Times New Roman" w:cs="Times New Roman"/>
          <w:bCs/>
          <w:sz w:val="24"/>
        </w:rPr>
        <w:t xml:space="preserve">overruled by </w:t>
      </w:r>
      <w:r w:rsidR="00C9284A">
        <w:rPr>
          <w:rFonts w:ascii="Times New Roman" w:hAnsi="Times New Roman" w:cs="Times New Roman"/>
          <w:bCs/>
          <w:i/>
          <w:iCs/>
          <w:sz w:val="24"/>
        </w:rPr>
        <w:t>M1</w:t>
      </w:r>
      <w:r w:rsidR="006D20FE" w:rsidRPr="00411383">
        <w:rPr>
          <w:rFonts w:ascii="Times New Roman" w:hAnsi="Times New Roman" w:cs="Times New Roman"/>
          <w:bCs/>
          <w:sz w:val="24"/>
        </w:rPr>
        <w:t>.</w:t>
      </w:r>
    </w:p>
    <w:p w14:paraId="417CAA37" w14:textId="77777777" w:rsidR="00EC7453" w:rsidRPr="00411383" w:rsidRDefault="00EC7453" w:rsidP="00E33B82">
      <w:pPr>
        <w:spacing w:line="360" w:lineRule="auto"/>
        <w:jc w:val="both"/>
        <w:rPr>
          <w:rFonts w:ascii="Times New Roman" w:hAnsi="Times New Roman" w:cs="Times New Roman"/>
          <w:bCs/>
          <w:sz w:val="24"/>
        </w:rPr>
      </w:pPr>
    </w:p>
    <w:p w14:paraId="3FBB6142" w14:textId="768211EE" w:rsidR="00FF6D3F" w:rsidRPr="00EF1A4E" w:rsidRDefault="00F52B00" w:rsidP="00BE6C7F">
      <w:pPr>
        <w:keepNext/>
        <w:spacing w:line="360" w:lineRule="auto"/>
        <w:jc w:val="both"/>
        <w:rPr>
          <w:rFonts w:ascii="Times New Roman" w:hAnsi="Times New Roman" w:cs="Times New Roman"/>
          <w:b/>
          <w:i/>
          <w:iCs/>
          <w:sz w:val="24"/>
        </w:rPr>
      </w:pPr>
      <w:r w:rsidRPr="00EF1A4E">
        <w:rPr>
          <w:rFonts w:ascii="Times New Roman" w:hAnsi="Times New Roman" w:cs="Times New Roman"/>
          <w:b/>
          <w:i/>
          <w:iCs/>
          <w:sz w:val="24"/>
        </w:rPr>
        <w:t>4</w:t>
      </w:r>
      <w:r w:rsidR="00312603" w:rsidRPr="00EF1A4E">
        <w:rPr>
          <w:rFonts w:ascii="Times New Roman" w:hAnsi="Times New Roman" w:cs="Times New Roman"/>
          <w:b/>
          <w:i/>
          <w:iCs/>
          <w:sz w:val="24"/>
        </w:rPr>
        <w:t>.</w:t>
      </w:r>
      <w:r w:rsidR="00DC1FF3">
        <w:rPr>
          <w:rFonts w:ascii="Times New Roman" w:hAnsi="Times New Roman" w:cs="Times New Roman"/>
          <w:b/>
          <w:i/>
          <w:iCs/>
          <w:sz w:val="24"/>
        </w:rPr>
        <w:t>5</w:t>
      </w:r>
      <w:r w:rsidR="00FF6D3F" w:rsidRPr="00EF1A4E">
        <w:rPr>
          <w:rFonts w:ascii="Times New Roman" w:hAnsi="Times New Roman" w:cs="Times New Roman"/>
          <w:b/>
          <w:i/>
          <w:iCs/>
          <w:sz w:val="24"/>
        </w:rPr>
        <w:tab/>
      </w:r>
      <w:r w:rsidR="00DD3507" w:rsidRPr="00EF1A4E">
        <w:rPr>
          <w:rFonts w:ascii="Times New Roman" w:hAnsi="Times New Roman" w:cs="Times New Roman"/>
          <w:b/>
          <w:i/>
          <w:iCs/>
          <w:sz w:val="24"/>
        </w:rPr>
        <w:t>BNGP (F</w:t>
      </w:r>
      <w:r w:rsidRPr="00EF1A4E">
        <w:rPr>
          <w:rFonts w:ascii="Times New Roman" w:hAnsi="Times New Roman" w:cs="Times New Roman"/>
          <w:b/>
          <w:i/>
          <w:iCs/>
          <w:sz w:val="24"/>
        </w:rPr>
        <w:t>C</w:t>
      </w:r>
      <w:r w:rsidR="00DD3507" w:rsidRPr="00EF1A4E">
        <w:rPr>
          <w:rFonts w:ascii="Times New Roman" w:hAnsi="Times New Roman" w:cs="Times New Roman"/>
          <w:b/>
          <w:i/>
          <w:iCs/>
          <w:sz w:val="24"/>
        </w:rPr>
        <w:t>A</w:t>
      </w:r>
      <w:r w:rsidR="008E3A6D" w:rsidRPr="00EF1A4E">
        <w:rPr>
          <w:rFonts w:ascii="Times New Roman" w:hAnsi="Times New Roman" w:cs="Times New Roman"/>
          <w:b/>
          <w:i/>
          <w:iCs/>
          <w:sz w:val="24"/>
        </w:rPr>
        <w:t>FC)</w:t>
      </w:r>
      <w:r w:rsidR="002014E4" w:rsidRPr="00EF1A4E">
        <w:rPr>
          <w:rFonts w:ascii="Times New Roman" w:hAnsi="Times New Roman" w:cs="Times New Roman"/>
          <w:b/>
          <w:i/>
          <w:iCs/>
          <w:sz w:val="24"/>
        </w:rPr>
        <w:t>: The Implications of the ‘Exhaustive Statement’</w:t>
      </w:r>
    </w:p>
    <w:p w14:paraId="0F4F3DC6" w14:textId="77777777" w:rsidR="00301E26" w:rsidRPr="00411383" w:rsidRDefault="00301E26" w:rsidP="00BE6C7F">
      <w:pPr>
        <w:keepNext/>
        <w:spacing w:line="360" w:lineRule="auto"/>
        <w:jc w:val="both"/>
        <w:rPr>
          <w:rFonts w:ascii="Times New Roman" w:hAnsi="Times New Roman" w:cs="Times New Roman"/>
          <w:bCs/>
          <w:sz w:val="24"/>
        </w:rPr>
      </w:pPr>
    </w:p>
    <w:p w14:paraId="4D843C50" w14:textId="76F6CA19" w:rsidR="00301E26" w:rsidRPr="00411383" w:rsidRDefault="00301E26"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In </w:t>
      </w:r>
      <w:r w:rsidR="00BC12CD" w:rsidRPr="00411383">
        <w:rPr>
          <w:rFonts w:ascii="Times New Roman" w:hAnsi="Times New Roman" w:cs="Times New Roman"/>
          <w:bCs/>
          <w:i/>
          <w:iCs/>
          <w:sz w:val="24"/>
        </w:rPr>
        <w:t>BNGP v Minister for Immigration, Citizenship and Multicultural Affairs</w:t>
      </w:r>
      <w:r w:rsidR="00BC12CD" w:rsidRPr="00411383">
        <w:rPr>
          <w:rFonts w:ascii="Times New Roman" w:hAnsi="Times New Roman" w:cs="Times New Roman"/>
          <w:bCs/>
          <w:sz w:val="24"/>
        </w:rPr>
        <w:t>,</w:t>
      </w:r>
      <w:r w:rsidR="009E6EE7" w:rsidRPr="00411383">
        <w:rPr>
          <w:rFonts w:ascii="Times New Roman" w:hAnsi="Times New Roman" w:cs="Times New Roman"/>
          <w:bCs/>
          <w:sz w:val="24"/>
        </w:rPr>
        <w:t xml:space="preserve"> the Full Court considered a potential extension of the principles in </w:t>
      </w:r>
      <w:r w:rsidR="009E6EE7" w:rsidRPr="00411383">
        <w:rPr>
          <w:rFonts w:ascii="Times New Roman" w:hAnsi="Times New Roman" w:cs="Times New Roman"/>
          <w:bCs/>
          <w:i/>
          <w:iCs/>
          <w:sz w:val="24"/>
        </w:rPr>
        <w:t>CWY20</w:t>
      </w:r>
      <w:r w:rsidR="009E6EE7" w:rsidRPr="00411383">
        <w:rPr>
          <w:rFonts w:ascii="Times New Roman" w:hAnsi="Times New Roman" w:cs="Times New Roman"/>
          <w:bCs/>
          <w:sz w:val="24"/>
        </w:rPr>
        <w:t xml:space="preserve"> and </w:t>
      </w:r>
      <w:r w:rsidR="009E6EE7" w:rsidRPr="00411383">
        <w:rPr>
          <w:rFonts w:ascii="Times New Roman" w:hAnsi="Times New Roman" w:cs="Times New Roman"/>
          <w:bCs/>
          <w:i/>
          <w:iCs/>
          <w:sz w:val="24"/>
        </w:rPr>
        <w:t>ENT19</w:t>
      </w:r>
      <w:r w:rsidR="009E6EE7" w:rsidRPr="00411383">
        <w:rPr>
          <w:rFonts w:ascii="Times New Roman" w:hAnsi="Times New Roman" w:cs="Times New Roman"/>
          <w:bCs/>
          <w:sz w:val="24"/>
        </w:rPr>
        <w:t xml:space="preserve"> – but decided instead that those cases were inconsistent with </w:t>
      </w:r>
      <w:r w:rsidR="00F4688A" w:rsidRPr="00411383">
        <w:rPr>
          <w:rFonts w:ascii="Times New Roman" w:hAnsi="Times New Roman" w:cs="Times New Roman"/>
          <w:bCs/>
          <w:i/>
          <w:iCs/>
          <w:sz w:val="24"/>
        </w:rPr>
        <w:t>M1</w:t>
      </w:r>
      <w:r w:rsidR="009E6EE7" w:rsidRPr="00411383">
        <w:rPr>
          <w:rFonts w:ascii="Times New Roman" w:hAnsi="Times New Roman" w:cs="Times New Roman"/>
          <w:bCs/>
          <w:sz w:val="24"/>
        </w:rPr>
        <w:t xml:space="preserve"> and found that both judgments had been impliedly overruled.</w:t>
      </w:r>
      <w:r w:rsidR="005151F8" w:rsidRPr="00411383">
        <w:rPr>
          <w:rFonts w:ascii="Times New Roman" w:hAnsi="Times New Roman" w:cs="Times New Roman"/>
          <w:bCs/>
          <w:sz w:val="24"/>
        </w:rPr>
        <w:t xml:space="preserve"> This, in turn, has substantially narrowed the potential scope for review of national interest determinations.</w:t>
      </w:r>
    </w:p>
    <w:p w14:paraId="79BB6490" w14:textId="77777777" w:rsidR="00290051" w:rsidRPr="00411383" w:rsidRDefault="00290051" w:rsidP="00E33B82">
      <w:pPr>
        <w:spacing w:line="360" w:lineRule="auto"/>
        <w:jc w:val="both"/>
        <w:rPr>
          <w:rFonts w:ascii="Times New Roman" w:hAnsi="Times New Roman" w:cs="Times New Roman"/>
          <w:bCs/>
          <w:sz w:val="24"/>
        </w:rPr>
      </w:pPr>
    </w:p>
    <w:p w14:paraId="6302FE21" w14:textId="3545B9EA" w:rsidR="007A223A" w:rsidRPr="00411383" w:rsidRDefault="00685141"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The impugned decision in </w:t>
      </w:r>
      <w:r w:rsidRPr="00411383">
        <w:rPr>
          <w:rFonts w:ascii="Times New Roman" w:hAnsi="Times New Roman" w:cs="Times New Roman"/>
          <w:bCs/>
          <w:i/>
          <w:iCs/>
          <w:sz w:val="24"/>
        </w:rPr>
        <w:t>BNGP</w:t>
      </w:r>
      <w:r w:rsidRPr="00411383">
        <w:rPr>
          <w:rFonts w:ascii="Times New Roman" w:hAnsi="Times New Roman" w:cs="Times New Roman"/>
          <w:bCs/>
          <w:sz w:val="24"/>
        </w:rPr>
        <w:t xml:space="preserve"> was a decision to refuse to grant the appellant a protection visa under s 501A(2)</w:t>
      </w:r>
      <w:r w:rsidR="00615834" w:rsidRPr="00411383">
        <w:rPr>
          <w:rFonts w:ascii="Times New Roman" w:hAnsi="Times New Roman" w:cs="Times New Roman"/>
          <w:bCs/>
          <w:sz w:val="24"/>
        </w:rPr>
        <w:t>. Like in those cases, the Minister accepted that Australia owed non-</w:t>
      </w:r>
      <w:r w:rsidR="00615834" w:rsidRPr="00411383">
        <w:rPr>
          <w:rFonts w:ascii="Times New Roman" w:hAnsi="Times New Roman" w:cs="Times New Roman"/>
          <w:bCs/>
          <w:i/>
          <w:iCs/>
          <w:sz w:val="24"/>
        </w:rPr>
        <w:t xml:space="preserve">refoulement </w:t>
      </w:r>
      <w:r w:rsidR="00615834" w:rsidRPr="00411383">
        <w:rPr>
          <w:rFonts w:ascii="Times New Roman" w:hAnsi="Times New Roman" w:cs="Times New Roman"/>
          <w:bCs/>
          <w:sz w:val="24"/>
        </w:rPr>
        <w:t xml:space="preserve">obligations in respect of BNGP. BNGP </w:t>
      </w:r>
      <w:r w:rsidRPr="00411383">
        <w:rPr>
          <w:rFonts w:ascii="Times New Roman" w:hAnsi="Times New Roman" w:cs="Times New Roman"/>
          <w:bCs/>
          <w:sz w:val="24"/>
        </w:rPr>
        <w:t xml:space="preserve">did not face the prospect of </w:t>
      </w:r>
      <w:r w:rsidRPr="00411383">
        <w:rPr>
          <w:rFonts w:ascii="Times New Roman" w:hAnsi="Times New Roman" w:cs="Times New Roman"/>
          <w:bCs/>
          <w:i/>
          <w:iCs/>
          <w:sz w:val="24"/>
        </w:rPr>
        <w:t>refoulement</w:t>
      </w:r>
      <w:r w:rsidRPr="00411383">
        <w:rPr>
          <w:rFonts w:ascii="Times New Roman" w:hAnsi="Times New Roman" w:cs="Times New Roman"/>
          <w:bCs/>
          <w:sz w:val="24"/>
        </w:rPr>
        <w:t xml:space="preserve"> </w:t>
      </w:r>
      <w:r w:rsidR="00615834" w:rsidRPr="00411383">
        <w:rPr>
          <w:rFonts w:ascii="Times New Roman" w:hAnsi="Times New Roman" w:cs="Times New Roman"/>
          <w:bCs/>
          <w:sz w:val="24"/>
        </w:rPr>
        <w:t>(because a ‘protection finding’ had been made</w:t>
      </w:r>
      <w:r w:rsidR="00636979" w:rsidRPr="00411383">
        <w:rPr>
          <w:rFonts w:ascii="Times New Roman" w:hAnsi="Times New Roman" w:cs="Times New Roman"/>
          <w:bCs/>
          <w:sz w:val="24"/>
        </w:rPr>
        <w:t xml:space="preserve"> for the purposes of s 197C – a result of amendments to the </w:t>
      </w:r>
      <w:r w:rsidR="00636979" w:rsidRPr="00411383">
        <w:rPr>
          <w:rFonts w:ascii="Times New Roman" w:hAnsi="Times New Roman" w:cs="Times New Roman"/>
          <w:bCs/>
          <w:i/>
          <w:iCs/>
          <w:sz w:val="24"/>
        </w:rPr>
        <w:t xml:space="preserve">Migration Act </w:t>
      </w:r>
      <w:r w:rsidR="003376E7" w:rsidRPr="00411383">
        <w:rPr>
          <w:rFonts w:ascii="Times New Roman" w:hAnsi="Times New Roman" w:cs="Times New Roman"/>
          <w:bCs/>
          <w:sz w:val="24"/>
        </w:rPr>
        <w:t xml:space="preserve">made </w:t>
      </w:r>
      <w:r w:rsidR="00636979" w:rsidRPr="00411383">
        <w:rPr>
          <w:rFonts w:ascii="Times New Roman" w:hAnsi="Times New Roman" w:cs="Times New Roman"/>
          <w:bCs/>
          <w:sz w:val="24"/>
        </w:rPr>
        <w:t xml:space="preserve">after the impugned decisions in </w:t>
      </w:r>
      <w:r w:rsidR="00636979" w:rsidRPr="00411383">
        <w:rPr>
          <w:rFonts w:ascii="Times New Roman" w:hAnsi="Times New Roman" w:cs="Times New Roman"/>
          <w:bCs/>
          <w:i/>
          <w:iCs/>
          <w:sz w:val="24"/>
        </w:rPr>
        <w:t>CWY20</w:t>
      </w:r>
      <w:r w:rsidR="00636979" w:rsidRPr="00411383">
        <w:rPr>
          <w:rFonts w:ascii="Times New Roman" w:hAnsi="Times New Roman" w:cs="Times New Roman"/>
          <w:bCs/>
          <w:sz w:val="24"/>
        </w:rPr>
        <w:t xml:space="preserve"> and </w:t>
      </w:r>
      <w:r w:rsidR="00636979" w:rsidRPr="00411383">
        <w:rPr>
          <w:rFonts w:ascii="Times New Roman" w:hAnsi="Times New Roman" w:cs="Times New Roman"/>
          <w:bCs/>
          <w:i/>
          <w:iCs/>
          <w:sz w:val="24"/>
        </w:rPr>
        <w:t>ENT19</w:t>
      </w:r>
      <w:r w:rsidR="00615834" w:rsidRPr="00411383">
        <w:rPr>
          <w:rFonts w:ascii="Times New Roman" w:hAnsi="Times New Roman" w:cs="Times New Roman"/>
          <w:bCs/>
          <w:sz w:val="24"/>
        </w:rPr>
        <w:t xml:space="preserve">). However, with the refusal of his visa application, he instead faced the prospect of indefinite detention </w:t>
      </w:r>
      <w:r w:rsidR="0061768B">
        <w:rPr>
          <w:rFonts w:ascii="Times New Roman" w:hAnsi="Times New Roman" w:cs="Times New Roman"/>
          <w:bCs/>
          <w:sz w:val="24"/>
        </w:rPr>
        <w:t xml:space="preserve">– </w:t>
      </w:r>
      <w:r w:rsidR="00615834" w:rsidRPr="00411383">
        <w:rPr>
          <w:rFonts w:ascii="Times New Roman" w:hAnsi="Times New Roman" w:cs="Times New Roman"/>
          <w:bCs/>
          <w:sz w:val="24"/>
        </w:rPr>
        <w:t>that is, ‘continued loss of liberty with no chronologically fixed endpoint, and no endpoint ascertainable by the individual concerned’</w:t>
      </w:r>
      <w:r w:rsidR="0061768B">
        <w:rPr>
          <w:rFonts w:ascii="Times New Roman" w:hAnsi="Times New Roman" w:cs="Times New Roman"/>
          <w:bCs/>
          <w:sz w:val="24"/>
        </w:rPr>
        <w:t>.</w:t>
      </w:r>
      <w:r w:rsidR="00615834" w:rsidRPr="00411383">
        <w:rPr>
          <w:rStyle w:val="FootnoteReference"/>
          <w:rFonts w:ascii="Times New Roman" w:hAnsi="Times New Roman" w:cs="Times New Roman"/>
          <w:bCs/>
          <w:sz w:val="24"/>
        </w:rPr>
        <w:footnoteReference w:id="142"/>
      </w:r>
      <w:r w:rsidR="00615834" w:rsidRPr="00411383">
        <w:rPr>
          <w:rFonts w:ascii="Times New Roman" w:hAnsi="Times New Roman" w:cs="Times New Roman"/>
          <w:bCs/>
          <w:sz w:val="24"/>
        </w:rPr>
        <w:t xml:space="preserve"> </w:t>
      </w:r>
      <w:r w:rsidR="00C7504A" w:rsidRPr="00411383">
        <w:rPr>
          <w:rFonts w:ascii="Times New Roman" w:hAnsi="Times New Roman" w:cs="Times New Roman"/>
          <w:bCs/>
          <w:sz w:val="24"/>
        </w:rPr>
        <w:t xml:space="preserve">BNGP contended that the Minister’s decision was affected by jurisdictional error because the Minister had failed to consider that </w:t>
      </w:r>
      <w:r w:rsidR="00D829F7" w:rsidRPr="00411383">
        <w:rPr>
          <w:rFonts w:ascii="Times New Roman" w:hAnsi="Times New Roman" w:cs="Times New Roman"/>
          <w:bCs/>
          <w:sz w:val="24"/>
        </w:rPr>
        <w:t xml:space="preserve">his </w:t>
      </w:r>
      <w:r w:rsidR="00C7504A" w:rsidRPr="00411383">
        <w:rPr>
          <w:rFonts w:ascii="Times New Roman" w:hAnsi="Times New Roman" w:cs="Times New Roman"/>
          <w:bCs/>
          <w:sz w:val="24"/>
        </w:rPr>
        <w:t>indefinite detention would place Australia in breach of its international treaty obligations.</w:t>
      </w:r>
      <w:r w:rsidR="007E3AB0" w:rsidRPr="00411383">
        <w:rPr>
          <w:rStyle w:val="FootnoteReference"/>
          <w:rFonts w:ascii="Times New Roman" w:hAnsi="Times New Roman" w:cs="Times New Roman"/>
          <w:bCs/>
          <w:sz w:val="24"/>
        </w:rPr>
        <w:footnoteReference w:id="143"/>
      </w:r>
    </w:p>
    <w:p w14:paraId="510D15F8" w14:textId="77777777" w:rsidR="00EB020B" w:rsidRPr="00411383" w:rsidRDefault="00EB020B" w:rsidP="00E33B82">
      <w:pPr>
        <w:spacing w:line="360" w:lineRule="auto"/>
        <w:jc w:val="both"/>
        <w:rPr>
          <w:rFonts w:ascii="Times New Roman" w:hAnsi="Times New Roman" w:cs="Times New Roman"/>
          <w:bCs/>
          <w:sz w:val="24"/>
        </w:rPr>
      </w:pPr>
    </w:p>
    <w:p w14:paraId="602C33A1" w14:textId="28FCF936" w:rsidR="00EB020B" w:rsidRPr="00411383" w:rsidRDefault="00EB020B"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All three members of the Full Court in </w:t>
      </w:r>
      <w:r w:rsidRPr="00411383">
        <w:rPr>
          <w:rFonts w:ascii="Times New Roman" w:hAnsi="Times New Roman" w:cs="Times New Roman"/>
          <w:bCs/>
          <w:i/>
          <w:iCs/>
          <w:sz w:val="24"/>
        </w:rPr>
        <w:t>BNGP</w:t>
      </w:r>
      <w:r w:rsidRPr="00411383">
        <w:rPr>
          <w:rFonts w:ascii="Times New Roman" w:hAnsi="Times New Roman" w:cs="Times New Roman"/>
          <w:bCs/>
          <w:sz w:val="24"/>
        </w:rPr>
        <w:t xml:space="preserve"> (Perry J, Bromwich J and Kennett J)</w:t>
      </w:r>
      <w:r w:rsidR="000D05EB" w:rsidRPr="00411383">
        <w:rPr>
          <w:rStyle w:val="FootnoteReference"/>
          <w:rFonts w:ascii="Times New Roman" w:hAnsi="Times New Roman" w:cs="Times New Roman"/>
          <w:bCs/>
          <w:sz w:val="24"/>
        </w:rPr>
        <w:footnoteReference w:id="144"/>
      </w:r>
      <w:r w:rsidRPr="00411383">
        <w:rPr>
          <w:rFonts w:ascii="Times New Roman" w:hAnsi="Times New Roman" w:cs="Times New Roman"/>
          <w:bCs/>
          <w:sz w:val="24"/>
        </w:rPr>
        <w:t xml:space="preserve"> agreed that the case was distinguishable from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and </w:t>
      </w:r>
      <w:r w:rsidRPr="00411383">
        <w:rPr>
          <w:rFonts w:ascii="Times New Roman" w:hAnsi="Times New Roman" w:cs="Times New Roman"/>
          <w:bCs/>
          <w:i/>
          <w:iCs/>
          <w:sz w:val="24"/>
        </w:rPr>
        <w:t>ENT19</w:t>
      </w:r>
      <w:r w:rsidR="00290C6B" w:rsidRPr="00411383">
        <w:rPr>
          <w:rFonts w:ascii="Times New Roman" w:hAnsi="Times New Roman" w:cs="Times New Roman"/>
          <w:bCs/>
          <w:sz w:val="24"/>
        </w:rPr>
        <w:t xml:space="preserve"> because the relevant contention had not been squarely raised before the Minister,</w:t>
      </w:r>
      <w:r w:rsidR="00C73AB0" w:rsidRPr="00411383">
        <w:rPr>
          <w:rStyle w:val="FootnoteReference"/>
          <w:rFonts w:ascii="Times New Roman" w:hAnsi="Times New Roman" w:cs="Times New Roman"/>
          <w:bCs/>
          <w:sz w:val="24"/>
        </w:rPr>
        <w:footnoteReference w:id="145"/>
      </w:r>
      <w:r w:rsidR="00C73AB0" w:rsidRPr="00411383">
        <w:rPr>
          <w:rFonts w:ascii="Times New Roman" w:hAnsi="Times New Roman" w:cs="Times New Roman"/>
          <w:bCs/>
          <w:sz w:val="24"/>
        </w:rPr>
        <w:t xml:space="preserve"> and that in any event the appellant’s ‘proposed extension to the reasoning in </w:t>
      </w:r>
      <w:r w:rsidR="00C73AB0" w:rsidRPr="00411383">
        <w:rPr>
          <w:rFonts w:ascii="Times New Roman" w:hAnsi="Times New Roman" w:cs="Times New Roman"/>
          <w:bCs/>
          <w:i/>
          <w:iCs/>
          <w:sz w:val="24"/>
        </w:rPr>
        <w:t>CWY20</w:t>
      </w:r>
      <w:r w:rsidR="00C73AB0" w:rsidRPr="00411383">
        <w:rPr>
          <w:rFonts w:ascii="Times New Roman" w:hAnsi="Times New Roman" w:cs="Times New Roman"/>
          <w:bCs/>
          <w:sz w:val="24"/>
        </w:rPr>
        <w:t xml:space="preserve">’ rested on two contestable propositions: that ‘as a result </w:t>
      </w:r>
      <w:r w:rsidR="00C73AB0" w:rsidRPr="00411383">
        <w:rPr>
          <w:rFonts w:ascii="Times New Roman" w:hAnsi="Times New Roman" w:cs="Times New Roman"/>
          <w:bCs/>
          <w:sz w:val="24"/>
        </w:rPr>
        <w:lastRenderedPageBreak/>
        <w:t>of ss 189, 196, and 197C(3), the appellant would be kept in indefinite detention’ and that ‘indefinite detention is a breach of Australia’s international obligations under various instruments to which Australia is a party’.</w:t>
      </w:r>
      <w:r w:rsidR="00900A5D" w:rsidRPr="00411383">
        <w:rPr>
          <w:rStyle w:val="FootnoteReference"/>
          <w:rFonts w:ascii="Times New Roman" w:hAnsi="Times New Roman" w:cs="Times New Roman"/>
          <w:bCs/>
          <w:sz w:val="24"/>
        </w:rPr>
        <w:footnoteReference w:id="146"/>
      </w:r>
      <w:r w:rsidR="00907A59" w:rsidRPr="00411383">
        <w:rPr>
          <w:rFonts w:ascii="Times New Roman" w:hAnsi="Times New Roman" w:cs="Times New Roman"/>
          <w:bCs/>
          <w:sz w:val="24"/>
        </w:rPr>
        <w:t xml:space="preserve"> The breach of international obligations in </w:t>
      </w:r>
      <w:r w:rsidR="00907A59" w:rsidRPr="00411383">
        <w:rPr>
          <w:rFonts w:ascii="Times New Roman" w:hAnsi="Times New Roman" w:cs="Times New Roman"/>
          <w:bCs/>
          <w:i/>
          <w:iCs/>
          <w:sz w:val="24"/>
        </w:rPr>
        <w:t>CWY20</w:t>
      </w:r>
      <w:r w:rsidR="00BF672B" w:rsidRPr="00411383">
        <w:rPr>
          <w:rFonts w:ascii="Times New Roman" w:hAnsi="Times New Roman" w:cs="Times New Roman"/>
          <w:bCs/>
          <w:sz w:val="24"/>
        </w:rPr>
        <w:t xml:space="preserve"> and </w:t>
      </w:r>
      <w:r w:rsidR="00BF672B" w:rsidRPr="00411383">
        <w:rPr>
          <w:rFonts w:ascii="Times New Roman" w:hAnsi="Times New Roman" w:cs="Times New Roman"/>
          <w:bCs/>
          <w:i/>
          <w:iCs/>
          <w:sz w:val="24"/>
        </w:rPr>
        <w:t>ENT19</w:t>
      </w:r>
      <w:r w:rsidR="00907A59" w:rsidRPr="00411383">
        <w:rPr>
          <w:rFonts w:ascii="Times New Roman" w:hAnsi="Times New Roman" w:cs="Times New Roman"/>
          <w:bCs/>
          <w:sz w:val="24"/>
        </w:rPr>
        <w:t xml:space="preserve"> was an </w:t>
      </w:r>
      <w:r w:rsidR="00907A59" w:rsidRPr="00411383">
        <w:rPr>
          <w:rFonts w:ascii="Times New Roman" w:hAnsi="Times New Roman" w:cs="Times New Roman"/>
          <w:bCs/>
          <w:i/>
          <w:iCs/>
          <w:sz w:val="24"/>
        </w:rPr>
        <w:t>inevitable</w:t>
      </w:r>
      <w:r w:rsidR="00F85D8A" w:rsidRPr="00411383">
        <w:rPr>
          <w:rFonts w:ascii="Times New Roman" w:hAnsi="Times New Roman" w:cs="Times New Roman"/>
          <w:bCs/>
          <w:sz w:val="24"/>
        </w:rPr>
        <w:t xml:space="preserve"> or necessary</w:t>
      </w:r>
      <w:r w:rsidR="00907A59" w:rsidRPr="00411383">
        <w:rPr>
          <w:rFonts w:ascii="Times New Roman" w:hAnsi="Times New Roman" w:cs="Times New Roman"/>
          <w:bCs/>
          <w:i/>
          <w:iCs/>
          <w:sz w:val="24"/>
        </w:rPr>
        <w:t xml:space="preserve"> </w:t>
      </w:r>
      <w:r w:rsidR="00907A59" w:rsidRPr="00411383">
        <w:rPr>
          <w:rFonts w:ascii="Times New Roman" w:hAnsi="Times New Roman" w:cs="Times New Roman"/>
          <w:bCs/>
          <w:sz w:val="24"/>
        </w:rPr>
        <w:t xml:space="preserve">legal consequence of the Acting Minister’s decision; the potential breach in </w:t>
      </w:r>
      <w:r w:rsidR="00907A59" w:rsidRPr="00411383">
        <w:rPr>
          <w:rFonts w:ascii="Times New Roman" w:hAnsi="Times New Roman" w:cs="Times New Roman"/>
          <w:bCs/>
          <w:i/>
          <w:iCs/>
          <w:sz w:val="24"/>
        </w:rPr>
        <w:t>BNGP</w:t>
      </w:r>
      <w:r w:rsidR="00907A59" w:rsidRPr="00411383">
        <w:rPr>
          <w:rFonts w:ascii="Times New Roman" w:hAnsi="Times New Roman" w:cs="Times New Roman"/>
          <w:bCs/>
          <w:sz w:val="24"/>
        </w:rPr>
        <w:t xml:space="preserve"> was not.</w:t>
      </w:r>
      <w:r w:rsidR="00670B21" w:rsidRPr="00411383">
        <w:rPr>
          <w:rStyle w:val="FootnoteReference"/>
          <w:rFonts w:ascii="Times New Roman" w:hAnsi="Times New Roman" w:cs="Times New Roman"/>
          <w:bCs/>
          <w:sz w:val="24"/>
        </w:rPr>
        <w:footnoteReference w:id="147"/>
      </w:r>
      <w:r w:rsidR="00907A59" w:rsidRPr="00411383">
        <w:rPr>
          <w:rFonts w:ascii="Times New Roman" w:hAnsi="Times New Roman" w:cs="Times New Roman"/>
          <w:bCs/>
          <w:sz w:val="24"/>
        </w:rPr>
        <w:t xml:space="preserve"> </w:t>
      </w:r>
      <w:r w:rsidR="000D3E7C" w:rsidRPr="00411383">
        <w:rPr>
          <w:rFonts w:ascii="Times New Roman" w:hAnsi="Times New Roman" w:cs="Times New Roman"/>
          <w:bCs/>
          <w:sz w:val="24"/>
        </w:rPr>
        <w:t xml:space="preserve">In any event, Perry J declined to follow Katzmann J’s references to the prospect of indefinite detention in </w:t>
      </w:r>
      <w:r w:rsidR="000D3E7C" w:rsidRPr="00411383">
        <w:rPr>
          <w:rFonts w:ascii="Times New Roman" w:hAnsi="Times New Roman" w:cs="Times New Roman"/>
          <w:bCs/>
          <w:i/>
          <w:iCs/>
          <w:sz w:val="24"/>
        </w:rPr>
        <w:t>ENT19</w:t>
      </w:r>
      <w:r w:rsidR="000D3E7C" w:rsidRPr="00411383">
        <w:rPr>
          <w:rFonts w:ascii="Times New Roman" w:hAnsi="Times New Roman" w:cs="Times New Roman"/>
          <w:bCs/>
          <w:sz w:val="24"/>
        </w:rPr>
        <w:t>, because her Honour’s proposition that indefinite detention would be in breach of international obligations was not explained by her Honour or (apparently) the subject of argument in that case.</w:t>
      </w:r>
      <w:r w:rsidR="005B433D" w:rsidRPr="00411383">
        <w:rPr>
          <w:rStyle w:val="FootnoteReference"/>
          <w:rFonts w:ascii="Times New Roman" w:hAnsi="Times New Roman" w:cs="Times New Roman"/>
          <w:bCs/>
          <w:sz w:val="24"/>
        </w:rPr>
        <w:footnoteReference w:id="148"/>
      </w:r>
    </w:p>
    <w:p w14:paraId="1FAC20DF" w14:textId="77777777" w:rsidR="005151F8" w:rsidRPr="00411383" w:rsidRDefault="005151F8" w:rsidP="00E33B82">
      <w:pPr>
        <w:spacing w:line="360" w:lineRule="auto"/>
        <w:jc w:val="both"/>
        <w:rPr>
          <w:rFonts w:ascii="Times New Roman" w:hAnsi="Times New Roman" w:cs="Times New Roman"/>
          <w:bCs/>
          <w:sz w:val="24"/>
        </w:rPr>
      </w:pPr>
    </w:p>
    <w:p w14:paraId="7F6A2227" w14:textId="2B26F2FC" w:rsidR="005F1C22" w:rsidRPr="00411383" w:rsidRDefault="00BC61DB" w:rsidP="00E33B82">
      <w:pPr>
        <w:spacing w:line="360" w:lineRule="auto"/>
        <w:jc w:val="both"/>
        <w:rPr>
          <w:rFonts w:ascii="Times New Roman" w:hAnsi="Times New Roman" w:cs="Times New Roman"/>
          <w:sz w:val="24"/>
        </w:rPr>
      </w:pPr>
      <w:r w:rsidRPr="00411383">
        <w:rPr>
          <w:rFonts w:ascii="Times New Roman" w:hAnsi="Times New Roman" w:cs="Times New Roman"/>
          <w:bCs/>
          <w:sz w:val="24"/>
        </w:rPr>
        <w:t xml:space="preserve">Given that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and </w:t>
      </w:r>
      <w:r w:rsidRPr="00411383">
        <w:rPr>
          <w:rFonts w:ascii="Times New Roman" w:hAnsi="Times New Roman" w:cs="Times New Roman"/>
          <w:bCs/>
          <w:i/>
          <w:iCs/>
          <w:sz w:val="24"/>
        </w:rPr>
        <w:t xml:space="preserve">ENT19 </w:t>
      </w:r>
      <w:r w:rsidRPr="00411383">
        <w:rPr>
          <w:rFonts w:ascii="Times New Roman" w:hAnsi="Times New Roman" w:cs="Times New Roman"/>
          <w:bCs/>
          <w:sz w:val="24"/>
        </w:rPr>
        <w:t xml:space="preserve">were distinguishable, Perry J found it unnecessary to address the question, raised by the Minister on a notice of contention, of whether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and </w:t>
      </w:r>
      <w:r w:rsidRPr="00411383">
        <w:rPr>
          <w:rFonts w:ascii="Times New Roman" w:hAnsi="Times New Roman" w:cs="Times New Roman"/>
          <w:bCs/>
          <w:i/>
          <w:iCs/>
          <w:sz w:val="24"/>
        </w:rPr>
        <w:t>ENT19</w:t>
      </w:r>
      <w:r w:rsidRPr="00411383">
        <w:rPr>
          <w:rFonts w:ascii="Times New Roman" w:hAnsi="Times New Roman" w:cs="Times New Roman"/>
          <w:bCs/>
          <w:sz w:val="24"/>
        </w:rPr>
        <w:t xml:space="preserve"> should be overturned.</w:t>
      </w:r>
      <w:r w:rsidR="000E4EFF" w:rsidRPr="00411383">
        <w:rPr>
          <w:rStyle w:val="FootnoteReference"/>
          <w:rFonts w:ascii="Times New Roman" w:hAnsi="Times New Roman" w:cs="Times New Roman"/>
          <w:bCs/>
          <w:sz w:val="24"/>
        </w:rPr>
        <w:footnoteReference w:id="149"/>
      </w:r>
      <w:r w:rsidR="00F85A9B" w:rsidRPr="00411383">
        <w:rPr>
          <w:rFonts w:ascii="Times New Roman" w:hAnsi="Times New Roman" w:cs="Times New Roman"/>
          <w:bCs/>
          <w:sz w:val="24"/>
        </w:rPr>
        <w:t xml:space="preserve"> But Bromwich and Kennett JJ</w:t>
      </w:r>
      <w:r w:rsidR="00BB4A56" w:rsidRPr="00411383">
        <w:rPr>
          <w:rFonts w:ascii="Times New Roman" w:hAnsi="Times New Roman" w:cs="Times New Roman"/>
          <w:bCs/>
          <w:sz w:val="24"/>
        </w:rPr>
        <w:t xml:space="preserve"> observed that, if it were necessary to decide the point, they would uphold the notice of contention and find that </w:t>
      </w:r>
      <w:r w:rsidR="00BB4A56" w:rsidRPr="00411383">
        <w:rPr>
          <w:rFonts w:ascii="Times New Roman" w:hAnsi="Times New Roman" w:cs="Times New Roman"/>
          <w:bCs/>
          <w:i/>
          <w:iCs/>
          <w:sz w:val="24"/>
        </w:rPr>
        <w:t>CWY20</w:t>
      </w:r>
      <w:r w:rsidR="00BB4A56" w:rsidRPr="00411383">
        <w:rPr>
          <w:rFonts w:ascii="Times New Roman" w:hAnsi="Times New Roman" w:cs="Times New Roman"/>
          <w:bCs/>
          <w:sz w:val="24"/>
        </w:rPr>
        <w:t xml:space="preserve"> and </w:t>
      </w:r>
      <w:r w:rsidR="00BB4A56" w:rsidRPr="00411383">
        <w:rPr>
          <w:rFonts w:ascii="Times New Roman" w:hAnsi="Times New Roman" w:cs="Times New Roman"/>
          <w:bCs/>
          <w:i/>
          <w:iCs/>
          <w:sz w:val="24"/>
        </w:rPr>
        <w:t xml:space="preserve">ENT19 </w:t>
      </w:r>
      <w:r w:rsidR="00BB4A56" w:rsidRPr="00411383">
        <w:rPr>
          <w:rFonts w:ascii="Times New Roman" w:hAnsi="Times New Roman" w:cs="Times New Roman"/>
          <w:sz w:val="24"/>
        </w:rPr>
        <w:t xml:space="preserve">had been overruled by </w:t>
      </w:r>
      <w:r w:rsidR="00BB4A56" w:rsidRPr="00411383">
        <w:rPr>
          <w:rFonts w:ascii="Times New Roman" w:hAnsi="Times New Roman" w:cs="Times New Roman"/>
          <w:i/>
          <w:iCs/>
          <w:sz w:val="24"/>
        </w:rPr>
        <w:t>M1</w:t>
      </w:r>
      <w:r w:rsidR="00BB4A56" w:rsidRPr="00411383">
        <w:rPr>
          <w:rFonts w:ascii="Times New Roman" w:hAnsi="Times New Roman" w:cs="Times New Roman"/>
          <w:sz w:val="24"/>
        </w:rPr>
        <w:t>.</w:t>
      </w:r>
      <w:r w:rsidR="009B254F" w:rsidRPr="00411383">
        <w:rPr>
          <w:rStyle w:val="FootnoteReference"/>
          <w:rFonts w:ascii="Times New Roman" w:hAnsi="Times New Roman" w:cs="Times New Roman"/>
          <w:sz w:val="24"/>
        </w:rPr>
        <w:footnoteReference w:id="150"/>
      </w:r>
      <w:r w:rsidR="001846E7" w:rsidRPr="00411383">
        <w:rPr>
          <w:rFonts w:ascii="Times New Roman" w:hAnsi="Times New Roman" w:cs="Times New Roman"/>
          <w:sz w:val="24"/>
        </w:rPr>
        <w:t xml:space="preserve"> </w:t>
      </w:r>
      <w:r w:rsidR="00815D4D" w:rsidRPr="00411383">
        <w:rPr>
          <w:rFonts w:ascii="Times New Roman" w:hAnsi="Times New Roman" w:cs="Times New Roman"/>
          <w:sz w:val="24"/>
        </w:rPr>
        <w:t xml:space="preserve">Their Honours observed that the Full Court’s reasoning in </w:t>
      </w:r>
      <w:r w:rsidR="00815D4D" w:rsidRPr="00411383">
        <w:rPr>
          <w:rFonts w:ascii="Times New Roman" w:hAnsi="Times New Roman" w:cs="Times New Roman"/>
          <w:i/>
          <w:iCs/>
          <w:sz w:val="24"/>
        </w:rPr>
        <w:t>CWY20</w:t>
      </w:r>
      <w:r w:rsidR="00815D4D" w:rsidRPr="00411383">
        <w:rPr>
          <w:rFonts w:ascii="Times New Roman" w:hAnsi="Times New Roman" w:cs="Times New Roman"/>
          <w:sz w:val="24"/>
        </w:rPr>
        <w:t xml:space="preserve"> and </w:t>
      </w:r>
      <w:r w:rsidR="00815D4D" w:rsidRPr="00411383">
        <w:rPr>
          <w:rFonts w:ascii="Times New Roman" w:hAnsi="Times New Roman" w:cs="Times New Roman"/>
          <w:i/>
          <w:iCs/>
          <w:sz w:val="24"/>
        </w:rPr>
        <w:t>ENT19</w:t>
      </w:r>
      <w:r w:rsidR="00815D4D" w:rsidRPr="00411383">
        <w:rPr>
          <w:rFonts w:ascii="Times New Roman" w:hAnsi="Times New Roman" w:cs="Times New Roman"/>
          <w:sz w:val="24"/>
        </w:rPr>
        <w:t xml:space="preserve"> was ‘in substance indistinguishable from treating Australia’s international obligations as a mandatory consideration in the </w:t>
      </w:r>
      <w:r w:rsidR="00815D4D" w:rsidRPr="00411383">
        <w:rPr>
          <w:rFonts w:ascii="Times New Roman" w:hAnsi="Times New Roman" w:cs="Times New Roman"/>
          <w:i/>
          <w:iCs/>
          <w:sz w:val="24"/>
        </w:rPr>
        <w:t xml:space="preserve">Peko-Wallsend </w:t>
      </w:r>
      <w:r w:rsidR="00815D4D" w:rsidRPr="00411383">
        <w:rPr>
          <w:rFonts w:ascii="Times New Roman" w:hAnsi="Times New Roman" w:cs="Times New Roman"/>
          <w:sz w:val="24"/>
        </w:rPr>
        <w:t>sense’.</w:t>
      </w:r>
      <w:r w:rsidR="00815D4D" w:rsidRPr="00411383">
        <w:rPr>
          <w:rFonts w:ascii="Times New Roman" w:hAnsi="Times New Roman" w:cs="Times New Roman"/>
          <w:sz w:val="24"/>
          <w:vertAlign w:val="superscript"/>
        </w:rPr>
        <w:footnoteReference w:id="151"/>
      </w:r>
      <w:r w:rsidR="00815D4D" w:rsidRPr="00411383">
        <w:rPr>
          <w:rFonts w:ascii="Times New Roman" w:hAnsi="Times New Roman" w:cs="Times New Roman"/>
          <w:sz w:val="24"/>
        </w:rPr>
        <w:t xml:space="preserve"> Noting </w:t>
      </w:r>
      <w:r w:rsidR="00C34527" w:rsidRPr="00411383">
        <w:rPr>
          <w:rFonts w:ascii="Times New Roman" w:hAnsi="Times New Roman" w:cs="Times New Roman"/>
          <w:sz w:val="24"/>
        </w:rPr>
        <w:t>the High Court’s observation</w:t>
      </w:r>
      <w:r w:rsidR="00815D4D" w:rsidRPr="00411383">
        <w:rPr>
          <w:rFonts w:ascii="Times New Roman" w:hAnsi="Times New Roman" w:cs="Times New Roman"/>
          <w:sz w:val="24"/>
        </w:rPr>
        <w:t xml:space="preserve"> in </w:t>
      </w:r>
      <w:r w:rsidR="00815D4D" w:rsidRPr="00411383">
        <w:rPr>
          <w:rFonts w:ascii="Times New Roman" w:hAnsi="Times New Roman" w:cs="Times New Roman"/>
          <w:i/>
          <w:iCs/>
          <w:sz w:val="24"/>
        </w:rPr>
        <w:t>M1</w:t>
      </w:r>
      <w:r w:rsidR="00815D4D" w:rsidRPr="00411383">
        <w:rPr>
          <w:rFonts w:ascii="Times New Roman" w:hAnsi="Times New Roman" w:cs="Times New Roman"/>
          <w:sz w:val="24"/>
        </w:rPr>
        <w:t>,</w:t>
      </w:r>
      <w:r w:rsidR="00C34527" w:rsidRPr="00411383">
        <w:rPr>
          <w:rFonts w:ascii="Times New Roman" w:hAnsi="Times New Roman" w:cs="Times New Roman"/>
          <w:sz w:val="24"/>
        </w:rPr>
        <w:t xml:space="preserve"> that international treaties ‘can operate as a source of rights and obligations under domestic law only if, and to the extent that, it has been enacted by Parliament’</w:t>
      </w:r>
      <w:r w:rsidR="00815D4D" w:rsidRPr="00411383">
        <w:rPr>
          <w:rFonts w:ascii="Times New Roman" w:hAnsi="Times New Roman" w:cs="Times New Roman"/>
          <w:sz w:val="24"/>
        </w:rPr>
        <w:t>,</w:t>
      </w:r>
      <w:r w:rsidR="00C34527" w:rsidRPr="00411383">
        <w:rPr>
          <w:rStyle w:val="FootnoteReference"/>
          <w:rFonts w:ascii="Times New Roman" w:hAnsi="Times New Roman" w:cs="Times New Roman"/>
          <w:sz w:val="24"/>
        </w:rPr>
        <w:footnoteReference w:id="152"/>
      </w:r>
      <w:r w:rsidR="00815D4D" w:rsidRPr="00411383">
        <w:rPr>
          <w:rFonts w:ascii="Times New Roman" w:hAnsi="Times New Roman" w:cs="Times New Roman"/>
          <w:sz w:val="24"/>
        </w:rPr>
        <w:t xml:space="preserve"> Bromwich and Kennett JJ found that</w:t>
      </w:r>
      <w:r w:rsidR="00EF39C3" w:rsidRPr="00411383">
        <w:rPr>
          <w:rFonts w:ascii="Times New Roman" w:hAnsi="Times New Roman" w:cs="Times New Roman"/>
          <w:sz w:val="24"/>
        </w:rPr>
        <w:t xml:space="preserve"> </w:t>
      </w:r>
      <w:r w:rsidR="00EF39C3" w:rsidRPr="00411383">
        <w:rPr>
          <w:rFonts w:ascii="Times New Roman" w:hAnsi="Times New Roman" w:cs="Times New Roman"/>
          <w:i/>
          <w:iCs/>
          <w:sz w:val="24"/>
        </w:rPr>
        <w:t xml:space="preserve">CWY20 </w:t>
      </w:r>
      <w:r w:rsidR="00EF39C3" w:rsidRPr="00411383">
        <w:rPr>
          <w:rFonts w:ascii="Times New Roman" w:hAnsi="Times New Roman" w:cs="Times New Roman"/>
          <w:sz w:val="24"/>
        </w:rPr>
        <w:t xml:space="preserve">and </w:t>
      </w:r>
      <w:r w:rsidR="00EF39C3" w:rsidRPr="00411383">
        <w:rPr>
          <w:rFonts w:ascii="Times New Roman" w:hAnsi="Times New Roman" w:cs="Times New Roman"/>
          <w:i/>
          <w:iCs/>
          <w:sz w:val="24"/>
        </w:rPr>
        <w:t>ENT19</w:t>
      </w:r>
      <w:r w:rsidR="00EF39C3" w:rsidRPr="00411383">
        <w:rPr>
          <w:rFonts w:ascii="Times New Roman" w:hAnsi="Times New Roman" w:cs="Times New Roman"/>
          <w:sz w:val="24"/>
        </w:rPr>
        <w:t xml:space="preserve">, like the authorities overturned in </w:t>
      </w:r>
      <w:r w:rsidR="00EF39C3" w:rsidRPr="00411383">
        <w:rPr>
          <w:rFonts w:ascii="Times New Roman" w:hAnsi="Times New Roman" w:cs="Times New Roman"/>
          <w:i/>
          <w:iCs/>
          <w:sz w:val="24"/>
        </w:rPr>
        <w:t>M1</w:t>
      </w:r>
      <w:r w:rsidR="00EF39C3" w:rsidRPr="00411383">
        <w:rPr>
          <w:rFonts w:ascii="Times New Roman" w:hAnsi="Times New Roman" w:cs="Times New Roman"/>
          <w:sz w:val="24"/>
        </w:rPr>
        <w:t xml:space="preserve">, impermissibly </w:t>
      </w:r>
      <w:r w:rsidR="00815D4D" w:rsidRPr="00411383">
        <w:rPr>
          <w:rFonts w:ascii="Times New Roman" w:hAnsi="Times New Roman" w:cs="Times New Roman"/>
          <w:sz w:val="24"/>
        </w:rPr>
        <w:t>treated ‘</w:t>
      </w:r>
      <w:r w:rsidR="00EF39C3" w:rsidRPr="00411383">
        <w:rPr>
          <w:rFonts w:ascii="Times New Roman" w:hAnsi="Times New Roman" w:cs="Times New Roman"/>
          <w:sz w:val="24"/>
        </w:rPr>
        <w:t>unenacted international obligations as “a source of rights and obligations under domestic law”’.</w:t>
      </w:r>
      <w:r w:rsidR="00D018FB" w:rsidRPr="00411383">
        <w:rPr>
          <w:rStyle w:val="FootnoteReference"/>
          <w:rFonts w:ascii="Times New Roman" w:hAnsi="Times New Roman" w:cs="Times New Roman"/>
          <w:sz w:val="24"/>
        </w:rPr>
        <w:footnoteReference w:id="153"/>
      </w:r>
      <w:r w:rsidR="00453ADA" w:rsidRPr="00411383">
        <w:rPr>
          <w:rFonts w:ascii="Times New Roman" w:hAnsi="Times New Roman" w:cs="Times New Roman"/>
          <w:sz w:val="24"/>
        </w:rPr>
        <w:t xml:space="preserve"> </w:t>
      </w:r>
    </w:p>
    <w:p w14:paraId="417A46BE" w14:textId="77777777" w:rsidR="002D1500" w:rsidRPr="00411383" w:rsidRDefault="002D1500" w:rsidP="00E33B82">
      <w:pPr>
        <w:spacing w:line="360" w:lineRule="auto"/>
        <w:jc w:val="both"/>
        <w:rPr>
          <w:rFonts w:ascii="Times New Roman" w:hAnsi="Times New Roman" w:cs="Times New Roman"/>
          <w:sz w:val="24"/>
        </w:rPr>
      </w:pPr>
    </w:p>
    <w:p w14:paraId="3AA41ACF" w14:textId="77777777" w:rsidR="0021077E" w:rsidRDefault="002D1500" w:rsidP="00E33B82">
      <w:pPr>
        <w:spacing w:line="360" w:lineRule="auto"/>
        <w:jc w:val="both"/>
        <w:rPr>
          <w:rFonts w:ascii="Times New Roman" w:hAnsi="Times New Roman" w:cs="Times New Roman"/>
          <w:sz w:val="24"/>
        </w:rPr>
      </w:pPr>
      <w:r w:rsidRPr="00411383">
        <w:rPr>
          <w:rFonts w:ascii="Times New Roman" w:hAnsi="Times New Roman" w:cs="Times New Roman"/>
          <w:sz w:val="24"/>
        </w:rPr>
        <w:t xml:space="preserve">As noted above, part of Bromwich and Kennett JJ’s criticism of </w:t>
      </w:r>
      <w:r w:rsidRPr="00411383">
        <w:rPr>
          <w:rFonts w:ascii="Times New Roman" w:hAnsi="Times New Roman" w:cs="Times New Roman"/>
          <w:i/>
          <w:iCs/>
          <w:sz w:val="24"/>
        </w:rPr>
        <w:t>CWY20</w:t>
      </w:r>
      <w:r w:rsidRPr="00411383">
        <w:rPr>
          <w:rFonts w:ascii="Times New Roman" w:hAnsi="Times New Roman" w:cs="Times New Roman"/>
          <w:sz w:val="24"/>
        </w:rPr>
        <w:t xml:space="preserve"> and </w:t>
      </w:r>
      <w:r w:rsidRPr="00411383">
        <w:rPr>
          <w:rFonts w:ascii="Times New Roman" w:hAnsi="Times New Roman" w:cs="Times New Roman"/>
          <w:i/>
          <w:iCs/>
          <w:sz w:val="24"/>
        </w:rPr>
        <w:t>ENT19</w:t>
      </w:r>
      <w:r w:rsidRPr="00411383">
        <w:rPr>
          <w:rFonts w:ascii="Times New Roman" w:hAnsi="Times New Roman" w:cs="Times New Roman"/>
          <w:sz w:val="24"/>
        </w:rPr>
        <w:t xml:space="preserve"> was that, although both cases purported not to treat </w:t>
      </w:r>
      <w:r w:rsidR="002B355F" w:rsidRPr="00411383">
        <w:rPr>
          <w:rFonts w:ascii="Times New Roman" w:hAnsi="Times New Roman" w:cs="Times New Roman"/>
          <w:sz w:val="24"/>
        </w:rPr>
        <w:t>international non-</w:t>
      </w:r>
      <w:r w:rsidR="002B355F" w:rsidRPr="00411383">
        <w:rPr>
          <w:rFonts w:ascii="Times New Roman" w:hAnsi="Times New Roman" w:cs="Times New Roman"/>
          <w:i/>
          <w:iCs/>
          <w:sz w:val="24"/>
        </w:rPr>
        <w:t>refoulement</w:t>
      </w:r>
      <w:r w:rsidR="002B355F" w:rsidRPr="00411383">
        <w:rPr>
          <w:rFonts w:ascii="Times New Roman" w:hAnsi="Times New Roman" w:cs="Times New Roman"/>
          <w:sz w:val="24"/>
        </w:rPr>
        <w:t xml:space="preserve"> obligations as a mandatory relevant consideration, the relevant forms of error identified in both cases were in substance ‘indistinguishable’ from doing so.</w:t>
      </w:r>
      <w:r w:rsidR="008A56DF" w:rsidRPr="00411383">
        <w:rPr>
          <w:rFonts w:ascii="Times New Roman" w:hAnsi="Times New Roman" w:cs="Times New Roman"/>
          <w:sz w:val="24"/>
        </w:rPr>
        <w:t xml:space="preserve"> Overlap between different forms of jurisdictional error is, of course, inevitable; the ‘grounds’ of jurisdictional error are descriptive, not a matter </w:t>
      </w:r>
      <w:r w:rsidR="008A56DF" w:rsidRPr="00411383">
        <w:rPr>
          <w:rFonts w:ascii="Times New Roman" w:hAnsi="Times New Roman" w:cs="Times New Roman"/>
          <w:sz w:val="24"/>
        </w:rPr>
        <w:lastRenderedPageBreak/>
        <w:t>of ‘fixed categories or formulas’, and these categories ‘should be seen as servants rather than masters’ in identifying whether, in the circumstances of a particular case, a decision-maker has fallen into jurisdictional error.</w:t>
      </w:r>
      <w:r w:rsidR="008A56DF" w:rsidRPr="00411383">
        <w:rPr>
          <w:rStyle w:val="FootnoteReference"/>
          <w:rFonts w:ascii="Times New Roman" w:hAnsi="Times New Roman" w:cs="Times New Roman"/>
          <w:sz w:val="24"/>
        </w:rPr>
        <w:footnoteReference w:id="154"/>
      </w:r>
      <w:r w:rsidR="00D2042B" w:rsidRPr="00411383">
        <w:rPr>
          <w:rFonts w:ascii="Times New Roman" w:hAnsi="Times New Roman" w:cs="Times New Roman"/>
          <w:sz w:val="24"/>
        </w:rPr>
        <w:t xml:space="preserve"> </w:t>
      </w:r>
      <w:bookmarkStart w:id="2" w:name="_Hlk154744862"/>
      <w:r w:rsidR="00D2042B" w:rsidRPr="00411383">
        <w:rPr>
          <w:rFonts w:ascii="Times New Roman" w:hAnsi="Times New Roman" w:cs="Times New Roman"/>
          <w:sz w:val="24"/>
        </w:rPr>
        <w:t xml:space="preserve">Unreasonableness and failure to consider relevant considerations may be particularly closely related; </w:t>
      </w:r>
      <w:bookmarkEnd w:id="2"/>
      <w:r w:rsidR="00D2042B" w:rsidRPr="00411383">
        <w:rPr>
          <w:rFonts w:ascii="Times New Roman" w:hAnsi="Times New Roman" w:cs="Times New Roman"/>
          <w:sz w:val="24"/>
        </w:rPr>
        <w:t>if unreasonableness is understood as ultimately resulting from a presumption of statutory construction,</w:t>
      </w:r>
      <w:r w:rsidR="00D2042B" w:rsidRPr="00411383">
        <w:rPr>
          <w:rStyle w:val="FootnoteReference"/>
          <w:rFonts w:ascii="Times New Roman" w:hAnsi="Times New Roman" w:cs="Times New Roman"/>
          <w:sz w:val="24"/>
        </w:rPr>
        <w:footnoteReference w:id="155"/>
      </w:r>
      <w:r w:rsidR="00D2042B" w:rsidRPr="00411383">
        <w:rPr>
          <w:rFonts w:ascii="Times New Roman" w:hAnsi="Times New Roman" w:cs="Times New Roman"/>
          <w:sz w:val="24"/>
        </w:rPr>
        <w:t xml:space="preserve"> then there may be a thin line between </w:t>
      </w:r>
      <w:r w:rsidR="003475E8" w:rsidRPr="00411383">
        <w:rPr>
          <w:rFonts w:ascii="Times New Roman" w:hAnsi="Times New Roman" w:cs="Times New Roman"/>
          <w:sz w:val="24"/>
        </w:rPr>
        <w:t xml:space="preserve">matters which Parliament required a decision-maker to </w:t>
      </w:r>
      <w:r w:rsidR="003475E8" w:rsidRPr="00411383">
        <w:rPr>
          <w:rFonts w:ascii="Times New Roman" w:hAnsi="Times New Roman" w:cs="Times New Roman"/>
          <w:i/>
          <w:iCs/>
          <w:sz w:val="24"/>
        </w:rPr>
        <w:t xml:space="preserve">invariably </w:t>
      </w:r>
      <w:r w:rsidR="003475E8" w:rsidRPr="00411383">
        <w:rPr>
          <w:rFonts w:ascii="Times New Roman" w:hAnsi="Times New Roman" w:cs="Times New Roman"/>
          <w:sz w:val="24"/>
        </w:rPr>
        <w:t>take into account and matters which it should be inferred that, in the circumstances of a given case, Parliament intended that a reasonable decision-maker should take into account.</w:t>
      </w:r>
      <w:r w:rsidR="00360216" w:rsidRPr="00411383">
        <w:rPr>
          <w:rFonts w:ascii="Times New Roman" w:hAnsi="Times New Roman" w:cs="Times New Roman"/>
          <w:sz w:val="24"/>
        </w:rPr>
        <w:t xml:space="preserve"> The mere fact of overlap between different forms of error does not, of itself, mean that an error has been misclassified.</w:t>
      </w:r>
      <w:r w:rsidR="00213AA4" w:rsidRPr="00411383">
        <w:rPr>
          <w:rFonts w:ascii="Times New Roman" w:hAnsi="Times New Roman" w:cs="Times New Roman"/>
          <w:sz w:val="24"/>
        </w:rPr>
        <w:t xml:space="preserve"> </w:t>
      </w:r>
    </w:p>
    <w:p w14:paraId="0511CED0" w14:textId="77777777" w:rsidR="0021077E" w:rsidRDefault="0021077E" w:rsidP="00E33B82">
      <w:pPr>
        <w:spacing w:line="360" w:lineRule="auto"/>
        <w:jc w:val="both"/>
        <w:rPr>
          <w:rFonts w:ascii="Times New Roman" w:hAnsi="Times New Roman" w:cs="Times New Roman"/>
          <w:sz w:val="24"/>
        </w:rPr>
      </w:pPr>
    </w:p>
    <w:p w14:paraId="11ADDC7C" w14:textId="104480CC" w:rsidR="00360216" w:rsidRPr="00411383" w:rsidRDefault="00213AA4" w:rsidP="00E33B82">
      <w:pPr>
        <w:spacing w:line="360" w:lineRule="auto"/>
        <w:jc w:val="both"/>
        <w:rPr>
          <w:rFonts w:ascii="Times New Roman" w:hAnsi="Times New Roman" w:cs="Times New Roman"/>
          <w:sz w:val="24"/>
        </w:rPr>
      </w:pPr>
      <w:r w:rsidRPr="00411383">
        <w:rPr>
          <w:rFonts w:ascii="Times New Roman" w:hAnsi="Times New Roman" w:cs="Times New Roman"/>
          <w:sz w:val="24"/>
        </w:rPr>
        <w:t xml:space="preserve">Similarly, the fact that a particular way of proceeding is </w:t>
      </w:r>
      <w:r w:rsidRPr="00411383">
        <w:rPr>
          <w:rFonts w:ascii="Times New Roman" w:hAnsi="Times New Roman" w:cs="Times New Roman"/>
          <w:i/>
          <w:iCs/>
          <w:sz w:val="24"/>
        </w:rPr>
        <w:t xml:space="preserve">not </w:t>
      </w:r>
      <w:r w:rsidRPr="00411383">
        <w:rPr>
          <w:rFonts w:ascii="Times New Roman" w:hAnsi="Times New Roman" w:cs="Times New Roman"/>
          <w:sz w:val="24"/>
        </w:rPr>
        <w:t xml:space="preserve">an error under one classification does not mean that it </w:t>
      </w:r>
      <w:r w:rsidRPr="00411383">
        <w:rPr>
          <w:rFonts w:ascii="Times New Roman" w:hAnsi="Times New Roman" w:cs="Times New Roman"/>
          <w:i/>
          <w:iCs/>
          <w:sz w:val="24"/>
        </w:rPr>
        <w:t xml:space="preserve">cannot </w:t>
      </w:r>
      <w:r w:rsidRPr="00411383">
        <w:rPr>
          <w:rFonts w:ascii="Times New Roman" w:hAnsi="Times New Roman" w:cs="Times New Roman"/>
          <w:sz w:val="24"/>
        </w:rPr>
        <w:t>be an error under another form</w:t>
      </w:r>
      <w:r w:rsidR="0021077E">
        <w:rPr>
          <w:rFonts w:ascii="Times New Roman" w:hAnsi="Times New Roman" w:cs="Times New Roman"/>
          <w:sz w:val="24"/>
        </w:rPr>
        <w:t>.</w:t>
      </w:r>
      <w:r w:rsidR="0021077E" w:rsidRPr="00411383">
        <w:rPr>
          <w:rFonts w:ascii="Times New Roman" w:hAnsi="Times New Roman" w:cs="Times New Roman"/>
          <w:sz w:val="24"/>
        </w:rPr>
        <w:t xml:space="preserve"> </w:t>
      </w:r>
      <w:r w:rsidR="0021077E">
        <w:rPr>
          <w:rFonts w:ascii="Times New Roman" w:hAnsi="Times New Roman" w:cs="Times New Roman"/>
          <w:sz w:val="24"/>
        </w:rPr>
        <w:t>F</w:t>
      </w:r>
      <w:r w:rsidR="0021077E" w:rsidRPr="00411383">
        <w:rPr>
          <w:rFonts w:ascii="Times New Roman" w:hAnsi="Times New Roman" w:cs="Times New Roman"/>
          <w:sz w:val="24"/>
        </w:rPr>
        <w:t xml:space="preserve">or </w:t>
      </w:r>
      <w:r w:rsidRPr="00411383">
        <w:rPr>
          <w:rFonts w:ascii="Times New Roman" w:hAnsi="Times New Roman" w:cs="Times New Roman"/>
          <w:sz w:val="24"/>
        </w:rPr>
        <w:t xml:space="preserve">example, </w:t>
      </w:r>
      <w:r w:rsidR="00F13979" w:rsidRPr="00411383">
        <w:rPr>
          <w:rFonts w:ascii="Times New Roman" w:hAnsi="Times New Roman" w:cs="Times New Roman"/>
          <w:sz w:val="24"/>
        </w:rPr>
        <w:t xml:space="preserve">an error in fact-finding need not be an ‘irrelevant consideration’ in the </w:t>
      </w:r>
      <w:r w:rsidR="00F13979" w:rsidRPr="00411383">
        <w:rPr>
          <w:rFonts w:ascii="Times New Roman" w:hAnsi="Times New Roman" w:cs="Times New Roman"/>
          <w:i/>
          <w:iCs/>
          <w:sz w:val="24"/>
        </w:rPr>
        <w:t xml:space="preserve">Peko-Wallsend </w:t>
      </w:r>
      <w:r w:rsidR="00F13979" w:rsidRPr="00411383">
        <w:rPr>
          <w:rFonts w:ascii="Times New Roman" w:hAnsi="Times New Roman" w:cs="Times New Roman"/>
          <w:sz w:val="24"/>
        </w:rPr>
        <w:t>sense</w:t>
      </w:r>
      <w:r w:rsidR="00825A1F">
        <w:rPr>
          <w:rStyle w:val="FootnoteReference"/>
          <w:rFonts w:ascii="Times New Roman" w:hAnsi="Times New Roman" w:cs="Times New Roman"/>
          <w:sz w:val="24"/>
        </w:rPr>
        <w:footnoteReference w:id="156"/>
      </w:r>
      <w:r w:rsidR="00F13979" w:rsidRPr="00411383">
        <w:rPr>
          <w:rFonts w:ascii="Times New Roman" w:hAnsi="Times New Roman" w:cs="Times New Roman"/>
          <w:sz w:val="24"/>
        </w:rPr>
        <w:t xml:space="preserve"> to nonetheless result in other forms of legal error.</w:t>
      </w:r>
    </w:p>
    <w:p w14:paraId="7B5DE760" w14:textId="77777777" w:rsidR="00360216" w:rsidRPr="00411383" w:rsidRDefault="00360216" w:rsidP="00E33B82">
      <w:pPr>
        <w:spacing w:line="360" w:lineRule="auto"/>
        <w:jc w:val="both"/>
        <w:rPr>
          <w:rFonts w:ascii="Times New Roman" w:hAnsi="Times New Roman" w:cs="Times New Roman"/>
          <w:sz w:val="24"/>
        </w:rPr>
      </w:pPr>
    </w:p>
    <w:p w14:paraId="02202613" w14:textId="0C06D2AC" w:rsidR="002D1500" w:rsidRPr="0080230C" w:rsidRDefault="00CC016B" w:rsidP="00E33B82">
      <w:pPr>
        <w:spacing w:line="360" w:lineRule="auto"/>
        <w:jc w:val="both"/>
        <w:rPr>
          <w:rFonts w:ascii="Times New Roman" w:hAnsi="Times New Roman" w:cs="Times New Roman"/>
          <w:sz w:val="24"/>
        </w:rPr>
      </w:pPr>
      <w:r w:rsidRPr="00411383">
        <w:rPr>
          <w:rFonts w:ascii="Times New Roman" w:hAnsi="Times New Roman" w:cs="Times New Roman"/>
          <w:sz w:val="24"/>
        </w:rPr>
        <w:t xml:space="preserve">Nonetheless, </w:t>
      </w:r>
      <w:r w:rsidR="00421FB6" w:rsidRPr="00411383">
        <w:rPr>
          <w:rFonts w:ascii="Times New Roman" w:hAnsi="Times New Roman" w:cs="Times New Roman"/>
          <w:sz w:val="24"/>
        </w:rPr>
        <w:t>the overlap between grounds is relevant in identifying the appropriate boundaries of error.</w:t>
      </w:r>
      <w:r w:rsidR="00030B3B" w:rsidRPr="00411383">
        <w:rPr>
          <w:rFonts w:ascii="Times New Roman" w:hAnsi="Times New Roman" w:cs="Times New Roman"/>
          <w:sz w:val="24"/>
        </w:rPr>
        <w:t xml:space="preserve"> In particular, statutory context is a relevant and necessary part of identifying the bounds of legal unreasonableness.</w:t>
      </w:r>
      <w:r w:rsidR="00030B3B" w:rsidRPr="00411383">
        <w:rPr>
          <w:rStyle w:val="FootnoteReference"/>
          <w:rFonts w:ascii="Times New Roman" w:hAnsi="Times New Roman" w:cs="Times New Roman"/>
          <w:sz w:val="24"/>
        </w:rPr>
        <w:footnoteReference w:id="157"/>
      </w:r>
      <w:r w:rsidR="00421FB6" w:rsidRPr="00411383">
        <w:rPr>
          <w:rFonts w:ascii="Times New Roman" w:hAnsi="Times New Roman" w:cs="Times New Roman"/>
          <w:sz w:val="24"/>
        </w:rPr>
        <w:t xml:space="preserve"> </w:t>
      </w:r>
      <w:r w:rsidR="00BA60BC" w:rsidRPr="00411383">
        <w:rPr>
          <w:rFonts w:ascii="Times New Roman" w:hAnsi="Times New Roman" w:cs="Times New Roman"/>
          <w:sz w:val="24"/>
        </w:rPr>
        <w:t xml:space="preserve">If, as reaffirmed in </w:t>
      </w:r>
      <w:r w:rsidR="00BA60BC" w:rsidRPr="00411383">
        <w:rPr>
          <w:rFonts w:ascii="Times New Roman" w:hAnsi="Times New Roman" w:cs="Times New Roman"/>
          <w:i/>
          <w:iCs/>
          <w:sz w:val="24"/>
        </w:rPr>
        <w:t>M1</w:t>
      </w:r>
      <w:r w:rsidR="00BA60BC" w:rsidRPr="00411383">
        <w:rPr>
          <w:rFonts w:ascii="Times New Roman" w:hAnsi="Times New Roman" w:cs="Times New Roman"/>
          <w:sz w:val="24"/>
        </w:rPr>
        <w:t xml:space="preserve">, Australia’s international obligations are relevant considerations only to the extent that they are incorporated into the </w:t>
      </w:r>
      <w:r w:rsidR="00BA60BC" w:rsidRPr="00411383">
        <w:rPr>
          <w:rFonts w:ascii="Times New Roman" w:hAnsi="Times New Roman" w:cs="Times New Roman"/>
          <w:i/>
          <w:iCs/>
          <w:sz w:val="24"/>
        </w:rPr>
        <w:t>Migration Act</w:t>
      </w:r>
      <w:r w:rsidR="00BA60BC" w:rsidRPr="00411383">
        <w:rPr>
          <w:rFonts w:ascii="Times New Roman" w:hAnsi="Times New Roman" w:cs="Times New Roman"/>
          <w:sz w:val="24"/>
        </w:rPr>
        <w:t xml:space="preserve">, then it would be difficult to maintain that Parliament nonetheless intended that </w:t>
      </w:r>
      <w:r w:rsidR="00BA60BC" w:rsidRPr="00411383">
        <w:rPr>
          <w:rFonts w:ascii="Times New Roman" w:hAnsi="Times New Roman" w:cs="Times New Roman"/>
          <w:i/>
          <w:iCs/>
          <w:sz w:val="24"/>
        </w:rPr>
        <w:t xml:space="preserve">reasonable </w:t>
      </w:r>
      <w:r w:rsidR="00BA60BC" w:rsidRPr="00411383">
        <w:rPr>
          <w:rFonts w:ascii="Times New Roman" w:hAnsi="Times New Roman" w:cs="Times New Roman"/>
          <w:sz w:val="24"/>
        </w:rPr>
        <w:t>decision-makers should consider these obligations, or that these obligations should inform decision-makers’ understanding of the legal effect of their decisions.</w:t>
      </w:r>
      <w:r w:rsidR="00030B3B" w:rsidRPr="00411383">
        <w:rPr>
          <w:rFonts w:ascii="Times New Roman" w:hAnsi="Times New Roman" w:cs="Times New Roman"/>
          <w:sz w:val="24"/>
        </w:rPr>
        <w:t xml:space="preserve"> </w:t>
      </w:r>
      <w:r w:rsidR="003D0C9C">
        <w:rPr>
          <w:rFonts w:ascii="Times New Roman" w:hAnsi="Times New Roman" w:cs="Times New Roman"/>
          <w:sz w:val="24"/>
        </w:rPr>
        <w:t xml:space="preserve">But, conversely, this also entails a degree of deference to Ministerial determination of whether </w:t>
      </w:r>
      <w:r w:rsidR="0080230C">
        <w:rPr>
          <w:rFonts w:ascii="Times New Roman" w:hAnsi="Times New Roman" w:cs="Times New Roman"/>
          <w:sz w:val="24"/>
        </w:rPr>
        <w:t>a prospective breach of non-</w:t>
      </w:r>
      <w:r w:rsidR="0080230C">
        <w:rPr>
          <w:rFonts w:ascii="Times New Roman" w:hAnsi="Times New Roman" w:cs="Times New Roman"/>
          <w:i/>
          <w:iCs/>
          <w:sz w:val="24"/>
        </w:rPr>
        <w:t xml:space="preserve">refoulement </w:t>
      </w:r>
      <w:r w:rsidR="0080230C">
        <w:rPr>
          <w:rFonts w:ascii="Times New Roman" w:hAnsi="Times New Roman" w:cs="Times New Roman"/>
          <w:sz w:val="24"/>
        </w:rPr>
        <w:t>entails ‘national’ considerations – contrary to Appleby and Reilly’s ‘meta-principle’.</w:t>
      </w:r>
    </w:p>
    <w:p w14:paraId="1F29F211" w14:textId="77777777" w:rsidR="002C0DAE" w:rsidRPr="00411383" w:rsidRDefault="002C0DAE" w:rsidP="00E33B82">
      <w:pPr>
        <w:spacing w:line="360" w:lineRule="auto"/>
        <w:jc w:val="both"/>
        <w:rPr>
          <w:rFonts w:ascii="Times New Roman" w:hAnsi="Times New Roman" w:cs="Times New Roman"/>
          <w:sz w:val="24"/>
        </w:rPr>
      </w:pPr>
    </w:p>
    <w:p w14:paraId="257B6A57" w14:textId="3D3F8A3A" w:rsidR="002C0DAE" w:rsidRPr="00172432" w:rsidRDefault="00DE0772" w:rsidP="00E33B82">
      <w:pPr>
        <w:spacing w:line="360" w:lineRule="auto"/>
        <w:jc w:val="both"/>
        <w:rPr>
          <w:rFonts w:ascii="Times New Roman" w:hAnsi="Times New Roman" w:cs="Times New Roman"/>
          <w:b/>
          <w:bCs/>
          <w:i/>
          <w:iCs/>
          <w:sz w:val="24"/>
        </w:rPr>
      </w:pPr>
      <w:r w:rsidRPr="00172432">
        <w:rPr>
          <w:rFonts w:ascii="Times New Roman" w:hAnsi="Times New Roman" w:cs="Times New Roman"/>
          <w:b/>
          <w:bCs/>
          <w:i/>
          <w:iCs/>
          <w:sz w:val="24"/>
        </w:rPr>
        <w:t>4</w:t>
      </w:r>
      <w:r w:rsidR="0025324F" w:rsidRPr="00172432">
        <w:rPr>
          <w:rFonts w:ascii="Times New Roman" w:hAnsi="Times New Roman" w:cs="Times New Roman"/>
          <w:b/>
          <w:bCs/>
          <w:i/>
          <w:iCs/>
          <w:sz w:val="24"/>
        </w:rPr>
        <w:t>.</w:t>
      </w:r>
      <w:r w:rsidR="00DC1FF3">
        <w:rPr>
          <w:rFonts w:ascii="Times New Roman" w:hAnsi="Times New Roman" w:cs="Times New Roman"/>
          <w:b/>
          <w:bCs/>
          <w:i/>
          <w:iCs/>
          <w:sz w:val="24"/>
        </w:rPr>
        <w:t>6</w:t>
      </w:r>
      <w:r w:rsidR="00DC1FF3" w:rsidRPr="00172432">
        <w:rPr>
          <w:rFonts w:ascii="Times New Roman" w:hAnsi="Times New Roman" w:cs="Times New Roman"/>
          <w:b/>
          <w:bCs/>
          <w:i/>
          <w:iCs/>
          <w:sz w:val="24"/>
        </w:rPr>
        <w:t xml:space="preserve"> </w:t>
      </w:r>
      <w:r w:rsidR="00EA4867" w:rsidRPr="00172432">
        <w:rPr>
          <w:rFonts w:ascii="Times New Roman" w:hAnsi="Times New Roman" w:cs="Times New Roman"/>
          <w:b/>
          <w:bCs/>
          <w:i/>
          <w:iCs/>
          <w:sz w:val="24"/>
        </w:rPr>
        <w:tab/>
      </w:r>
      <w:r w:rsidR="002C0DAE" w:rsidRPr="00172432">
        <w:rPr>
          <w:rFonts w:ascii="Times New Roman" w:hAnsi="Times New Roman" w:cs="Times New Roman"/>
          <w:b/>
          <w:bCs/>
          <w:i/>
          <w:iCs/>
          <w:sz w:val="24"/>
        </w:rPr>
        <w:t>NRFX</w:t>
      </w:r>
      <w:r w:rsidR="002728FC" w:rsidRPr="00172432">
        <w:rPr>
          <w:rFonts w:ascii="Times New Roman" w:hAnsi="Times New Roman" w:cs="Times New Roman"/>
          <w:b/>
          <w:bCs/>
          <w:i/>
          <w:iCs/>
          <w:sz w:val="24"/>
        </w:rPr>
        <w:t xml:space="preserve"> (FCAFC)</w:t>
      </w:r>
      <w:r w:rsidR="003C3C11" w:rsidRPr="00172432">
        <w:rPr>
          <w:rFonts w:ascii="Times New Roman" w:hAnsi="Times New Roman" w:cs="Times New Roman"/>
          <w:b/>
          <w:bCs/>
          <w:i/>
          <w:iCs/>
          <w:sz w:val="24"/>
        </w:rPr>
        <w:t xml:space="preserve">: </w:t>
      </w:r>
      <w:r w:rsidR="00241048" w:rsidRPr="00172432">
        <w:rPr>
          <w:rFonts w:ascii="Times New Roman" w:hAnsi="Times New Roman" w:cs="Times New Roman"/>
          <w:b/>
          <w:bCs/>
          <w:i/>
          <w:iCs/>
          <w:sz w:val="24"/>
        </w:rPr>
        <w:t>The Executive, the Courts and</w:t>
      </w:r>
      <w:r w:rsidR="003C3C11" w:rsidRPr="00172432">
        <w:rPr>
          <w:rFonts w:ascii="Times New Roman" w:hAnsi="Times New Roman" w:cs="Times New Roman"/>
          <w:b/>
          <w:bCs/>
          <w:i/>
          <w:iCs/>
          <w:sz w:val="24"/>
        </w:rPr>
        <w:t xml:space="preserve"> the Conduct of Foreign Affairs</w:t>
      </w:r>
    </w:p>
    <w:p w14:paraId="782339CC" w14:textId="77777777" w:rsidR="00AC2AA3" w:rsidRPr="00411383" w:rsidRDefault="00AC2AA3" w:rsidP="00E33B82">
      <w:pPr>
        <w:spacing w:line="360" w:lineRule="auto"/>
        <w:jc w:val="both"/>
        <w:rPr>
          <w:rFonts w:ascii="Times New Roman" w:hAnsi="Times New Roman" w:cs="Times New Roman"/>
          <w:sz w:val="24"/>
        </w:rPr>
      </w:pPr>
    </w:p>
    <w:p w14:paraId="1D7E725D" w14:textId="49A6A6B1" w:rsidR="00252B02" w:rsidRPr="00411383" w:rsidRDefault="00252B02" w:rsidP="00E33B82">
      <w:pPr>
        <w:spacing w:line="360" w:lineRule="auto"/>
        <w:jc w:val="both"/>
        <w:rPr>
          <w:rFonts w:ascii="Times New Roman" w:hAnsi="Times New Roman" w:cs="Times New Roman"/>
          <w:sz w:val="24"/>
        </w:rPr>
      </w:pPr>
      <w:r w:rsidRPr="00411383">
        <w:rPr>
          <w:rFonts w:ascii="Times New Roman" w:hAnsi="Times New Roman" w:cs="Times New Roman"/>
          <w:sz w:val="24"/>
        </w:rPr>
        <w:lastRenderedPageBreak/>
        <w:t xml:space="preserve">The future of </w:t>
      </w:r>
      <w:r w:rsidRPr="00411383">
        <w:rPr>
          <w:rFonts w:ascii="Times New Roman" w:hAnsi="Times New Roman" w:cs="Times New Roman"/>
          <w:i/>
          <w:iCs/>
          <w:sz w:val="24"/>
        </w:rPr>
        <w:t>CWY20</w:t>
      </w:r>
      <w:r w:rsidRPr="00411383">
        <w:rPr>
          <w:rFonts w:ascii="Times New Roman" w:hAnsi="Times New Roman" w:cs="Times New Roman"/>
          <w:sz w:val="24"/>
        </w:rPr>
        <w:t xml:space="preserve"> and </w:t>
      </w:r>
      <w:r w:rsidRPr="00411383">
        <w:rPr>
          <w:rFonts w:ascii="Times New Roman" w:hAnsi="Times New Roman" w:cs="Times New Roman"/>
          <w:i/>
          <w:iCs/>
          <w:sz w:val="24"/>
        </w:rPr>
        <w:t>ENT19</w:t>
      </w:r>
      <w:r w:rsidRPr="00411383">
        <w:rPr>
          <w:rFonts w:ascii="Times New Roman" w:hAnsi="Times New Roman" w:cs="Times New Roman"/>
          <w:sz w:val="24"/>
        </w:rPr>
        <w:t xml:space="preserve"> was addressed by a separate Full Court in </w:t>
      </w:r>
      <w:r w:rsidRPr="00411383">
        <w:rPr>
          <w:rFonts w:ascii="Times New Roman" w:hAnsi="Times New Roman" w:cs="Times New Roman"/>
          <w:i/>
          <w:iCs/>
          <w:sz w:val="24"/>
        </w:rPr>
        <w:t>NRFX v MICMA</w:t>
      </w:r>
      <w:r w:rsidRPr="00411383">
        <w:rPr>
          <w:rFonts w:ascii="Times New Roman" w:hAnsi="Times New Roman" w:cs="Times New Roman"/>
          <w:sz w:val="24"/>
        </w:rPr>
        <w:t>.</w:t>
      </w:r>
      <w:r w:rsidR="00BA1834" w:rsidRPr="00411383">
        <w:rPr>
          <w:rStyle w:val="FootnoteReference"/>
          <w:rFonts w:ascii="Times New Roman" w:hAnsi="Times New Roman" w:cs="Times New Roman"/>
          <w:sz w:val="24"/>
        </w:rPr>
        <w:footnoteReference w:id="158"/>
      </w:r>
      <w:r w:rsidR="00C57D44" w:rsidRPr="00411383">
        <w:rPr>
          <w:rFonts w:ascii="Times New Roman" w:hAnsi="Times New Roman" w:cs="Times New Roman"/>
          <w:sz w:val="24"/>
        </w:rPr>
        <w:t xml:space="preserve"> Collier J declined to express any view on the issues raised by </w:t>
      </w:r>
      <w:r w:rsidR="00C57D44" w:rsidRPr="00411383">
        <w:rPr>
          <w:rFonts w:ascii="Times New Roman" w:hAnsi="Times New Roman" w:cs="Times New Roman"/>
          <w:i/>
          <w:iCs/>
          <w:sz w:val="24"/>
        </w:rPr>
        <w:t>CWY20</w:t>
      </w:r>
      <w:r w:rsidR="00C57D44" w:rsidRPr="00411383">
        <w:rPr>
          <w:rFonts w:ascii="Times New Roman" w:hAnsi="Times New Roman" w:cs="Times New Roman"/>
          <w:sz w:val="24"/>
        </w:rPr>
        <w:t xml:space="preserve"> and </w:t>
      </w:r>
      <w:r w:rsidR="00C57D44" w:rsidRPr="00411383">
        <w:rPr>
          <w:rFonts w:ascii="Times New Roman" w:hAnsi="Times New Roman" w:cs="Times New Roman"/>
          <w:i/>
          <w:iCs/>
          <w:sz w:val="24"/>
        </w:rPr>
        <w:t>ENT19</w:t>
      </w:r>
      <w:r w:rsidR="00C57D44" w:rsidRPr="00411383">
        <w:rPr>
          <w:rFonts w:ascii="Times New Roman" w:hAnsi="Times New Roman" w:cs="Times New Roman"/>
          <w:sz w:val="24"/>
        </w:rPr>
        <w:t>;</w:t>
      </w:r>
      <w:r w:rsidR="00C57D44" w:rsidRPr="00411383">
        <w:rPr>
          <w:rStyle w:val="FootnoteReference"/>
          <w:rFonts w:ascii="Times New Roman" w:hAnsi="Times New Roman" w:cs="Times New Roman"/>
          <w:sz w:val="24"/>
        </w:rPr>
        <w:footnoteReference w:id="159"/>
      </w:r>
      <w:r w:rsidR="00D0588B" w:rsidRPr="00411383">
        <w:rPr>
          <w:rFonts w:ascii="Times New Roman" w:hAnsi="Times New Roman" w:cs="Times New Roman"/>
          <w:sz w:val="24"/>
        </w:rPr>
        <w:t xml:space="preserve"> Downes J agreed with Derrington J’s reasoning on this point.</w:t>
      </w:r>
      <w:r w:rsidR="00372701" w:rsidRPr="00411383">
        <w:rPr>
          <w:rStyle w:val="FootnoteReference"/>
          <w:rFonts w:ascii="Times New Roman" w:hAnsi="Times New Roman" w:cs="Times New Roman"/>
          <w:sz w:val="24"/>
        </w:rPr>
        <w:footnoteReference w:id="160"/>
      </w:r>
      <w:r w:rsidR="009D2FA7" w:rsidRPr="00411383">
        <w:rPr>
          <w:rFonts w:ascii="Times New Roman" w:hAnsi="Times New Roman" w:cs="Times New Roman"/>
          <w:sz w:val="24"/>
        </w:rPr>
        <w:t xml:space="preserve"> Derrington J’s </w:t>
      </w:r>
      <w:r w:rsidR="008B06CB" w:rsidRPr="00411383">
        <w:rPr>
          <w:rFonts w:ascii="Times New Roman" w:hAnsi="Times New Roman" w:cs="Times New Roman"/>
          <w:sz w:val="24"/>
        </w:rPr>
        <w:t xml:space="preserve">judgment hence enjoyed the support of a majority of the Court on this point, and </w:t>
      </w:r>
      <w:r w:rsidR="00A07F25">
        <w:rPr>
          <w:rFonts w:ascii="Times New Roman" w:hAnsi="Times New Roman" w:cs="Times New Roman"/>
          <w:sz w:val="24"/>
        </w:rPr>
        <w:t>deserves</w:t>
      </w:r>
      <w:r w:rsidR="00A07F25" w:rsidRPr="00411383">
        <w:rPr>
          <w:rFonts w:ascii="Times New Roman" w:hAnsi="Times New Roman" w:cs="Times New Roman"/>
          <w:sz w:val="24"/>
        </w:rPr>
        <w:t xml:space="preserve"> </w:t>
      </w:r>
      <w:r w:rsidR="008B06CB" w:rsidRPr="00411383">
        <w:rPr>
          <w:rFonts w:ascii="Times New Roman" w:hAnsi="Times New Roman" w:cs="Times New Roman"/>
          <w:sz w:val="24"/>
        </w:rPr>
        <w:t>close analysis.</w:t>
      </w:r>
    </w:p>
    <w:p w14:paraId="7A30A072" w14:textId="77777777" w:rsidR="00252B02" w:rsidRPr="00411383" w:rsidRDefault="00252B02" w:rsidP="00E33B82">
      <w:pPr>
        <w:spacing w:line="360" w:lineRule="auto"/>
        <w:jc w:val="both"/>
        <w:rPr>
          <w:rFonts w:ascii="Times New Roman" w:hAnsi="Times New Roman" w:cs="Times New Roman"/>
          <w:sz w:val="24"/>
        </w:rPr>
      </w:pPr>
    </w:p>
    <w:p w14:paraId="3EC0C383" w14:textId="411E23FB" w:rsidR="008B06CB" w:rsidRPr="00411383" w:rsidRDefault="00D95BE2" w:rsidP="00E33B82">
      <w:pPr>
        <w:spacing w:line="360" w:lineRule="auto"/>
        <w:jc w:val="both"/>
        <w:rPr>
          <w:rFonts w:ascii="Times New Roman" w:hAnsi="Times New Roman" w:cs="Times New Roman"/>
          <w:sz w:val="24"/>
        </w:rPr>
      </w:pPr>
      <w:r w:rsidRPr="00411383">
        <w:rPr>
          <w:rFonts w:ascii="Times New Roman" w:hAnsi="Times New Roman" w:cs="Times New Roman"/>
          <w:sz w:val="24"/>
        </w:rPr>
        <w:t xml:space="preserve">Derrington J considered the reasoning in </w:t>
      </w:r>
      <w:r w:rsidRPr="00411383">
        <w:rPr>
          <w:rFonts w:ascii="Times New Roman" w:hAnsi="Times New Roman" w:cs="Times New Roman"/>
          <w:i/>
          <w:iCs/>
          <w:sz w:val="24"/>
        </w:rPr>
        <w:t>CWY20</w:t>
      </w:r>
      <w:r w:rsidRPr="00411383">
        <w:rPr>
          <w:rFonts w:ascii="Times New Roman" w:hAnsi="Times New Roman" w:cs="Times New Roman"/>
          <w:sz w:val="24"/>
        </w:rPr>
        <w:t xml:space="preserve"> and </w:t>
      </w:r>
      <w:r w:rsidRPr="00411383">
        <w:rPr>
          <w:rFonts w:ascii="Times New Roman" w:hAnsi="Times New Roman" w:cs="Times New Roman"/>
          <w:i/>
          <w:iCs/>
          <w:sz w:val="24"/>
        </w:rPr>
        <w:t>ENT19</w:t>
      </w:r>
      <w:r w:rsidRPr="00411383">
        <w:rPr>
          <w:rFonts w:ascii="Times New Roman" w:hAnsi="Times New Roman" w:cs="Times New Roman"/>
          <w:sz w:val="24"/>
        </w:rPr>
        <w:t xml:space="preserve"> in some detail.</w:t>
      </w:r>
      <w:r w:rsidR="00C31B8C" w:rsidRPr="00411383">
        <w:rPr>
          <w:rStyle w:val="FootnoteReference"/>
          <w:rFonts w:ascii="Times New Roman" w:hAnsi="Times New Roman" w:cs="Times New Roman"/>
          <w:sz w:val="24"/>
        </w:rPr>
        <w:footnoteReference w:id="161"/>
      </w:r>
      <w:r w:rsidR="00C91FE1" w:rsidRPr="00411383">
        <w:rPr>
          <w:rFonts w:ascii="Times New Roman" w:hAnsi="Times New Roman" w:cs="Times New Roman"/>
          <w:sz w:val="24"/>
        </w:rPr>
        <w:t xml:space="preserve"> His Honour observed that ‘[t]here are, with great respect, some debateable features of the reasoning in </w:t>
      </w:r>
      <w:r w:rsidR="00C91FE1" w:rsidRPr="00411383">
        <w:rPr>
          <w:rFonts w:ascii="Times New Roman" w:hAnsi="Times New Roman" w:cs="Times New Roman"/>
          <w:i/>
          <w:iCs/>
          <w:sz w:val="24"/>
        </w:rPr>
        <w:t>CWY20</w:t>
      </w:r>
      <w:r w:rsidR="00C91FE1" w:rsidRPr="00411383">
        <w:rPr>
          <w:rFonts w:ascii="Times New Roman" w:hAnsi="Times New Roman" w:cs="Times New Roman"/>
          <w:sz w:val="24"/>
        </w:rPr>
        <w:t xml:space="preserve"> and </w:t>
      </w:r>
      <w:r w:rsidR="00C91FE1" w:rsidRPr="00411383">
        <w:rPr>
          <w:rFonts w:ascii="Times New Roman" w:hAnsi="Times New Roman" w:cs="Times New Roman"/>
          <w:i/>
          <w:iCs/>
          <w:sz w:val="24"/>
        </w:rPr>
        <w:t>ENT19</w:t>
      </w:r>
      <w:r w:rsidR="00C91FE1" w:rsidRPr="00411383">
        <w:rPr>
          <w:rFonts w:ascii="Times New Roman" w:hAnsi="Times New Roman" w:cs="Times New Roman"/>
          <w:sz w:val="24"/>
        </w:rPr>
        <w:t xml:space="preserve">’ – stemming from ‘the assumption by this Court, without evidence to hand, of a prescient understanding of the impact of Australia’s </w:t>
      </w:r>
      <w:r w:rsidR="00567B6C" w:rsidRPr="00411383">
        <w:rPr>
          <w:rFonts w:ascii="Times New Roman" w:hAnsi="Times New Roman" w:cs="Times New Roman"/>
          <w:sz w:val="24"/>
        </w:rPr>
        <w:t>non-compliance with those treaty obligations to which it has consented at international law’.</w:t>
      </w:r>
      <w:r w:rsidR="009D35CB" w:rsidRPr="00411383">
        <w:rPr>
          <w:rStyle w:val="FootnoteReference"/>
          <w:rFonts w:ascii="Times New Roman" w:hAnsi="Times New Roman" w:cs="Times New Roman"/>
          <w:sz w:val="24"/>
        </w:rPr>
        <w:footnoteReference w:id="162"/>
      </w:r>
      <w:r w:rsidR="009D4B8A" w:rsidRPr="00411383">
        <w:rPr>
          <w:rFonts w:ascii="Times New Roman" w:hAnsi="Times New Roman" w:cs="Times New Roman"/>
          <w:sz w:val="24"/>
        </w:rPr>
        <w:t xml:space="preserve"> In particular, his Honour criticised the </w:t>
      </w:r>
      <w:r w:rsidR="009D4B8A" w:rsidRPr="00411383">
        <w:rPr>
          <w:rFonts w:ascii="Times New Roman" w:hAnsi="Times New Roman" w:cs="Times New Roman"/>
          <w:i/>
          <w:iCs/>
          <w:sz w:val="24"/>
        </w:rPr>
        <w:t>CWY20</w:t>
      </w:r>
      <w:r w:rsidR="009D4B8A" w:rsidRPr="00411383">
        <w:rPr>
          <w:rFonts w:ascii="Times New Roman" w:hAnsi="Times New Roman" w:cs="Times New Roman"/>
          <w:sz w:val="24"/>
        </w:rPr>
        <w:t xml:space="preserve"> Full Court’s judicial notice of the proposition that ‘acting inconsistently with international law obligations may undermine confidence externally’,</w:t>
      </w:r>
      <w:r w:rsidR="009D4B8A" w:rsidRPr="00411383">
        <w:rPr>
          <w:rStyle w:val="FootnoteReference"/>
          <w:rFonts w:ascii="Times New Roman" w:hAnsi="Times New Roman" w:cs="Times New Roman"/>
          <w:sz w:val="24"/>
        </w:rPr>
        <w:footnoteReference w:id="163"/>
      </w:r>
      <w:r w:rsidR="009216FA" w:rsidRPr="00411383">
        <w:rPr>
          <w:rFonts w:ascii="Times New Roman" w:hAnsi="Times New Roman" w:cs="Times New Roman"/>
          <w:sz w:val="24"/>
        </w:rPr>
        <w:t xml:space="preserve"> having regard to the following:</w:t>
      </w:r>
    </w:p>
    <w:p w14:paraId="79595928" w14:textId="1955A30E" w:rsidR="009216FA" w:rsidRPr="00411383" w:rsidRDefault="005B3909" w:rsidP="00E33B82">
      <w:pPr>
        <w:pStyle w:val="ListParagraph"/>
        <w:numPr>
          <w:ilvl w:val="0"/>
          <w:numId w:val="9"/>
        </w:numPr>
        <w:spacing w:line="360" w:lineRule="auto"/>
        <w:jc w:val="both"/>
        <w:rPr>
          <w:rFonts w:ascii="Times New Roman" w:hAnsi="Times New Roman" w:cs="Times New Roman"/>
          <w:sz w:val="24"/>
        </w:rPr>
      </w:pPr>
      <w:r w:rsidRPr="00411383">
        <w:rPr>
          <w:rFonts w:ascii="Times New Roman" w:hAnsi="Times New Roman" w:cs="Times New Roman"/>
          <w:sz w:val="24"/>
        </w:rPr>
        <w:t>Derrington J observed that ‘[t]he fact that an obligation is assumed voluntarily and that other nations are involved establishes little’, and provides no guidance as to the harm, if any, from non-compliance</w:t>
      </w:r>
      <w:r w:rsidR="00BC3981" w:rsidRPr="00411383">
        <w:rPr>
          <w:rFonts w:ascii="Times New Roman" w:hAnsi="Times New Roman" w:cs="Times New Roman"/>
          <w:sz w:val="24"/>
        </w:rPr>
        <w:t>.</w:t>
      </w:r>
      <w:r w:rsidRPr="00411383">
        <w:rPr>
          <w:rStyle w:val="FootnoteReference"/>
          <w:rFonts w:ascii="Times New Roman" w:hAnsi="Times New Roman" w:cs="Times New Roman"/>
          <w:sz w:val="24"/>
        </w:rPr>
        <w:footnoteReference w:id="164"/>
      </w:r>
      <w:r w:rsidR="00BC3981" w:rsidRPr="00411383">
        <w:rPr>
          <w:rFonts w:ascii="Times New Roman" w:hAnsi="Times New Roman" w:cs="Times New Roman"/>
          <w:sz w:val="24"/>
        </w:rPr>
        <w:t xml:space="preserve"> </w:t>
      </w:r>
      <w:r w:rsidR="00A51C6D" w:rsidRPr="00411383">
        <w:rPr>
          <w:rFonts w:ascii="Times New Roman" w:hAnsi="Times New Roman" w:cs="Times New Roman"/>
          <w:sz w:val="24"/>
        </w:rPr>
        <w:t>It is possible that ‘other nations are as unconcerned about Australia’s non-compliance with certain of its treaty obligations as they are about their own non-compliance’.</w:t>
      </w:r>
      <w:r w:rsidR="00A51C6D" w:rsidRPr="00411383">
        <w:rPr>
          <w:rStyle w:val="FootnoteReference"/>
          <w:rFonts w:ascii="Times New Roman" w:hAnsi="Times New Roman" w:cs="Times New Roman"/>
          <w:sz w:val="24"/>
        </w:rPr>
        <w:footnoteReference w:id="165"/>
      </w:r>
      <w:r w:rsidR="00A51C6D" w:rsidRPr="00411383">
        <w:rPr>
          <w:rFonts w:ascii="Times New Roman" w:hAnsi="Times New Roman" w:cs="Times New Roman"/>
          <w:sz w:val="24"/>
        </w:rPr>
        <w:t xml:space="preserve"> </w:t>
      </w:r>
      <w:r w:rsidR="00BC3981" w:rsidRPr="00411383">
        <w:rPr>
          <w:rFonts w:ascii="Times New Roman" w:hAnsi="Times New Roman" w:cs="Times New Roman"/>
          <w:sz w:val="24"/>
        </w:rPr>
        <w:t xml:space="preserve">If harm </w:t>
      </w:r>
      <w:r w:rsidR="00BC3981" w:rsidRPr="00411383">
        <w:rPr>
          <w:rFonts w:ascii="Times New Roman" w:hAnsi="Times New Roman" w:cs="Times New Roman"/>
          <w:i/>
          <w:iCs/>
          <w:sz w:val="24"/>
        </w:rPr>
        <w:t xml:space="preserve">will </w:t>
      </w:r>
      <w:r w:rsidR="00BC3981" w:rsidRPr="00411383">
        <w:rPr>
          <w:rFonts w:ascii="Times New Roman" w:hAnsi="Times New Roman" w:cs="Times New Roman"/>
          <w:sz w:val="24"/>
        </w:rPr>
        <w:t>result from non-compliance, then ‘it must be for the Executive to identify it and assess its extent’</w:t>
      </w:r>
      <w:r w:rsidR="00B532DE" w:rsidRPr="00411383">
        <w:rPr>
          <w:rFonts w:ascii="Times New Roman" w:hAnsi="Times New Roman" w:cs="Times New Roman"/>
          <w:sz w:val="24"/>
        </w:rPr>
        <w:t xml:space="preserve">, having regard to various matters – including ‘the level of compliance by other States parties to the treaty in question’ – which it would not be ‘appropriate or feasible’ for a Court to </w:t>
      </w:r>
      <w:r w:rsidR="00B6037B" w:rsidRPr="00411383">
        <w:rPr>
          <w:rFonts w:ascii="Times New Roman" w:hAnsi="Times New Roman" w:cs="Times New Roman"/>
          <w:sz w:val="24"/>
        </w:rPr>
        <w:t>assess or determine.</w:t>
      </w:r>
      <w:r w:rsidR="000244AB" w:rsidRPr="00411383">
        <w:rPr>
          <w:rStyle w:val="FootnoteReference"/>
          <w:rFonts w:ascii="Times New Roman" w:hAnsi="Times New Roman" w:cs="Times New Roman"/>
          <w:sz w:val="24"/>
        </w:rPr>
        <w:footnoteReference w:id="166"/>
      </w:r>
      <w:r w:rsidR="00080981" w:rsidRPr="00411383">
        <w:rPr>
          <w:rFonts w:ascii="Times New Roman" w:hAnsi="Times New Roman" w:cs="Times New Roman"/>
          <w:sz w:val="24"/>
        </w:rPr>
        <w:t xml:space="preserve"> </w:t>
      </w:r>
    </w:p>
    <w:p w14:paraId="00C18485" w14:textId="5D59481B" w:rsidR="000244AB" w:rsidRPr="00411383" w:rsidRDefault="000D4094" w:rsidP="00E33B82">
      <w:pPr>
        <w:pStyle w:val="ListParagraph"/>
        <w:numPr>
          <w:ilvl w:val="0"/>
          <w:numId w:val="9"/>
        </w:numPr>
        <w:spacing w:line="360" w:lineRule="auto"/>
        <w:jc w:val="both"/>
        <w:rPr>
          <w:rFonts w:ascii="Times New Roman" w:hAnsi="Times New Roman" w:cs="Times New Roman"/>
          <w:sz w:val="24"/>
        </w:rPr>
      </w:pPr>
      <w:r w:rsidRPr="00411383">
        <w:rPr>
          <w:rFonts w:ascii="Times New Roman" w:hAnsi="Times New Roman" w:cs="Times New Roman"/>
          <w:sz w:val="24"/>
        </w:rPr>
        <w:t xml:space="preserve">Derrington J further observed that ‘the attitude of the Australian population to non-compliance with unenacted treaty obligations’ is irrelevant to the attitude of the </w:t>
      </w:r>
      <w:r w:rsidRPr="00411383">
        <w:rPr>
          <w:rFonts w:ascii="Times New Roman" w:hAnsi="Times New Roman" w:cs="Times New Roman"/>
          <w:i/>
          <w:iCs/>
          <w:sz w:val="24"/>
        </w:rPr>
        <w:t>international</w:t>
      </w:r>
      <w:r w:rsidRPr="00411383">
        <w:rPr>
          <w:rFonts w:ascii="Times New Roman" w:hAnsi="Times New Roman" w:cs="Times New Roman"/>
          <w:sz w:val="24"/>
        </w:rPr>
        <w:t xml:space="preserve"> community to non-compliance.</w:t>
      </w:r>
      <w:r w:rsidR="003732BE" w:rsidRPr="00411383">
        <w:rPr>
          <w:rStyle w:val="FootnoteReference"/>
          <w:rFonts w:ascii="Times New Roman" w:hAnsi="Times New Roman" w:cs="Times New Roman"/>
          <w:sz w:val="24"/>
        </w:rPr>
        <w:footnoteReference w:id="167"/>
      </w:r>
      <w:r w:rsidRPr="00411383">
        <w:rPr>
          <w:rFonts w:ascii="Times New Roman" w:hAnsi="Times New Roman" w:cs="Times New Roman"/>
          <w:sz w:val="24"/>
        </w:rPr>
        <w:t xml:space="preserve"> </w:t>
      </w:r>
    </w:p>
    <w:p w14:paraId="6259CD21" w14:textId="056BD1A7" w:rsidR="00CC4832" w:rsidRPr="00411383" w:rsidRDefault="00CC4832" w:rsidP="00E33B82">
      <w:pPr>
        <w:pStyle w:val="ListParagraph"/>
        <w:numPr>
          <w:ilvl w:val="0"/>
          <w:numId w:val="9"/>
        </w:numPr>
        <w:spacing w:line="360" w:lineRule="auto"/>
        <w:jc w:val="both"/>
        <w:rPr>
          <w:rFonts w:ascii="Times New Roman" w:hAnsi="Times New Roman" w:cs="Times New Roman"/>
          <w:sz w:val="24"/>
        </w:rPr>
      </w:pPr>
      <w:r w:rsidRPr="00411383">
        <w:rPr>
          <w:rFonts w:ascii="Times New Roman" w:hAnsi="Times New Roman" w:cs="Times New Roman"/>
          <w:sz w:val="24"/>
        </w:rPr>
        <w:t xml:space="preserve">Derrington J noted that, even if breach of international obligations </w:t>
      </w:r>
      <w:r w:rsidRPr="00411383">
        <w:rPr>
          <w:rFonts w:ascii="Times New Roman" w:hAnsi="Times New Roman" w:cs="Times New Roman"/>
          <w:i/>
          <w:iCs/>
          <w:sz w:val="24"/>
        </w:rPr>
        <w:t xml:space="preserve">would </w:t>
      </w:r>
      <w:r w:rsidRPr="00411383">
        <w:rPr>
          <w:rFonts w:ascii="Times New Roman" w:hAnsi="Times New Roman" w:cs="Times New Roman"/>
          <w:sz w:val="24"/>
        </w:rPr>
        <w:t xml:space="preserve">prompt some negative reaction from the international community, it is not clear what form that reaction would take: ‘from where the opprobrium would come, in what form, how </w:t>
      </w:r>
      <w:r w:rsidRPr="00411383">
        <w:rPr>
          <w:rFonts w:ascii="Times New Roman" w:hAnsi="Times New Roman" w:cs="Times New Roman"/>
          <w:sz w:val="24"/>
        </w:rPr>
        <w:lastRenderedPageBreak/>
        <w:t>consequential it would be for Australia’s international standing, and how it would adversely affect Australia in any event’.</w:t>
      </w:r>
      <w:r w:rsidR="000A3433" w:rsidRPr="00411383">
        <w:rPr>
          <w:rStyle w:val="FootnoteReference"/>
          <w:rFonts w:ascii="Times New Roman" w:hAnsi="Times New Roman" w:cs="Times New Roman"/>
          <w:sz w:val="24"/>
        </w:rPr>
        <w:footnoteReference w:id="168"/>
      </w:r>
      <w:r w:rsidRPr="00411383">
        <w:rPr>
          <w:rFonts w:ascii="Times New Roman" w:hAnsi="Times New Roman" w:cs="Times New Roman"/>
          <w:sz w:val="24"/>
        </w:rPr>
        <w:t xml:space="preserve"> </w:t>
      </w:r>
      <w:r w:rsidR="00870F4E" w:rsidRPr="00411383">
        <w:rPr>
          <w:rFonts w:ascii="Times New Roman" w:hAnsi="Times New Roman" w:cs="Times New Roman"/>
          <w:sz w:val="24"/>
        </w:rPr>
        <w:t>His Honour noted that Australia has not otherwise enacted legislation to give effect to the totality of its international obligations</w:t>
      </w:r>
      <w:r w:rsidR="001D258E" w:rsidRPr="00411383">
        <w:rPr>
          <w:rFonts w:ascii="Times New Roman" w:hAnsi="Times New Roman" w:cs="Times New Roman"/>
          <w:sz w:val="24"/>
        </w:rPr>
        <w:t>,</w:t>
      </w:r>
      <w:r w:rsidR="00D36B1A" w:rsidRPr="00411383">
        <w:rPr>
          <w:rStyle w:val="FootnoteReference"/>
          <w:rFonts w:ascii="Times New Roman" w:hAnsi="Times New Roman" w:cs="Times New Roman"/>
          <w:sz w:val="24"/>
        </w:rPr>
        <w:footnoteReference w:id="169"/>
      </w:r>
      <w:r w:rsidR="00870F4E" w:rsidRPr="00411383">
        <w:rPr>
          <w:rFonts w:ascii="Times New Roman" w:hAnsi="Times New Roman" w:cs="Times New Roman"/>
          <w:sz w:val="24"/>
        </w:rPr>
        <w:t xml:space="preserve"> </w:t>
      </w:r>
      <w:r w:rsidR="001D258E" w:rsidRPr="00411383">
        <w:rPr>
          <w:rFonts w:ascii="Times New Roman" w:hAnsi="Times New Roman" w:cs="Times New Roman"/>
          <w:sz w:val="24"/>
        </w:rPr>
        <w:t xml:space="preserve">and that any international reaction to Australia’s breach of its international obligations would be prompted by this broader systemic failure – ‘rather than </w:t>
      </w:r>
      <w:r w:rsidR="0072351C" w:rsidRPr="00411383">
        <w:rPr>
          <w:rFonts w:ascii="Times New Roman" w:hAnsi="Times New Roman" w:cs="Times New Roman"/>
          <w:sz w:val="24"/>
        </w:rPr>
        <w:t>any</w:t>
      </w:r>
      <w:r w:rsidR="001D258E" w:rsidRPr="00411383">
        <w:rPr>
          <w:rFonts w:ascii="Times New Roman" w:hAnsi="Times New Roman" w:cs="Times New Roman"/>
          <w:sz w:val="24"/>
        </w:rPr>
        <w:t xml:space="preserve"> specific instance of non-compliance with a particular obligation at international law’.</w:t>
      </w:r>
      <w:r w:rsidR="00BE447F" w:rsidRPr="00411383">
        <w:rPr>
          <w:rStyle w:val="FootnoteReference"/>
          <w:rFonts w:ascii="Times New Roman" w:hAnsi="Times New Roman" w:cs="Times New Roman"/>
          <w:sz w:val="24"/>
        </w:rPr>
        <w:footnoteReference w:id="170"/>
      </w:r>
      <w:r w:rsidR="001D258E" w:rsidRPr="00411383">
        <w:rPr>
          <w:rFonts w:ascii="Times New Roman" w:hAnsi="Times New Roman" w:cs="Times New Roman"/>
          <w:sz w:val="24"/>
        </w:rPr>
        <w:t xml:space="preserve"> </w:t>
      </w:r>
    </w:p>
    <w:p w14:paraId="3F8BE6D3" w14:textId="7C74566C" w:rsidR="00D73113" w:rsidRPr="00411383" w:rsidRDefault="00080981" w:rsidP="00E33B82">
      <w:pPr>
        <w:pStyle w:val="ListParagraph"/>
        <w:numPr>
          <w:ilvl w:val="0"/>
          <w:numId w:val="9"/>
        </w:numPr>
        <w:spacing w:line="360" w:lineRule="auto"/>
        <w:jc w:val="both"/>
        <w:rPr>
          <w:rFonts w:ascii="Times New Roman" w:hAnsi="Times New Roman" w:cs="Times New Roman"/>
          <w:sz w:val="24"/>
        </w:rPr>
      </w:pPr>
      <w:r w:rsidRPr="00411383">
        <w:rPr>
          <w:rFonts w:ascii="Times New Roman" w:hAnsi="Times New Roman" w:cs="Times New Roman"/>
          <w:sz w:val="24"/>
        </w:rPr>
        <w:t xml:space="preserve">Returning to the question of justiciability, Derrington J stated that ‘harm to Australia’s </w:t>
      </w:r>
      <w:r w:rsidR="00990304" w:rsidRPr="00411383">
        <w:rPr>
          <w:rFonts w:ascii="Times New Roman" w:hAnsi="Times New Roman" w:cs="Times New Roman"/>
          <w:sz w:val="24"/>
        </w:rPr>
        <w:t xml:space="preserve">reputation internationally is not a concept that is realistically justiciable in domestic courts, which have neither the evidence to hand nor the conversance with the subject matter that is necessary to facilitate a proper assessment’ of </w:t>
      </w:r>
      <w:r w:rsidR="0044184E" w:rsidRPr="00411383">
        <w:rPr>
          <w:rFonts w:ascii="Times New Roman" w:hAnsi="Times New Roman" w:cs="Times New Roman"/>
          <w:sz w:val="24"/>
        </w:rPr>
        <w:t>the ‘essentially political’ consequences of breach of international obligations.</w:t>
      </w:r>
      <w:r w:rsidR="00FB31DF" w:rsidRPr="00411383">
        <w:rPr>
          <w:rStyle w:val="FootnoteReference"/>
          <w:rFonts w:ascii="Times New Roman" w:hAnsi="Times New Roman" w:cs="Times New Roman"/>
          <w:sz w:val="24"/>
        </w:rPr>
        <w:footnoteReference w:id="171"/>
      </w:r>
    </w:p>
    <w:p w14:paraId="5B848BBC" w14:textId="77777777" w:rsidR="008B06CB" w:rsidRPr="00411383" w:rsidRDefault="008B06CB" w:rsidP="00E33B82">
      <w:pPr>
        <w:spacing w:line="360" w:lineRule="auto"/>
        <w:jc w:val="both"/>
        <w:rPr>
          <w:rFonts w:ascii="Times New Roman" w:hAnsi="Times New Roman" w:cs="Times New Roman"/>
          <w:sz w:val="24"/>
        </w:rPr>
      </w:pPr>
    </w:p>
    <w:p w14:paraId="08243BB8" w14:textId="055CFFE5" w:rsidR="003C5DBA" w:rsidRPr="00411383" w:rsidRDefault="003C5DBA" w:rsidP="00E33B82">
      <w:pPr>
        <w:spacing w:line="360" w:lineRule="auto"/>
        <w:jc w:val="both"/>
        <w:rPr>
          <w:rFonts w:ascii="Times New Roman" w:hAnsi="Times New Roman" w:cs="Times New Roman"/>
          <w:sz w:val="24"/>
        </w:rPr>
      </w:pPr>
      <w:r w:rsidRPr="00411383">
        <w:rPr>
          <w:rFonts w:ascii="Times New Roman" w:hAnsi="Times New Roman" w:cs="Times New Roman"/>
          <w:sz w:val="24"/>
        </w:rPr>
        <w:t>Derrington J hence found that ‘no finding should be made about the implications of Australia’s breach of a treaty obligation in the absence of evidence’, and that ‘[t]he harm that results from such a breach, if any, is entirely for the Executive to ascertain and to weigh’.</w:t>
      </w:r>
      <w:r w:rsidR="00F4392F" w:rsidRPr="00411383">
        <w:rPr>
          <w:rStyle w:val="FootnoteReference"/>
          <w:rFonts w:ascii="Times New Roman" w:hAnsi="Times New Roman" w:cs="Times New Roman"/>
          <w:sz w:val="24"/>
        </w:rPr>
        <w:footnoteReference w:id="172"/>
      </w:r>
      <w:r w:rsidR="00F4392F" w:rsidRPr="00411383">
        <w:rPr>
          <w:rFonts w:ascii="Times New Roman" w:hAnsi="Times New Roman" w:cs="Times New Roman"/>
          <w:sz w:val="24"/>
        </w:rPr>
        <w:t xml:space="preserve"> In any event, however, his Honour found that the High Court’s reasoning in </w:t>
      </w:r>
      <w:r w:rsidR="00F4392F" w:rsidRPr="00411383">
        <w:rPr>
          <w:rFonts w:ascii="Times New Roman" w:hAnsi="Times New Roman" w:cs="Times New Roman"/>
          <w:i/>
          <w:iCs/>
          <w:sz w:val="24"/>
        </w:rPr>
        <w:t>M1</w:t>
      </w:r>
      <w:r w:rsidR="00F4392F" w:rsidRPr="00411383">
        <w:rPr>
          <w:rFonts w:ascii="Times New Roman" w:hAnsi="Times New Roman" w:cs="Times New Roman"/>
          <w:sz w:val="24"/>
        </w:rPr>
        <w:t xml:space="preserve"> was inconsistent with that of the Full Courts in </w:t>
      </w:r>
      <w:r w:rsidR="00F4392F" w:rsidRPr="00411383">
        <w:rPr>
          <w:rFonts w:ascii="Times New Roman" w:hAnsi="Times New Roman" w:cs="Times New Roman"/>
          <w:i/>
          <w:iCs/>
          <w:sz w:val="24"/>
        </w:rPr>
        <w:t>CWY20</w:t>
      </w:r>
      <w:r w:rsidR="00F4392F" w:rsidRPr="00411383">
        <w:rPr>
          <w:rFonts w:ascii="Times New Roman" w:hAnsi="Times New Roman" w:cs="Times New Roman"/>
          <w:sz w:val="24"/>
        </w:rPr>
        <w:t xml:space="preserve"> and </w:t>
      </w:r>
      <w:r w:rsidR="00F4392F" w:rsidRPr="00411383">
        <w:rPr>
          <w:rFonts w:ascii="Times New Roman" w:hAnsi="Times New Roman" w:cs="Times New Roman"/>
          <w:i/>
          <w:iCs/>
          <w:sz w:val="24"/>
        </w:rPr>
        <w:t>ENT19</w:t>
      </w:r>
      <w:r w:rsidR="00F4392F" w:rsidRPr="00411383">
        <w:rPr>
          <w:rFonts w:ascii="Times New Roman" w:hAnsi="Times New Roman" w:cs="Times New Roman"/>
          <w:sz w:val="24"/>
        </w:rPr>
        <w:t>,</w:t>
      </w:r>
      <w:r w:rsidR="00F4392F" w:rsidRPr="00411383">
        <w:rPr>
          <w:rStyle w:val="FootnoteReference"/>
          <w:rFonts w:ascii="Times New Roman" w:hAnsi="Times New Roman" w:cs="Times New Roman"/>
          <w:sz w:val="24"/>
        </w:rPr>
        <w:footnoteReference w:id="173"/>
      </w:r>
      <w:r w:rsidR="00017BCD" w:rsidRPr="00411383">
        <w:rPr>
          <w:rFonts w:ascii="Times New Roman" w:hAnsi="Times New Roman" w:cs="Times New Roman"/>
          <w:sz w:val="24"/>
        </w:rPr>
        <w:t xml:space="preserve"> and that ‘[i]t follows that </w:t>
      </w:r>
      <w:r w:rsidR="00017BCD" w:rsidRPr="00411383">
        <w:rPr>
          <w:rFonts w:ascii="Times New Roman" w:hAnsi="Times New Roman" w:cs="Times New Roman"/>
          <w:i/>
          <w:iCs/>
          <w:sz w:val="24"/>
        </w:rPr>
        <w:t>CWY20</w:t>
      </w:r>
      <w:r w:rsidR="00017BCD" w:rsidRPr="00411383">
        <w:rPr>
          <w:rFonts w:ascii="Times New Roman" w:hAnsi="Times New Roman" w:cs="Times New Roman"/>
          <w:sz w:val="24"/>
        </w:rPr>
        <w:t xml:space="preserve"> should no longer be regarded as good law in the light of </w:t>
      </w:r>
      <w:r w:rsidR="00017BCD" w:rsidRPr="00411383">
        <w:rPr>
          <w:rFonts w:ascii="Times New Roman" w:hAnsi="Times New Roman" w:cs="Times New Roman"/>
          <w:i/>
          <w:iCs/>
          <w:sz w:val="24"/>
        </w:rPr>
        <w:t>Plaintiff M1/2021</w:t>
      </w:r>
      <w:r w:rsidR="00017BCD" w:rsidRPr="00411383">
        <w:rPr>
          <w:rFonts w:ascii="Times New Roman" w:hAnsi="Times New Roman" w:cs="Times New Roman"/>
          <w:sz w:val="24"/>
        </w:rPr>
        <w:t>’.</w:t>
      </w:r>
      <w:r w:rsidR="00EB6C1F" w:rsidRPr="00411383">
        <w:rPr>
          <w:rStyle w:val="FootnoteReference"/>
          <w:rFonts w:ascii="Times New Roman" w:hAnsi="Times New Roman" w:cs="Times New Roman"/>
          <w:sz w:val="24"/>
        </w:rPr>
        <w:footnoteReference w:id="174"/>
      </w:r>
      <w:r w:rsidR="001C6DA0" w:rsidRPr="00411383">
        <w:rPr>
          <w:rFonts w:ascii="Times New Roman" w:hAnsi="Times New Roman" w:cs="Times New Roman"/>
          <w:sz w:val="24"/>
        </w:rPr>
        <w:t xml:space="preserve"> Like in </w:t>
      </w:r>
      <w:r w:rsidR="001C6DA0" w:rsidRPr="00411383">
        <w:rPr>
          <w:rFonts w:ascii="Times New Roman" w:hAnsi="Times New Roman" w:cs="Times New Roman"/>
          <w:i/>
          <w:iCs/>
          <w:sz w:val="24"/>
        </w:rPr>
        <w:t>M1</w:t>
      </w:r>
      <w:r w:rsidR="001C6DA0" w:rsidRPr="00411383">
        <w:rPr>
          <w:rFonts w:ascii="Times New Roman" w:hAnsi="Times New Roman" w:cs="Times New Roman"/>
          <w:sz w:val="24"/>
        </w:rPr>
        <w:t xml:space="preserve">, and like in </w:t>
      </w:r>
      <w:r w:rsidR="001C6DA0" w:rsidRPr="00411383">
        <w:rPr>
          <w:rFonts w:ascii="Times New Roman" w:hAnsi="Times New Roman" w:cs="Times New Roman"/>
          <w:i/>
          <w:iCs/>
          <w:sz w:val="24"/>
        </w:rPr>
        <w:t>BNGP</w:t>
      </w:r>
      <w:r w:rsidR="001C6DA0" w:rsidRPr="00411383">
        <w:rPr>
          <w:rFonts w:ascii="Times New Roman" w:hAnsi="Times New Roman" w:cs="Times New Roman"/>
          <w:sz w:val="24"/>
        </w:rPr>
        <w:t xml:space="preserve">, </w:t>
      </w:r>
      <w:r w:rsidR="0091568B" w:rsidRPr="00411383">
        <w:rPr>
          <w:rFonts w:ascii="Times New Roman" w:hAnsi="Times New Roman" w:cs="Times New Roman"/>
          <w:sz w:val="24"/>
        </w:rPr>
        <w:t xml:space="preserve"> Derrington J emphasised the principle that ‘Australia’s entry into a treaty is not </w:t>
      </w:r>
      <w:r w:rsidR="0091568B" w:rsidRPr="00411383">
        <w:rPr>
          <w:rFonts w:ascii="Times New Roman" w:hAnsi="Times New Roman" w:cs="Times New Roman"/>
          <w:i/>
          <w:iCs/>
          <w:sz w:val="24"/>
        </w:rPr>
        <w:t xml:space="preserve">per se </w:t>
      </w:r>
      <w:r w:rsidR="0091568B" w:rsidRPr="00411383">
        <w:rPr>
          <w:rFonts w:ascii="Times New Roman" w:hAnsi="Times New Roman" w:cs="Times New Roman"/>
          <w:sz w:val="24"/>
        </w:rPr>
        <w:t>productive of domestic rights or obligations unless and until there has been enactment of the treaty’s norm into domestic law’,</w:t>
      </w:r>
      <w:r w:rsidR="0091568B" w:rsidRPr="00411383">
        <w:rPr>
          <w:rStyle w:val="FootnoteReference"/>
          <w:rFonts w:ascii="Times New Roman" w:hAnsi="Times New Roman" w:cs="Times New Roman"/>
          <w:sz w:val="24"/>
        </w:rPr>
        <w:footnoteReference w:id="175"/>
      </w:r>
      <w:r w:rsidR="00923BD7" w:rsidRPr="00411383">
        <w:rPr>
          <w:rFonts w:ascii="Times New Roman" w:hAnsi="Times New Roman" w:cs="Times New Roman"/>
          <w:sz w:val="24"/>
        </w:rPr>
        <w:t xml:space="preserve"> and the </w:t>
      </w:r>
      <w:r w:rsidR="00923BD7" w:rsidRPr="00411383">
        <w:rPr>
          <w:rFonts w:ascii="Times New Roman" w:hAnsi="Times New Roman" w:cs="Times New Roman"/>
          <w:i/>
          <w:iCs/>
          <w:sz w:val="24"/>
        </w:rPr>
        <w:t>M1</w:t>
      </w:r>
      <w:r w:rsidR="00923BD7" w:rsidRPr="00411383">
        <w:rPr>
          <w:rFonts w:ascii="Times New Roman" w:hAnsi="Times New Roman" w:cs="Times New Roman"/>
          <w:sz w:val="24"/>
        </w:rPr>
        <w:t xml:space="preserve"> majority’s clear division ‘between the effect of those treaty rules and standards that have been incorporated by enactment into Australia’s domestic law, and the effect of those that have not’.</w:t>
      </w:r>
      <w:r w:rsidR="00923BD7" w:rsidRPr="00411383">
        <w:rPr>
          <w:rStyle w:val="FootnoteReference"/>
          <w:rFonts w:ascii="Times New Roman" w:hAnsi="Times New Roman" w:cs="Times New Roman"/>
          <w:sz w:val="24"/>
        </w:rPr>
        <w:footnoteReference w:id="176"/>
      </w:r>
    </w:p>
    <w:p w14:paraId="016AC614" w14:textId="77777777" w:rsidR="000447B1" w:rsidRPr="00411383" w:rsidRDefault="000447B1" w:rsidP="00E33B82">
      <w:pPr>
        <w:spacing w:line="360" w:lineRule="auto"/>
        <w:jc w:val="both"/>
        <w:rPr>
          <w:rFonts w:ascii="Times New Roman" w:hAnsi="Times New Roman" w:cs="Times New Roman"/>
          <w:sz w:val="24"/>
        </w:rPr>
      </w:pPr>
    </w:p>
    <w:p w14:paraId="6F71FAF2" w14:textId="1473644C" w:rsidR="008B00EA" w:rsidRDefault="008855E6" w:rsidP="00E33B82">
      <w:pPr>
        <w:spacing w:line="360" w:lineRule="auto"/>
        <w:jc w:val="both"/>
        <w:rPr>
          <w:rFonts w:ascii="Times New Roman" w:hAnsi="Times New Roman" w:cs="Times New Roman"/>
          <w:sz w:val="24"/>
        </w:rPr>
      </w:pPr>
      <w:r>
        <w:rPr>
          <w:rFonts w:ascii="Times New Roman" w:hAnsi="Times New Roman" w:cs="Times New Roman"/>
          <w:sz w:val="24"/>
        </w:rPr>
        <w:t xml:space="preserve">As noted above, </w:t>
      </w:r>
      <w:r w:rsidR="000447B1" w:rsidRPr="00411383">
        <w:rPr>
          <w:rFonts w:ascii="Times New Roman" w:hAnsi="Times New Roman" w:cs="Times New Roman"/>
          <w:i/>
          <w:iCs/>
          <w:sz w:val="24"/>
        </w:rPr>
        <w:t>CWY20</w:t>
      </w:r>
      <w:r w:rsidR="000447B1" w:rsidRPr="00411383">
        <w:rPr>
          <w:rFonts w:ascii="Times New Roman" w:hAnsi="Times New Roman" w:cs="Times New Roman"/>
          <w:sz w:val="24"/>
        </w:rPr>
        <w:t xml:space="preserve"> was premised, in part, upon the Full Court’s previous recognition in </w:t>
      </w:r>
      <w:r w:rsidR="000447B1" w:rsidRPr="00411383">
        <w:rPr>
          <w:rFonts w:ascii="Times New Roman" w:hAnsi="Times New Roman" w:cs="Times New Roman"/>
          <w:i/>
          <w:iCs/>
          <w:sz w:val="24"/>
        </w:rPr>
        <w:t>Ali</w:t>
      </w:r>
      <w:r w:rsidR="000447B1" w:rsidRPr="00411383">
        <w:rPr>
          <w:rFonts w:ascii="Times New Roman" w:hAnsi="Times New Roman" w:cs="Times New Roman"/>
          <w:sz w:val="24"/>
        </w:rPr>
        <w:t xml:space="preserve"> that non-</w:t>
      </w:r>
      <w:r w:rsidR="000447B1" w:rsidRPr="00411383">
        <w:rPr>
          <w:rFonts w:ascii="Times New Roman" w:hAnsi="Times New Roman" w:cs="Times New Roman"/>
          <w:i/>
          <w:iCs/>
          <w:sz w:val="24"/>
        </w:rPr>
        <w:t>refoulement</w:t>
      </w:r>
      <w:r w:rsidR="000447B1" w:rsidRPr="00411383">
        <w:rPr>
          <w:rFonts w:ascii="Times New Roman" w:hAnsi="Times New Roman" w:cs="Times New Roman"/>
          <w:sz w:val="24"/>
        </w:rPr>
        <w:t xml:space="preserve"> is not solely a question of the relationship between states and the individual refugees facing removal; it is, instead, a question of relationships between States </w:t>
      </w:r>
      <w:r w:rsidR="000447B1" w:rsidRPr="00411383">
        <w:rPr>
          <w:rFonts w:ascii="Times New Roman" w:hAnsi="Times New Roman" w:cs="Times New Roman"/>
          <w:sz w:val="24"/>
        </w:rPr>
        <w:lastRenderedPageBreak/>
        <w:t xml:space="preserve">Parties to the relevant conventions, and hence a question of Australia’s dealings with the world at large. This, however, gave rise to precisely the weaknesses in the doctrine identified by Derrington J in </w:t>
      </w:r>
      <w:r w:rsidR="000447B1" w:rsidRPr="00411383">
        <w:rPr>
          <w:rFonts w:ascii="Times New Roman" w:hAnsi="Times New Roman" w:cs="Times New Roman"/>
          <w:i/>
          <w:iCs/>
          <w:sz w:val="24"/>
        </w:rPr>
        <w:t>NRFX</w:t>
      </w:r>
      <w:r w:rsidR="000447B1" w:rsidRPr="00411383">
        <w:rPr>
          <w:rFonts w:ascii="Times New Roman" w:hAnsi="Times New Roman" w:cs="Times New Roman"/>
          <w:sz w:val="24"/>
        </w:rPr>
        <w:t xml:space="preserve">: that assessment of the necessity or adequacy of Ministerial consideration of these questions potentially draws the courts into broader assessments of the conduct of Australia’s foreign affairs, </w:t>
      </w:r>
      <w:r w:rsidR="000447B1" w:rsidRPr="004334A4">
        <w:rPr>
          <w:rFonts w:ascii="Times New Roman" w:hAnsi="Times New Roman" w:cs="Times New Roman"/>
          <w:sz w:val="24"/>
        </w:rPr>
        <w:t>despite the traditional reluctance of common law courts to adjudicate these questions.</w:t>
      </w:r>
      <w:r w:rsidR="000447B1" w:rsidRPr="004334A4">
        <w:rPr>
          <w:rStyle w:val="FootnoteReference"/>
          <w:rFonts w:ascii="Times New Roman" w:hAnsi="Times New Roman" w:cs="Times New Roman"/>
          <w:sz w:val="24"/>
        </w:rPr>
        <w:footnoteReference w:id="177"/>
      </w:r>
      <w:r w:rsidR="000447B1" w:rsidRPr="00411383">
        <w:rPr>
          <w:rFonts w:ascii="Times New Roman" w:hAnsi="Times New Roman" w:cs="Times New Roman"/>
          <w:sz w:val="24"/>
        </w:rPr>
        <w:t xml:space="preserve"> In </w:t>
      </w:r>
      <w:r w:rsidR="000447B1" w:rsidRPr="00411383">
        <w:rPr>
          <w:rFonts w:ascii="Times New Roman" w:hAnsi="Times New Roman" w:cs="Times New Roman"/>
          <w:i/>
          <w:iCs/>
          <w:sz w:val="24"/>
        </w:rPr>
        <w:t>CWY20</w:t>
      </w:r>
      <w:r w:rsidR="000447B1" w:rsidRPr="00411383">
        <w:rPr>
          <w:rFonts w:ascii="Times New Roman" w:hAnsi="Times New Roman" w:cs="Times New Roman"/>
          <w:sz w:val="24"/>
        </w:rPr>
        <w:t xml:space="preserve">, the relevant assessment was expressed at a high level of generality: that breach of a promise is apt to undermine confidence in a promisor. In </w:t>
      </w:r>
      <w:r w:rsidR="000447B1" w:rsidRPr="00411383">
        <w:rPr>
          <w:rFonts w:ascii="Times New Roman" w:hAnsi="Times New Roman" w:cs="Times New Roman"/>
          <w:i/>
          <w:iCs/>
          <w:sz w:val="24"/>
        </w:rPr>
        <w:t>NRFX</w:t>
      </w:r>
      <w:r w:rsidR="000447B1" w:rsidRPr="00411383">
        <w:rPr>
          <w:rFonts w:ascii="Times New Roman" w:hAnsi="Times New Roman" w:cs="Times New Roman"/>
          <w:sz w:val="24"/>
        </w:rPr>
        <w:t>, Derrington J saw the relevant relationship between breach and consequences as far more complex and uncertain than that, or alternatively that the courts were incapable of determining how complex and uncertain this relationship may be.</w:t>
      </w:r>
      <w:r w:rsidR="004C077B">
        <w:rPr>
          <w:rFonts w:ascii="Times New Roman" w:hAnsi="Times New Roman" w:cs="Times New Roman"/>
          <w:sz w:val="24"/>
        </w:rPr>
        <w:t xml:space="preserve"> This limited view of the judicial role is, again, inconsistent with Appleby and Reilly’s ‘meta-principle’: any legitimate role for the courts in assessing which factors feed into ‘the national interest’ must be accompanied by some faith that courts can work out what those factors are</w:t>
      </w:r>
      <w:r w:rsidR="00782312">
        <w:rPr>
          <w:rFonts w:ascii="Times New Roman" w:hAnsi="Times New Roman" w:cs="Times New Roman"/>
          <w:sz w:val="24"/>
        </w:rPr>
        <w:t>, even if they cannot and should not assess their ultimate weight.</w:t>
      </w:r>
    </w:p>
    <w:p w14:paraId="4DC983A7" w14:textId="77777777" w:rsidR="00495B42" w:rsidRDefault="00495B42" w:rsidP="00E33B82">
      <w:pPr>
        <w:spacing w:line="360" w:lineRule="auto"/>
        <w:jc w:val="both"/>
        <w:rPr>
          <w:rFonts w:ascii="Times New Roman" w:hAnsi="Times New Roman" w:cs="Times New Roman"/>
          <w:sz w:val="24"/>
        </w:rPr>
      </w:pPr>
    </w:p>
    <w:p w14:paraId="1734056D" w14:textId="29DB737B" w:rsidR="00074364" w:rsidRPr="00411383" w:rsidRDefault="00C93314" w:rsidP="00E33B82">
      <w:pPr>
        <w:spacing w:line="360" w:lineRule="auto"/>
        <w:jc w:val="both"/>
        <w:rPr>
          <w:rFonts w:ascii="Times New Roman" w:hAnsi="Times New Roman" w:cs="Times New Roman"/>
          <w:b/>
          <w:sz w:val="24"/>
        </w:rPr>
      </w:pPr>
      <w:r w:rsidRPr="00411383">
        <w:rPr>
          <w:rFonts w:ascii="Times New Roman" w:hAnsi="Times New Roman" w:cs="Times New Roman"/>
          <w:b/>
          <w:sz w:val="24"/>
        </w:rPr>
        <w:t>5</w:t>
      </w:r>
      <w:r w:rsidR="00070AA8" w:rsidRPr="00411383">
        <w:rPr>
          <w:rFonts w:ascii="Times New Roman" w:hAnsi="Times New Roman" w:cs="Times New Roman"/>
          <w:b/>
          <w:sz w:val="24"/>
        </w:rPr>
        <w:t xml:space="preserve">.   </w:t>
      </w:r>
      <w:r w:rsidR="00074364" w:rsidRPr="00411383">
        <w:rPr>
          <w:rFonts w:ascii="Times New Roman" w:hAnsi="Times New Roman" w:cs="Times New Roman"/>
          <w:b/>
          <w:sz w:val="24"/>
        </w:rPr>
        <w:t>Conclusion</w:t>
      </w:r>
    </w:p>
    <w:p w14:paraId="38F5F131" w14:textId="4F7CAD83" w:rsidR="00DE12D4" w:rsidRPr="00411383" w:rsidRDefault="00DE12D4" w:rsidP="00E33B82">
      <w:pPr>
        <w:spacing w:line="360" w:lineRule="auto"/>
        <w:jc w:val="both"/>
        <w:rPr>
          <w:rFonts w:ascii="Times New Roman" w:hAnsi="Times New Roman" w:cs="Times New Roman"/>
          <w:bCs/>
          <w:sz w:val="24"/>
        </w:rPr>
      </w:pPr>
    </w:p>
    <w:p w14:paraId="1FE89259" w14:textId="4BD385E5" w:rsidR="00323E48" w:rsidRDefault="00BF7A51" w:rsidP="00BF7A51">
      <w:pPr>
        <w:spacing w:line="360" w:lineRule="auto"/>
        <w:jc w:val="both"/>
        <w:rPr>
          <w:rFonts w:ascii="Times New Roman" w:hAnsi="Times New Roman" w:cs="Times New Roman"/>
          <w:sz w:val="24"/>
        </w:rPr>
      </w:pPr>
      <w:r w:rsidRPr="00411383">
        <w:rPr>
          <w:rFonts w:ascii="Times New Roman" w:hAnsi="Times New Roman" w:cs="Times New Roman"/>
          <w:i/>
          <w:iCs/>
          <w:sz w:val="24"/>
        </w:rPr>
        <w:t>FRH18</w:t>
      </w:r>
      <w:r w:rsidRPr="00411383">
        <w:rPr>
          <w:rFonts w:ascii="Times New Roman" w:hAnsi="Times New Roman" w:cs="Times New Roman"/>
          <w:sz w:val="24"/>
        </w:rPr>
        <w:t xml:space="preserve">, </w:t>
      </w:r>
      <w:r w:rsidRPr="00411383">
        <w:rPr>
          <w:rFonts w:ascii="Times New Roman" w:hAnsi="Times New Roman" w:cs="Times New Roman"/>
          <w:i/>
          <w:iCs/>
          <w:sz w:val="24"/>
        </w:rPr>
        <w:t>CPJ16</w:t>
      </w:r>
      <w:r w:rsidRPr="00411383">
        <w:rPr>
          <w:rFonts w:ascii="Times New Roman" w:hAnsi="Times New Roman" w:cs="Times New Roman"/>
          <w:sz w:val="24"/>
        </w:rPr>
        <w:t xml:space="preserve">, </w:t>
      </w:r>
      <w:r w:rsidRPr="00411383">
        <w:rPr>
          <w:rFonts w:ascii="Times New Roman" w:hAnsi="Times New Roman" w:cs="Times New Roman"/>
          <w:i/>
          <w:iCs/>
          <w:sz w:val="24"/>
        </w:rPr>
        <w:t>CWY20</w:t>
      </w:r>
      <w:r w:rsidRPr="00411383">
        <w:rPr>
          <w:rFonts w:ascii="Times New Roman" w:hAnsi="Times New Roman" w:cs="Times New Roman"/>
          <w:sz w:val="24"/>
        </w:rPr>
        <w:t xml:space="preserve"> and </w:t>
      </w:r>
      <w:r w:rsidRPr="00411383">
        <w:rPr>
          <w:rFonts w:ascii="Times New Roman" w:hAnsi="Times New Roman" w:cs="Times New Roman"/>
          <w:i/>
          <w:iCs/>
          <w:sz w:val="24"/>
        </w:rPr>
        <w:t>ENT19</w:t>
      </w:r>
      <w:r w:rsidRPr="00411383">
        <w:rPr>
          <w:rFonts w:ascii="Times New Roman" w:hAnsi="Times New Roman" w:cs="Times New Roman"/>
          <w:sz w:val="24"/>
        </w:rPr>
        <w:t xml:space="preserve"> indicated outer limits to decisional freedom in assessing the ‘national interest’. </w:t>
      </w:r>
      <w:r w:rsidR="00323E48">
        <w:rPr>
          <w:rFonts w:ascii="Times New Roman" w:hAnsi="Times New Roman" w:cs="Times New Roman"/>
          <w:sz w:val="24"/>
        </w:rPr>
        <w:t>Within this line of authority, t</w:t>
      </w:r>
      <w:r w:rsidR="00323E48" w:rsidRPr="00411383">
        <w:rPr>
          <w:rFonts w:ascii="Times New Roman" w:hAnsi="Times New Roman" w:cs="Times New Roman"/>
          <w:sz w:val="24"/>
        </w:rPr>
        <w:t xml:space="preserve">hat </w:t>
      </w:r>
      <w:r w:rsidRPr="00411383">
        <w:rPr>
          <w:rFonts w:ascii="Times New Roman" w:hAnsi="Times New Roman" w:cs="Times New Roman"/>
          <w:sz w:val="24"/>
        </w:rPr>
        <w:t xml:space="preserve">term did not simply confer unfettered </w:t>
      </w:r>
      <w:r w:rsidR="00D35BF7">
        <w:rPr>
          <w:rFonts w:ascii="Times New Roman" w:hAnsi="Times New Roman" w:cs="Times New Roman"/>
          <w:sz w:val="24"/>
        </w:rPr>
        <w:t xml:space="preserve">freedom </w:t>
      </w:r>
      <w:r w:rsidRPr="00411383">
        <w:rPr>
          <w:rFonts w:ascii="Times New Roman" w:hAnsi="Times New Roman" w:cs="Times New Roman"/>
          <w:sz w:val="24"/>
        </w:rPr>
        <w:t>upon Ministers and delegates to decide which matters were relevant to the interests of the nation, and which were not. Instead, in the circumstances of particular cases, a prospective breach of Australia’s non-</w:t>
      </w:r>
      <w:r w:rsidRPr="00411383">
        <w:rPr>
          <w:rFonts w:ascii="Times New Roman" w:hAnsi="Times New Roman" w:cs="Times New Roman"/>
          <w:i/>
          <w:iCs/>
          <w:sz w:val="24"/>
        </w:rPr>
        <w:t>refoulement</w:t>
      </w:r>
      <w:r w:rsidRPr="00411383">
        <w:rPr>
          <w:rFonts w:ascii="Times New Roman" w:hAnsi="Times New Roman" w:cs="Times New Roman"/>
          <w:sz w:val="24"/>
        </w:rPr>
        <w:t xml:space="preserve"> obligations may be so obviously ‘national’ in its character that failure to consider that factor may either </w:t>
      </w:r>
      <w:r w:rsidR="004F3951">
        <w:rPr>
          <w:rFonts w:ascii="Times New Roman" w:hAnsi="Times New Roman" w:cs="Times New Roman"/>
          <w:sz w:val="24"/>
        </w:rPr>
        <w:t>result</w:t>
      </w:r>
      <w:r w:rsidR="004F3951" w:rsidRPr="00411383">
        <w:rPr>
          <w:rFonts w:ascii="Times New Roman" w:hAnsi="Times New Roman" w:cs="Times New Roman"/>
          <w:sz w:val="24"/>
        </w:rPr>
        <w:t xml:space="preserve"> </w:t>
      </w:r>
      <w:r w:rsidRPr="00411383">
        <w:rPr>
          <w:rFonts w:ascii="Times New Roman" w:hAnsi="Times New Roman" w:cs="Times New Roman"/>
          <w:sz w:val="24"/>
        </w:rPr>
        <w:t xml:space="preserve">in legal unreasonableness or demonstrate a failure to appreciate the legal consequences of the proposed exercise of power. </w:t>
      </w:r>
    </w:p>
    <w:p w14:paraId="577F4096" w14:textId="77777777" w:rsidR="00323E48" w:rsidRDefault="00323E48" w:rsidP="00BF7A51">
      <w:pPr>
        <w:spacing w:line="360" w:lineRule="auto"/>
        <w:jc w:val="both"/>
        <w:rPr>
          <w:rFonts w:ascii="Times New Roman" w:hAnsi="Times New Roman" w:cs="Times New Roman"/>
          <w:sz w:val="24"/>
        </w:rPr>
      </w:pPr>
    </w:p>
    <w:p w14:paraId="7A39AA04" w14:textId="5C6607FD" w:rsidR="00BF7A51" w:rsidRPr="00C4222B" w:rsidRDefault="00BF7A51" w:rsidP="00BF7A51">
      <w:pPr>
        <w:spacing w:line="360" w:lineRule="auto"/>
        <w:jc w:val="both"/>
        <w:rPr>
          <w:rFonts w:ascii="Times New Roman" w:hAnsi="Times New Roman" w:cs="Times New Roman"/>
          <w:sz w:val="24"/>
        </w:rPr>
      </w:pPr>
      <w:r w:rsidRPr="00411383">
        <w:rPr>
          <w:rFonts w:ascii="Times New Roman" w:hAnsi="Times New Roman" w:cs="Times New Roman"/>
          <w:sz w:val="24"/>
        </w:rPr>
        <w:t xml:space="preserve">And yet, following </w:t>
      </w:r>
      <w:r w:rsidRPr="00411383">
        <w:rPr>
          <w:rFonts w:ascii="Times New Roman" w:hAnsi="Times New Roman" w:cs="Times New Roman"/>
          <w:i/>
          <w:iCs/>
          <w:sz w:val="24"/>
        </w:rPr>
        <w:t>M1</w:t>
      </w:r>
      <w:r w:rsidRPr="00411383">
        <w:rPr>
          <w:rFonts w:ascii="Times New Roman" w:hAnsi="Times New Roman" w:cs="Times New Roman"/>
          <w:sz w:val="24"/>
        </w:rPr>
        <w:t xml:space="preserve">, the Full Federal Court has rejected that line of authority, in favour of reaffirming that the content and boundaries of the ‘national interest’ are uniquely a question for </w:t>
      </w:r>
      <w:r w:rsidRPr="00411383">
        <w:rPr>
          <w:rFonts w:ascii="Times New Roman" w:hAnsi="Times New Roman" w:cs="Times New Roman"/>
          <w:sz w:val="24"/>
        </w:rPr>
        <w:lastRenderedPageBreak/>
        <w:t xml:space="preserve">the Minister and not the courts. </w:t>
      </w:r>
      <w:r w:rsidR="002833FD">
        <w:rPr>
          <w:rFonts w:ascii="Times New Roman" w:hAnsi="Times New Roman" w:cs="Times New Roman"/>
          <w:sz w:val="24"/>
        </w:rPr>
        <w:t xml:space="preserve">While s 197C provides a bar against </w:t>
      </w:r>
      <w:r w:rsidR="002833FD">
        <w:rPr>
          <w:rFonts w:ascii="Times New Roman" w:hAnsi="Times New Roman" w:cs="Times New Roman"/>
          <w:i/>
          <w:iCs/>
          <w:sz w:val="24"/>
        </w:rPr>
        <w:t xml:space="preserve">refoulement </w:t>
      </w:r>
      <w:r w:rsidR="002833FD">
        <w:rPr>
          <w:rFonts w:ascii="Times New Roman" w:hAnsi="Times New Roman" w:cs="Times New Roman"/>
          <w:sz w:val="24"/>
        </w:rPr>
        <w:t>under these new powers,</w:t>
      </w:r>
      <w:r w:rsidR="00DB60EA">
        <w:rPr>
          <w:rFonts w:ascii="Times New Roman" w:hAnsi="Times New Roman" w:cs="Times New Roman"/>
          <w:sz w:val="24"/>
        </w:rPr>
        <w:t xml:space="preserve"> these cases have the result that, under the law as it stood at that time, the Minister could lawfully have </w:t>
      </w:r>
      <w:r w:rsidR="00DB60EA">
        <w:rPr>
          <w:rFonts w:ascii="Times New Roman" w:hAnsi="Times New Roman" w:cs="Times New Roman"/>
          <w:i/>
          <w:iCs/>
          <w:sz w:val="24"/>
        </w:rPr>
        <w:t xml:space="preserve">refouled </w:t>
      </w:r>
      <w:r w:rsidR="00DB60EA">
        <w:rPr>
          <w:rFonts w:ascii="Times New Roman" w:hAnsi="Times New Roman" w:cs="Times New Roman"/>
          <w:sz w:val="24"/>
        </w:rPr>
        <w:t>CWY20 to Afghanistan in acknowledged breach of Australia’s non-</w:t>
      </w:r>
      <w:r w:rsidR="00DB60EA">
        <w:rPr>
          <w:rFonts w:ascii="Times New Roman" w:hAnsi="Times New Roman" w:cs="Times New Roman"/>
          <w:i/>
          <w:iCs/>
          <w:sz w:val="24"/>
        </w:rPr>
        <w:t xml:space="preserve">refoulement </w:t>
      </w:r>
      <w:r w:rsidR="00DB60EA">
        <w:rPr>
          <w:rFonts w:ascii="Times New Roman" w:hAnsi="Times New Roman" w:cs="Times New Roman"/>
          <w:sz w:val="24"/>
        </w:rPr>
        <w:t xml:space="preserve">obligations. </w:t>
      </w:r>
      <w:r w:rsidR="003266DA">
        <w:rPr>
          <w:rFonts w:ascii="Times New Roman" w:hAnsi="Times New Roman" w:cs="Times New Roman"/>
          <w:sz w:val="24"/>
        </w:rPr>
        <w:t>The impact of this hypothetical ‘what if’ is speculative; no one can confidently say what effect a breach of non-</w:t>
      </w:r>
      <w:r w:rsidR="003266DA">
        <w:rPr>
          <w:rFonts w:ascii="Times New Roman" w:hAnsi="Times New Roman" w:cs="Times New Roman"/>
          <w:i/>
          <w:iCs/>
          <w:sz w:val="24"/>
        </w:rPr>
        <w:t xml:space="preserve">refoulement </w:t>
      </w:r>
      <w:r w:rsidR="003266DA">
        <w:rPr>
          <w:rFonts w:ascii="Times New Roman" w:hAnsi="Times New Roman" w:cs="Times New Roman"/>
          <w:sz w:val="24"/>
        </w:rPr>
        <w:t xml:space="preserve">obligations would have had, for CWY20 or for Australia. </w:t>
      </w:r>
      <w:r w:rsidR="00E95B80">
        <w:rPr>
          <w:rFonts w:ascii="Times New Roman" w:hAnsi="Times New Roman" w:cs="Times New Roman"/>
          <w:sz w:val="24"/>
        </w:rPr>
        <w:t xml:space="preserve">As noted above, in </w:t>
      </w:r>
      <w:r w:rsidR="00E95B80">
        <w:rPr>
          <w:rFonts w:ascii="Times New Roman" w:hAnsi="Times New Roman" w:cs="Times New Roman"/>
          <w:i/>
          <w:iCs/>
          <w:sz w:val="24"/>
        </w:rPr>
        <w:t>CWY20</w:t>
      </w:r>
      <w:r w:rsidR="00E95B80">
        <w:rPr>
          <w:rFonts w:ascii="Times New Roman" w:hAnsi="Times New Roman" w:cs="Times New Roman"/>
          <w:sz w:val="24"/>
        </w:rPr>
        <w:t xml:space="preserve"> the Full Court were willing to find that breach of a promise is apt to undermine confidence in the promisor; in </w:t>
      </w:r>
      <w:r w:rsidR="00C4222B">
        <w:rPr>
          <w:rFonts w:ascii="Times New Roman" w:hAnsi="Times New Roman" w:cs="Times New Roman"/>
          <w:i/>
          <w:iCs/>
          <w:sz w:val="24"/>
        </w:rPr>
        <w:t>NRFX</w:t>
      </w:r>
      <w:r w:rsidR="00C4222B">
        <w:rPr>
          <w:rFonts w:ascii="Times New Roman" w:hAnsi="Times New Roman" w:cs="Times New Roman"/>
          <w:sz w:val="24"/>
        </w:rPr>
        <w:t>, Derrington J was not.</w:t>
      </w:r>
    </w:p>
    <w:p w14:paraId="113C4315" w14:textId="77777777" w:rsidR="00BF7A51" w:rsidRPr="00411383" w:rsidRDefault="00BF7A51" w:rsidP="00BF7A51">
      <w:pPr>
        <w:spacing w:line="360" w:lineRule="auto"/>
        <w:jc w:val="both"/>
        <w:rPr>
          <w:rFonts w:ascii="Times New Roman" w:hAnsi="Times New Roman" w:cs="Times New Roman"/>
          <w:sz w:val="24"/>
        </w:rPr>
      </w:pPr>
    </w:p>
    <w:p w14:paraId="4FE63832" w14:textId="0CC46ED9" w:rsidR="00BF7A51" w:rsidRPr="00411383" w:rsidRDefault="00454E7F" w:rsidP="00BF7A51">
      <w:pPr>
        <w:spacing w:line="360" w:lineRule="auto"/>
        <w:jc w:val="both"/>
        <w:rPr>
          <w:rFonts w:ascii="Times New Roman" w:hAnsi="Times New Roman" w:cs="Times New Roman"/>
          <w:sz w:val="24"/>
        </w:rPr>
      </w:pPr>
      <w:r>
        <w:rPr>
          <w:rFonts w:ascii="Times New Roman" w:hAnsi="Times New Roman" w:cs="Times New Roman"/>
          <w:sz w:val="24"/>
        </w:rPr>
        <w:t>If the courts cannot police the boundaries of the ‘national interest’</w:t>
      </w:r>
      <w:r w:rsidR="00BF7A51" w:rsidRPr="00411383">
        <w:rPr>
          <w:rFonts w:ascii="Times New Roman" w:hAnsi="Times New Roman" w:cs="Times New Roman"/>
          <w:sz w:val="24"/>
        </w:rPr>
        <w:t>, then who? As noted above, migration law in Australia has been characterised by the relatively broad decisional freedom enjoyed by the executive and by efforts to reduce judicial scrutiny of how these powers are exercised</w:t>
      </w:r>
      <w:r w:rsidR="00BF7A51" w:rsidRPr="00B23020">
        <w:rPr>
          <w:rFonts w:ascii="Times New Roman" w:hAnsi="Times New Roman" w:cs="Times New Roman"/>
          <w:sz w:val="24"/>
        </w:rPr>
        <w:t>. The breadth of these powers, in itself, could be explained by reference to concepts of ‘nation’: that the policing of a nation’s borders is a peculiarly ‘national’ function, or indeed part of traditional conceptions of what a ‘nation-state’ is.</w:t>
      </w:r>
      <w:r w:rsidR="00BF7A51" w:rsidRPr="00B23020">
        <w:rPr>
          <w:rStyle w:val="FootnoteReference"/>
          <w:rFonts w:ascii="Times New Roman" w:hAnsi="Times New Roman" w:cs="Times New Roman"/>
          <w:sz w:val="24"/>
        </w:rPr>
        <w:footnoteReference w:id="178"/>
      </w:r>
      <w:r w:rsidR="00BF7A51" w:rsidRPr="00411383">
        <w:rPr>
          <w:rFonts w:ascii="Times New Roman" w:hAnsi="Times New Roman" w:cs="Times New Roman"/>
          <w:sz w:val="24"/>
        </w:rPr>
        <w:t xml:space="preserve"> But, in circumstances where powers contingent on states of satisfaction as to the ‘national interest’ provide little or no further scope for review, the courts’ efforts to identify limits to the ‘national interest’ itself may be characterised as an attempt to ensure that these powers are not entirely unfettered and unconstrained.</w:t>
      </w:r>
    </w:p>
    <w:p w14:paraId="03824F84" w14:textId="77777777" w:rsidR="00BF7A51" w:rsidRPr="00411383" w:rsidRDefault="00BF7A51" w:rsidP="00E33B82">
      <w:pPr>
        <w:spacing w:line="360" w:lineRule="auto"/>
        <w:jc w:val="both"/>
        <w:rPr>
          <w:rFonts w:ascii="Times New Roman" w:hAnsi="Times New Roman" w:cs="Times New Roman"/>
          <w:bCs/>
          <w:sz w:val="24"/>
        </w:rPr>
      </w:pPr>
    </w:p>
    <w:p w14:paraId="31A47F1D" w14:textId="56F364AD" w:rsidR="00794B1E" w:rsidRDefault="00C066D5" w:rsidP="00E33B82">
      <w:pPr>
        <w:spacing w:line="360" w:lineRule="auto"/>
        <w:jc w:val="both"/>
        <w:rPr>
          <w:rFonts w:ascii="Times New Roman" w:hAnsi="Times New Roman" w:cs="Times New Roman"/>
          <w:bCs/>
          <w:sz w:val="24"/>
        </w:rPr>
      </w:pPr>
      <w:r w:rsidRPr="00411383">
        <w:rPr>
          <w:rFonts w:ascii="Times New Roman" w:hAnsi="Times New Roman" w:cs="Times New Roman"/>
          <w:bCs/>
          <w:sz w:val="24"/>
        </w:rPr>
        <w:t>As one of us has written before, there are continuing questions about what the term ‘national interest’ entails.</w:t>
      </w:r>
      <w:r w:rsidRPr="00411383">
        <w:rPr>
          <w:rStyle w:val="FootnoteReference"/>
          <w:rFonts w:ascii="Times New Roman" w:hAnsi="Times New Roman" w:cs="Times New Roman"/>
          <w:bCs/>
          <w:sz w:val="24"/>
        </w:rPr>
        <w:footnoteReference w:id="179"/>
      </w:r>
      <w:r w:rsidRPr="00411383">
        <w:rPr>
          <w:rFonts w:ascii="Times New Roman" w:hAnsi="Times New Roman" w:cs="Times New Roman"/>
          <w:bCs/>
          <w:sz w:val="24"/>
        </w:rPr>
        <w:t xml:space="preserve"> Does it have a settled ‘core’ content, consisting of those factors and issues which are peculiarly ‘national’ in character – and will failure to consider these ‘core’ matters mean that a decision-maker has not lawfully considered ‘the national interest’? Or is its meaning entirely variable, depending on a decision-maker’s assessment of which facts and circumstances are relevant to the ‘national interest’ in a given case?</w:t>
      </w:r>
      <w:r w:rsidRPr="00411383">
        <w:rPr>
          <w:rStyle w:val="FootnoteReference"/>
          <w:rFonts w:ascii="Times New Roman" w:hAnsi="Times New Roman" w:cs="Times New Roman"/>
          <w:bCs/>
          <w:sz w:val="24"/>
        </w:rPr>
        <w:footnoteReference w:id="180"/>
      </w:r>
      <w:r w:rsidR="00794B1E">
        <w:rPr>
          <w:rFonts w:ascii="Times New Roman" w:hAnsi="Times New Roman" w:cs="Times New Roman"/>
          <w:bCs/>
          <w:sz w:val="24"/>
        </w:rPr>
        <w:t xml:space="preserve"> These, of course, are not necessarily dichotomous. Following the High Court’s judgment in </w:t>
      </w:r>
      <w:r w:rsidR="00794B1E">
        <w:rPr>
          <w:rFonts w:ascii="Times New Roman" w:hAnsi="Times New Roman" w:cs="Times New Roman"/>
          <w:bCs/>
          <w:i/>
          <w:iCs/>
          <w:sz w:val="24"/>
        </w:rPr>
        <w:t>ENT19</w:t>
      </w:r>
      <w:r w:rsidR="00794B1E">
        <w:rPr>
          <w:rFonts w:ascii="Times New Roman" w:hAnsi="Times New Roman" w:cs="Times New Roman"/>
          <w:bCs/>
          <w:sz w:val="24"/>
        </w:rPr>
        <w:t xml:space="preserve">, there are some constraints upon the outer bounds of the ‘national interest’ deriving from the broader statutory </w:t>
      </w:r>
      <w:r w:rsidR="00794B1E">
        <w:rPr>
          <w:rFonts w:ascii="Times New Roman" w:hAnsi="Times New Roman" w:cs="Times New Roman"/>
          <w:bCs/>
          <w:sz w:val="24"/>
        </w:rPr>
        <w:lastRenderedPageBreak/>
        <w:t>context within which those powers appear. But are those the</w:t>
      </w:r>
      <w:r w:rsidR="007A4705">
        <w:rPr>
          <w:rFonts w:ascii="Times New Roman" w:hAnsi="Times New Roman" w:cs="Times New Roman"/>
          <w:bCs/>
          <w:sz w:val="24"/>
        </w:rPr>
        <w:t xml:space="preserve"> </w:t>
      </w:r>
      <w:r w:rsidR="007A4705">
        <w:rPr>
          <w:rFonts w:ascii="Times New Roman" w:hAnsi="Times New Roman" w:cs="Times New Roman"/>
          <w:bCs/>
          <w:i/>
          <w:iCs/>
          <w:sz w:val="24"/>
        </w:rPr>
        <w:t xml:space="preserve">only </w:t>
      </w:r>
      <w:r w:rsidR="007A4705">
        <w:rPr>
          <w:rFonts w:ascii="Times New Roman" w:hAnsi="Times New Roman" w:cs="Times New Roman"/>
          <w:bCs/>
          <w:sz w:val="24"/>
        </w:rPr>
        <w:t>relevant boundaries to what is ‘national’ in character?</w:t>
      </w:r>
    </w:p>
    <w:p w14:paraId="1397EA16" w14:textId="77777777" w:rsidR="00794B1E" w:rsidRDefault="00794B1E" w:rsidP="00E33B82">
      <w:pPr>
        <w:spacing w:line="360" w:lineRule="auto"/>
        <w:jc w:val="both"/>
        <w:rPr>
          <w:rFonts w:ascii="Times New Roman" w:hAnsi="Times New Roman" w:cs="Times New Roman"/>
          <w:bCs/>
          <w:sz w:val="24"/>
        </w:rPr>
      </w:pPr>
    </w:p>
    <w:p w14:paraId="47F9FD62" w14:textId="36FC9975" w:rsidR="0052572C" w:rsidRDefault="00C066D5" w:rsidP="00E33B82">
      <w:pPr>
        <w:spacing w:line="360" w:lineRule="auto"/>
        <w:jc w:val="both"/>
        <w:rPr>
          <w:rFonts w:ascii="Times New Roman" w:hAnsi="Times New Roman" w:cs="Times New Roman"/>
          <w:bCs/>
          <w:sz w:val="24"/>
        </w:rPr>
      </w:pPr>
      <w:r w:rsidRPr="00411383">
        <w:rPr>
          <w:rFonts w:ascii="Times New Roman" w:hAnsi="Times New Roman" w:cs="Times New Roman"/>
          <w:bCs/>
          <w:i/>
          <w:iCs/>
          <w:sz w:val="24"/>
        </w:rPr>
        <w:t>FRH18</w:t>
      </w:r>
      <w:r w:rsidRPr="00411383">
        <w:rPr>
          <w:rFonts w:ascii="Times New Roman" w:hAnsi="Times New Roman" w:cs="Times New Roman"/>
          <w:bCs/>
          <w:sz w:val="24"/>
        </w:rPr>
        <w:t xml:space="preserve">, </w:t>
      </w:r>
      <w:r w:rsidRPr="00411383">
        <w:rPr>
          <w:rFonts w:ascii="Times New Roman" w:hAnsi="Times New Roman" w:cs="Times New Roman"/>
          <w:bCs/>
          <w:i/>
          <w:iCs/>
          <w:sz w:val="24"/>
        </w:rPr>
        <w:t>CPJ16</w:t>
      </w:r>
      <w:r w:rsidRPr="00411383">
        <w:rPr>
          <w:rFonts w:ascii="Times New Roman" w:hAnsi="Times New Roman" w:cs="Times New Roman"/>
          <w:bCs/>
          <w:sz w:val="24"/>
        </w:rPr>
        <w:t xml:space="preserve">, </w:t>
      </w:r>
      <w:r w:rsidRPr="00411383">
        <w:rPr>
          <w:rFonts w:ascii="Times New Roman" w:hAnsi="Times New Roman" w:cs="Times New Roman"/>
          <w:bCs/>
          <w:i/>
          <w:iCs/>
          <w:sz w:val="24"/>
        </w:rPr>
        <w:t>CWY20</w:t>
      </w:r>
      <w:r w:rsidRPr="00411383">
        <w:rPr>
          <w:rFonts w:ascii="Times New Roman" w:hAnsi="Times New Roman" w:cs="Times New Roman"/>
          <w:bCs/>
          <w:sz w:val="24"/>
        </w:rPr>
        <w:t xml:space="preserve"> and </w:t>
      </w:r>
      <w:r w:rsidRPr="00411383">
        <w:rPr>
          <w:rFonts w:ascii="Times New Roman" w:hAnsi="Times New Roman" w:cs="Times New Roman"/>
          <w:bCs/>
          <w:i/>
          <w:iCs/>
          <w:sz w:val="24"/>
        </w:rPr>
        <w:t xml:space="preserve">ENT19 </w:t>
      </w:r>
      <w:r w:rsidRPr="00411383">
        <w:rPr>
          <w:rFonts w:ascii="Times New Roman" w:hAnsi="Times New Roman" w:cs="Times New Roman"/>
          <w:bCs/>
          <w:sz w:val="24"/>
        </w:rPr>
        <w:t xml:space="preserve">represented an ambitious effort by the Federal Court to identify the ‘national’ content of the ‘national interest’, and to give the term ‘national interest’ a more confined and specific meaning. This effort appears to have ended, in favour of deferring to executive discretion in determining what is ‘national’, or what bears upon the interests of the nation, in each given case. </w:t>
      </w:r>
    </w:p>
    <w:p w14:paraId="4C862EE8" w14:textId="77777777" w:rsidR="00866096" w:rsidRDefault="00866096" w:rsidP="00E33B82">
      <w:pPr>
        <w:spacing w:line="360" w:lineRule="auto"/>
        <w:jc w:val="both"/>
        <w:rPr>
          <w:rFonts w:ascii="Times New Roman" w:hAnsi="Times New Roman" w:cs="Times New Roman"/>
          <w:bCs/>
          <w:sz w:val="24"/>
        </w:rPr>
      </w:pPr>
    </w:p>
    <w:p w14:paraId="75F930B3" w14:textId="4D24AD47" w:rsidR="00866096" w:rsidRDefault="00C066D5" w:rsidP="00866096">
      <w:pPr>
        <w:spacing w:line="360" w:lineRule="auto"/>
        <w:jc w:val="both"/>
        <w:rPr>
          <w:rFonts w:ascii="Times New Roman" w:hAnsi="Times New Roman" w:cs="Times New Roman"/>
          <w:bCs/>
          <w:sz w:val="24"/>
        </w:rPr>
      </w:pPr>
      <w:r w:rsidRPr="00411383">
        <w:rPr>
          <w:rFonts w:ascii="Times New Roman" w:hAnsi="Times New Roman" w:cs="Times New Roman"/>
          <w:bCs/>
          <w:sz w:val="24"/>
        </w:rPr>
        <w:t xml:space="preserve">This has implications beyond migration decision-making. </w:t>
      </w:r>
      <w:r w:rsidR="0052572C" w:rsidRPr="00411383">
        <w:rPr>
          <w:rFonts w:ascii="Times New Roman" w:hAnsi="Times New Roman" w:cs="Times New Roman"/>
          <w:bCs/>
          <w:sz w:val="24"/>
        </w:rPr>
        <w:t xml:space="preserve">It poses significant difficulties for the adoption of Appleby and Reilly’s ‘meta-principle’ of interpretation, by reaffirming the broad scope of executive power to identify the constituent parts of </w:t>
      </w:r>
      <w:r w:rsidR="0052572C" w:rsidRPr="003C2D31">
        <w:rPr>
          <w:rFonts w:ascii="Times New Roman" w:hAnsi="Times New Roman" w:cs="Times New Roman"/>
          <w:bCs/>
          <w:sz w:val="24"/>
        </w:rPr>
        <w:t>the ‘national interest’.</w:t>
      </w:r>
      <w:r w:rsidR="000B66B1" w:rsidRPr="003C2D31">
        <w:rPr>
          <w:rStyle w:val="FootnoteReference"/>
          <w:rFonts w:ascii="Times New Roman" w:hAnsi="Times New Roman" w:cs="Times New Roman"/>
          <w:bCs/>
          <w:sz w:val="24"/>
        </w:rPr>
        <w:footnoteReference w:id="181"/>
      </w:r>
      <w:r w:rsidR="00B906CD" w:rsidRPr="00411383">
        <w:rPr>
          <w:rFonts w:ascii="Times New Roman" w:hAnsi="Times New Roman" w:cs="Times New Roman"/>
          <w:bCs/>
          <w:sz w:val="24"/>
        </w:rPr>
        <w:t xml:space="preserve"> This, in turn, returns to the precise reasons why Appleby and Reilly have advocated that ‘meta-principle’: because a completely unconstrained liberty to act in the ‘national interest’ threatens the rule of law.</w:t>
      </w:r>
    </w:p>
    <w:sectPr w:rsidR="0086609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068D5" w14:textId="77777777" w:rsidR="00FA6D3E" w:rsidRDefault="00FA6D3E" w:rsidP="00BF0E13">
      <w:r>
        <w:separator/>
      </w:r>
    </w:p>
  </w:endnote>
  <w:endnote w:type="continuationSeparator" w:id="0">
    <w:p w14:paraId="384A2CBF" w14:textId="77777777" w:rsidR="00FA6D3E" w:rsidRDefault="00FA6D3E" w:rsidP="00BF0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054490"/>
      <w:docPartObj>
        <w:docPartGallery w:val="Page Numbers (Bottom of Page)"/>
        <w:docPartUnique/>
      </w:docPartObj>
    </w:sdtPr>
    <w:sdtEndPr>
      <w:rPr>
        <w:noProof/>
      </w:rPr>
    </w:sdtEndPr>
    <w:sdtContent>
      <w:p w14:paraId="536EDF13" w14:textId="6E016F03" w:rsidR="00FC0F16" w:rsidRDefault="00FC0F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99D147" w14:textId="77777777" w:rsidR="00FC0F16" w:rsidRDefault="00FC0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8BFC" w14:textId="77777777" w:rsidR="00FA6D3E" w:rsidRDefault="00FA6D3E" w:rsidP="00BF0E13">
      <w:r>
        <w:separator/>
      </w:r>
    </w:p>
  </w:footnote>
  <w:footnote w:type="continuationSeparator" w:id="0">
    <w:p w14:paraId="762CF7D8" w14:textId="77777777" w:rsidR="00FA6D3E" w:rsidRDefault="00FA6D3E" w:rsidP="00BF0E13">
      <w:r>
        <w:continuationSeparator/>
      </w:r>
    </w:p>
  </w:footnote>
  <w:footnote w:id="1">
    <w:p w14:paraId="500476AA" w14:textId="5DB8D74B" w:rsidR="0026371E" w:rsidRDefault="0026371E" w:rsidP="000F2F7C">
      <w:pPr>
        <w:pStyle w:val="FootnoteText"/>
      </w:pPr>
      <w:r>
        <w:t>* Lecturer, UTS Faculty of Law; Barrister, Eight Selborne Chambers; PhD candidate, UNSW Law &amp; Justice.</w:t>
      </w:r>
    </w:p>
    <w:p w14:paraId="7FD93C56" w14:textId="0B36FDDD" w:rsidR="0026371E" w:rsidRDefault="0026371E" w:rsidP="000F2F7C">
      <w:pPr>
        <w:pStyle w:val="FootnoteText"/>
      </w:pPr>
      <w:r>
        <w:t>** Associate</w:t>
      </w:r>
      <w:r w:rsidR="00B10CB5">
        <w:t xml:space="preserve"> Professor, Deakin Law School.</w:t>
      </w:r>
    </w:p>
    <w:p w14:paraId="66C30FB8" w14:textId="19C25A07" w:rsidR="00821255" w:rsidRPr="008A77F8" w:rsidRDefault="00821255" w:rsidP="000F2F7C">
      <w:pPr>
        <w:pStyle w:val="FootnoteText"/>
        <w:rPr>
          <w:lang w:val="en-US"/>
        </w:rPr>
      </w:pPr>
      <w:r w:rsidRPr="008A77F8">
        <w:rPr>
          <w:rStyle w:val="FootnoteReference"/>
        </w:rPr>
        <w:footnoteRef/>
      </w:r>
      <w:r w:rsidRPr="008A77F8">
        <w:t xml:space="preserve"> </w:t>
      </w:r>
      <w:r w:rsidR="00BF33DE">
        <w:rPr>
          <w:i/>
          <w:iCs/>
        </w:rPr>
        <w:t>CWY20 v Minister for Immigration, Citizenship, Migrant Services and Multicultural Affairs</w:t>
      </w:r>
      <w:r w:rsidR="005150FF" w:rsidRPr="008A77F8">
        <w:t xml:space="preserve"> </w:t>
      </w:r>
      <w:r w:rsidR="00E504C0" w:rsidRPr="008A77F8">
        <w:t>(2020) 282 FCR 1855</w:t>
      </w:r>
      <w:r w:rsidR="005150FF" w:rsidRPr="008A77F8">
        <w:rPr>
          <w:lang w:val="en-US"/>
        </w:rPr>
        <w:t xml:space="preserve"> </w:t>
      </w:r>
      <w:r w:rsidRPr="008A77F8">
        <w:rPr>
          <w:lang w:val="en-US"/>
        </w:rPr>
        <w:t>[68]</w:t>
      </w:r>
      <w:r w:rsidR="005150FF" w:rsidRPr="008A77F8">
        <w:rPr>
          <w:lang w:val="en-US"/>
        </w:rPr>
        <w:t xml:space="preserve"> (Griffiths J).</w:t>
      </w:r>
    </w:p>
  </w:footnote>
  <w:footnote w:id="2">
    <w:p w14:paraId="5532CC0F" w14:textId="04C50247" w:rsidR="00AA512A" w:rsidRPr="008A77F8" w:rsidRDefault="00AA512A" w:rsidP="000F2F7C">
      <w:pPr>
        <w:pStyle w:val="FootnoteText"/>
        <w:rPr>
          <w:lang w:val="en-US"/>
        </w:rPr>
      </w:pPr>
      <w:r w:rsidRPr="008A77F8">
        <w:rPr>
          <w:rStyle w:val="FootnoteReference"/>
        </w:rPr>
        <w:footnoteRef/>
      </w:r>
      <w:r w:rsidRPr="008A77F8">
        <w:t xml:space="preserve"> </w:t>
      </w:r>
      <w:r w:rsidR="007A1E1C" w:rsidRPr="008A77F8">
        <w:rPr>
          <w:lang w:val="en-US"/>
        </w:rPr>
        <w:t xml:space="preserve">See The Hon Justice </w:t>
      </w:r>
      <w:r w:rsidR="005143CE" w:rsidRPr="008A77F8">
        <w:rPr>
          <w:lang w:val="en-US"/>
        </w:rPr>
        <w:t xml:space="preserve">Ronald </w:t>
      </w:r>
      <w:r w:rsidR="007A1E1C" w:rsidRPr="008A77F8">
        <w:rPr>
          <w:lang w:val="en-US"/>
        </w:rPr>
        <w:t xml:space="preserve">Sackville, ‘Judicial Review of Migration Decisions: An Institution in Peril? (2000) 23(3) </w:t>
      </w:r>
      <w:r w:rsidR="007A1E1C" w:rsidRPr="008A77F8">
        <w:rPr>
          <w:i/>
          <w:iCs/>
          <w:lang w:val="en-US"/>
        </w:rPr>
        <w:t>UNSW Law Journal</w:t>
      </w:r>
      <w:r w:rsidR="007A1E1C" w:rsidRPr="008A77F8">
        <w:rPr>
          <w:lang w:val="en-US"/>
        </w:rPr>
        <w:t xml:space="preserve"> 19</w:t>
      </w:r>
      <w:r w:rsidR="005143CE" w:rsidRPr="008A77F8">
        <w:rPr>
          <w:lang w:val="en-US"/>
        </w:rPr>
        <w:t>0</w:t>
      </w:r>
      <w:r w:rsidR="007A1E1C" w:rsidRPr="008A77F8">
        <w:rPr>
          <w:lang w:val="en-US"/>
        </w:rPr>
        <w:t xml:space="preserve">; </w:t>
      </w:r>
      <w:r w:rsidR="005143CE" w:rsidRPr="008A77F8">
        <w:rPr>
          <w:lang w:val="en-US"/>
        </w:rPr>
        <w:t>The Hon Justice McHugh AC, ‘Tensions Between the Executive and the Judiciary’, Australian Bar Association Conference, Paris, 10 July 2002</w:t>
      </w:r>
      <w:r w:rsidR="00036867" w:rsidRPr="008A77F8">
        <w:rPr>
          <w:lang w:val="en-US"/>
        </w:rPr>
        <w:t xml:space="preserve">, </w:t>
      </w:r>
      <w:r w:rsidR="00C17920" w:rsidRPr="008A77F8">
        <w:rPr>
          <w:lang w:val="en-US"/>
        </w:rPr>
        <w:t>&lt;</w:t>
      </w:r>
      <w:r w:rsidR="00036867" w:rsidRPr="008A77F8">
        <w:rPr>
          <w:lang w:val="en-US"/>
        </w:rPr>
        <w:t>https://www.hcourt.gov.au/assets/publications/speeches/former-justices/mchughj/mchughj_paris.htm</w:t>
      </w:r>
      <w:r w:rsidR="00C17920" w:rsidRPr="008A77F8">
        <w:rPr>
          <w:lang w:val="en-US"/>
        </w:rPr>
        <w:t>&gt;</w:t>
      </w:r>
      <w:r w:rsidR="00DC7FE9" w:rsidRPr="008A77F8">
        <w:rPr>
          <w:lang w:val="en-US"/>
        </w:rPr>
        <w:t>.</w:t>
      </w:r>
    </w:p>
  </w:footnote>
  <w:footnote w:id="3">
    <w:p w14:paraId="7F869F99" w14:textId="66DD2756" w:rsidR="000B0929" w:rsidRPr="008A77F8" w:rsidRDefault="000B0929" w:rsidP="000F2F7C">
      <w:pPr>
        <w:pStyle w:val="FootnoteText"/>
      </w:pPr>
      <w:r w:rsidRPr="008A77F8">
        <w:rPr>
          <w:rStyle w:val="FootnoteReference"/>
        </w:rPr>
        <w:footnoteRef/>
      </w:r>
      <w:r w:rsidRPr="008A77F8">
        <w:t xml:space="preserve"> </w:t>
      </w:r>
      <w:r w:rsidR="00F80D84" w:rsidRPr="008A77F8">
        <w:t>For instance,</w:t>
      </w:r>
      <w:r w:rsidR="000F6A01" w:rsidRPr="008A77F8">
        <w:t xml:space="preserve"> </w:t>
      </w:r>
      <w:r w:rsidR="00FE1327" w:rsidRPr="008A77F8">
        <w:t xml:space="preserve">a previous version of </w:t>
      </w:r>
      <w:r w:rsidR="00F80D84" w:rsidRPr="008A77F8">
        <w:t xml:space="preserve">Pt 8 of the </w:t>
      </w:r>
      <w:r w:rsidR="00F80D84" w:rsidRPr="00FE3B29">
        <w:rPr>
          <w:i/>
          <w:iCs/>
        </w:rPr>
        <w:t>Migration Act</w:t>
      </w:r>
      <w:r w:rsidR="00D248A0">
        <w:rPr>
          <w:i/>
          <w:iCs/>
        </w:rPr>
        <w:t xml:space="preserve"> 1958</w:t>
      </w:r>
      <w:r w:rsidR="00D248A0">
        <w:t xml:space="preserve"> (Cth) (‘</w:t>
      </w:r>
      <w:r w:rsidR="00D248A0">
        <w:rPr>
          <w:i/>
          <w:iCs/>
        </w:rPr>
        <w:t>Migration Act</w:t>
      </w:r>
      <w:r w:rsidR="00D248A0">
        <w:t>’)</w:t>
      </w:r>
      <w:r w:rsidR="00FE1327" w:rsidRPr="008A77F8">
        <w:t xml:space="preserve"> explicitly excluded the grounds of natural justice and unreasonableness for certain applicants. There was also an attempt to oust the jurisdiction of the courts via the introduction of a privative clause in s</w:t>
      </w:r>
      <w:r w:rsidR="007A081B">
        <w:t xml:space="preserve"> </w:t>
      </w:r>
      <w:r w:rsidR="00FE1327" w:rsidRPr="008A77F8">
        <w:t xml:space="preserve">474 of the </w:t>
      </w:r>
      <w:r w:rsidR="00FE1327" w:rsidRPr="00FE3B29">
        <w:rPr>
          <w:i/>
          <w:iCs/>
        </w:rPr>
        <w:t>Migration Act</w:t>
      </w:r>
      <w:r w:rsidR="00FE1327" w:rsidRPr="008A77F8">
        <w:t>.</w:t>
      </w:r>
      <w:r w:rsidR="00F80D84" w:rsidRPr="008A77F8">
        <w:t xml:space="preserve"> </w:t>
      </w:r>
      <w:r w:rsidR="0038720B" w:rsidRPr="008A77F8">
        <w:t xml:space="preserve">For a history of these </w:t>
      </w:r>
      <w:r w:rsidR="000F6A01" w:rsidRPr="008A77F8">
        <w:t>amendment</w:t>
      </w:r>
      <w:r w:rsidR="00952ABA" w:rsidRPr="008A77F8">
        <w:t>s, see Susan Kneebone, ‘The Australian Story</w:t>
      </w:r>
      <w:r w:rsidR="000F6A01" w:rsidRPr="008A77F8">
        <w:t>: Asylum Seekers outside the Law</w:t>
      </w:r>
      <w:r w:rsidR="00952ABA" w:rsidRPr="008A77F8">
        <w:t xml:space="preserve">’ in </w:t>
      </w:r>
      <w:r w:rsidR="000F6A01" w:rsidRPr="008A77F8">
        <w:t>S</w:t>
      </w:r>
      <w:r w:rsidR="00704B8B" w:rsidRPr="008A77F8">
        <w:t>usan</w:t>
      </w:r>
      <w:r w:rsidR="000F6A01" w:rsidRPr="008A77F8">
        <w:t xml:space="preserve"> Kneebone</w:t>
      </w:r>
      <w:r w:rsidR="00950BFA" w:rsidRPr="008A77F8">
        <w:t xml:space="preserve"> (ed)</w:t>
      </w:r>
      <w:r w:rsidR="000F6A01" w:rsidRPr="008A77F8">
        <w:t xml:space="preserve">, </w:t>
      </w:r>
      <w:r w:rsidR="000F6A01" w:rsidRPr="008A77F8">
        <w:rPr>
          <w:i/>
          <w:iCs/>
        </w:rPr>
        <w:t>Refugees, Asylum Seekers and the Rule of Law – Comparative Perspectives</w:t>
      </w:r>
      <w:r w:rsidR="00952ABA" w:rsidRPr="008A77F8">
        <w:t xml:space="preserve"> (Cambridge University Press, 2009) 178-185</w:t>
      </w:r>
      <w:r w:rsidR="00704B8B" w:rsidRPr="008A77F8">
        <w:t xml:space="preserve"> (‘Refugees, Asylum Seekers, Rule of Law’</w:t>
      </w:r>
      <w:r w:rsidR="00704B8B" w:rsidRPr="008A77F8">
        <w:rPr>
          <w:i/>
          <w:iCs/>
        </w:rPr>
        <w:t>)</w:t>
      </w:r>
      <w:r w:rsidR="00EB2FC6" w:rsidRPr="008A77F8">
        <w:t>.</w:t>
      </w:r>
      <w:r w:rsidR="00406B07" w:rsidRPr="008A77F8">
        <w:t xml:space="preserve"> </w:t>
      </w:r>
      <w:r w:rsidR="00CC23FD">
        <w:t>T</w:t>
      </w:r>
      <w:r w:rsidR="00406B07" w:rsidRPr="008A77F8">
        <w:t xml:space="preserve">he </w:t>
      </w:r>
      <w:r w:rsidR="00406B07" w:rsidRPr="00FE3B29">
        <w:rPr>
          <w:i/>
          <w:iCs/>
        </w:rPr>
        <w:t>Migration Act</w:t>
      </w:r>
      <w:r w:rsidR="00406B07" w:rsidRPr="008A77F8">
        <w:t xml:space="preserve"> still contains exclusions or restrictions to procedural fairness. For instance, </w:t>
      </w:r>
      <w:r w:rsidR="00406B07" w:rsidRPr="008A77F8">
        <w:rPr>
          <w:lang w:eastAsia="en-AU"/>
        </w:rPr>
        <w:t xml:space="preserve">an exercise of power under s 198AB(1) of the </w:t>
      </w:r>
      <w:r w:rsidR="00406B07" w:rsidRPr="00FE3B29">
        <w:rPr>
          <w:i/>
          <w:iCs/>
          <w:lang w:eastAsia="en-AU"/>
        </w:rPr>
        <w:t>Migration Act</w:t>
      </w:r>
      <w:r w:rsidR="00406B07" w:rsidRPr="008A77F8">
        <w:rPr>
          <w:lang w:eastAsia="en-AU"/>
        </w:rPr>
        <w:t xml:space="preserve"> to</w:t>
      </w:r>
      <w:r w:rsidR="00406B07" w:rsidRPr="008A77F8">
        <w:rPr>
          <w:color w:val="000000"/>
        </w:rPr>
        <w:t xml:space="preserve"> designate a country as a regional</w:t>
      </w:r>
      <w:r w:rsidR="00406B07" w:rsidRPr="008A77F8">
        <w:t xml:space="preserve"> processing country </w:t>
      </w:r>
      <w:r w:rsidR="00406B07" w:rsidRPr="008A77F8">
        <w:rPr>
          <w:lang w:eastAsia="en-AU"/>
        </w:rPr>
        <w:t>is stated in s 198AB (7) as not being subject to the rules of natural justice.</w:t>
      </w:r>
    </w:p>
  </w:footnote>
  <w:footnote w:id="4">
    <w:p w14:paraId="6F39D4EE" w14:textId="41B069B7" w:rsidR="003C4E25" w:rsidRPr="008A77F8" w:rsidRDefault="003C4E25" w:rsidP="000F2F7C">
      <w:pPr>
        <w:pStyle w:val="FootnoteText"/>
      </w:pPr>
      <w:r w:rsidRPr="008A77F8">
        <w:rPr>
          <w:rStyle w:val="FootnoteReference"/>
        </w:rPr>
        <w:footnoteRef/>
      </w:r>
      <w:r w:rsidRPr="008A77F8">
        <w:t xml:space="preserve"> The ‘p</w:t>
      </w:r>
      <w:r w:rsidRPr="008A77F8">
        <w:rPr>
          <w:shd w:val="clear" w:color="auto" w:fill="FFFFFF"/>
        </w:rPr>
        <w:t xml:space="preserve">ublic interest’ is used in </w:t>
      </w:r>
      <w:r w:rsidR="00CC23FD">
        <w:rPr>
          <w:shd w:val="clear" w:color="auto" w:fill="FFFFFF"/>
        </w:rPr>
        <w:t xml:space="preserve">several </w:t>
      </w:r>
      <w:r w:rsidRPr="008A77F8">
        <w:rPr>
          <w:shd w:val="clear" w:color="auto" w:fill="FFFFFF"/>
        </w:rPr>
        <w:t xml:space="preserve">different ways in the </w:t>
      </w:r>
      <w:r w:rsidRPr="00FE3B29">
        <w:rPr>
          <w:i/>
          <w:iCs/>
          <w:shd w:val="clear" w:color="auto" w:fill="FFFFFF"/>
        </w:rPr>
        <w:t>Migration Act</w:t>
      </w:r>
      <w:r w:rsidR="004120B9">
        <w:rPr>
          <w:shd w:val="clear" w:color="auto" w:fill="FFFFFF"/>
        </w:rPr>
        <w:t>.</w:t>
      </w:r>
      <w:r w:rsidRPr="008A77F8">
        <w:rPr>
          <w:shd w:val="clear" w:color="auto" w:fill="FFFFFF"/>
        </w:rPr>
        <w:t xml:space="preserve"> </w:t>
      </w:r>
      <w:r w:rsidR="004120B9">
        <w:rPr>
          <w:shd w:val="clear" w:color="auto" w:fill="FFFFFF"/>
        </w:rPr>
        <w:t>I</w:t>
      </w:r>
      <w:r w:rsidR="004120B9" w:rsidRPr="008A77F8">
        <w:rPr>
          <w:shd w:val="clear" w:color="auto" w:fill="FFFFFF"/>
        </w:rPr>
        <w:t xml:space="preserve">n </w:t>
      </w:r>
      <w:r w:rsidRPr="008A77F8">
        <w:rPr>
          <w:shd w:val="clear" w:color="auto" w:fill="FFFFFF"/>
        </w:rPr>
        <w:t xml:space="preserve">some instances, the public interest forms part of the visa decision-making process (either in granting or cancelling a visa: </w:t>
      </w:r>
      <w:r w:rsidRPr="008A77F8">
        <w:t xml:space="preserve">eg </w:t>
      </w:r>
      <w:r w:rsidR="009A003C" w:rsidRPr="00FE3B29">
        <w:rPr>
          <w:i/>
          <w:iCs/>
        </w:rPr>
        <w:t>Migration Act</w:t>
      </w:r>
      <w:r w:rsidR="009A003C" w:rsidRPr="008A77F8">
        <w:t xml:space="preserve"> s </w:t>
      </w:r>
      <w:r w:rsidRPr="008A77F8">
        <w:t>195A</w:t>
      </w:r>
      <w:r w:rsidRPr="008A77F8">
        <w:rPr>
          <w:shd w:val="clear" w:color="auto" w:fill="FFFFFF"/>
        </w:rPr>
        <w:t xml:space="preserve">). </w:t>
      </w:r>
      <w:r w:rsidRPr="008A77F8">
        <w:t xml:space="preserve">The public interest is also a criterion for cancellation of visas in certain sections of the </w:t>
      </w:r>
      <w:r w:rsidRPr="00FE3B29">
        <w:rPr>
          <w:i/>
          <w:iCs/>
        </w:rPr>
        <w:t>Migration Act</w:t>
      </w:r>
      <w:r w:rsidR="0038512E">
        <w:t>.</w:t>
      </w:r>
      <w:r w:rsidR="0038512E" w:rsidRPr="008A77F8">
        <w:t xml:space="preserve"> </w:t>
      </w:r>
      <w:r w:rsidR="0038512E">
        <w:t>S</w:t>
      </w:r>
      <w:r w:rsidR="0038512E" w:rsidRPr="008A77F8">
        <w:t xml:space="preserve">ee </w:t>
      </w:r>
      <w:r w:rsidRPr="008A77F8">
        <w:t xml:space="preserve">eg sections 133A and 133C of the </w:t>
      </w:r>
      <w:r w:rsidRPr="00FE3B29">
        <w:rPr>
          <w:i/>
          <w:iCs/>
        </w:rPr>
        <w:t>Migration Act</w:t>
      </w:r>
      <w:r w:rsidRPr="008A77F8">
        <w:t xml:space="preserve"> which provide, inter alia, that the Minister can set aside a decision made on a visa and cancel a visa if ‘satisfied that it would be in the public interest to cancel the visa’</w:t>
      </w:r>
      <w:r w:rsidR="0061237A" w:rsidRPr="008A77F8">
        <w:t>.</w:t>
      </w:r>
    </w:p>
  </w:footnote>
  <w:footnote w:id="5">
    <w:p w14:paraId="58625C86" w14:textId="32F2C08F" w:rsidR="00206D21" w:rsidRPr="008A77F8" w:rsidRDefault="00206D21" w:rsidP="000F2F7C">
      <w:pPr>
        <w:pStyle w:val="FootnoteText"/>
      </w:pPr>
      <w:r w:rsidRPr="008A77F8">
        <w:rPr>
          <w:rStyle w:val="FootnoteReference"/>
        </w:rPr>
        <w:footnoteRef/>
      </w:r>
      <w:r w:rsidRPr="008A77F8">
        <w:t xml:space="preserve"> The term ‘God powers’ was used in </w:t>
      </w:r>
      <w:r w:rsidR="00980A10" w:rsidRPr="008A77F8">
        <w:t xml:space="preserve">Liberty Victoria, </w:t>
      </w:r>
      <w:r w:rsidR="00980A10" w:rsidRPr="008A77F8">
        <w:rPr>
          <w:i/>
          <w:iCs/>
        </w:rPr>
        <w:t>Playing God: The Immigration Minister’s Unrestrained Power</w:t>
      </w:r>
      <w:r w:rsidR="00980A10" w:rsidRPr="008A77F8">
        <w:t xml:space="preserve"> (</w:t>
      </w:r>
      <w:r w:rsidR="002426E8">
        <w:t xml:space="preserve">Report, </w:t>
      </w:r>
      <w:r w:rsidR="00980A10" w:rsidRPr="008A77F8">
        <w:t>2017) &lt;</w:t>
      </w:r>
      <w:r w:rsidR="00C17920" w:rsidRPr="008A77F8">
        <w:t xml:space="preserve"> https://libertyvictoria.org.au/content/playing-god-immigration-minister%E2%80%99s-unrestrained-power&gt;</w:t>
      </w:r>
      <w:r w:rsidR="00F96988" w:rsidRPr="008A77F8">
        <w:t xml:space="preserve"> (‘Liberty Victoria, </w:t>
      </w:r>
      <w:r w:rsidR="00F96988" w:rsidRPr="008A77F8">
        <w:rPr>
          <w:i/>
          <w:iCs/>
        </w:rPr>
        <w:t>Playing God</w:t>
      </w:r>
      <w:r w:rsidR="00F96988" w:rsidRPr="00B22AB7">
        <w:t>’</w:t>
      </w:r>
      <w:r w:rsidR="00F96988" w:rsidRPr="008A77F8">
        <w:t>)</w:t>
      </w:r>
      <w:r w:rsidR="00C17920" w:rsidRPr="008A77F8">
        <w:t>.</w:t>
      </w:r>
      <w:r w:rsidR="00CF2E09" w:rsidRPr="008A77F8">
        <w:t xml:space="preserve"> The report was written by Lauren Bull, Elizabeth Colliver, Emily Fischer, Shawn Rajanayagam and Edmund Simpson, under the supervision of Matthew Albert, Daniel Webb and Lexi Lachal.</w:t>
      </w:r>
    </w:p>
  </w:footnote>
  <w:footnote w:id="6">
    <w:p w14:paraId="65BD8884" w14:textId="017CD295" w:rsidR="00AE6A30" w:rsidRPr="008A77F8" w:rsidRDefault="00AE6A30" w:rsidP="000F2F7C">
      <w:pPr>
        <w:pStyle w:val="FootnoteText"/>
      </w:pPr>
      <w:r w:rsidRPr="008A77F8">
        <w:rPr>
          <w:rStyle w:val="FootnoteReference"/>
        </w:rPr>
        <w:footnoteRef/>
      </w:r>
      <w:r w:rsidRPr="008A77F8">
        <w:t xml:space="preserve"> </w:t>
      </w:r>
      <w:r w:rsidR="00EE2812" w:rsidRPr="008A77F8">
        <w:t xml:space="preserve">The 1951 </w:t>
      </w:r>
      <w:r w:rsidR="00EE2812" w:rsidRPr="008A77F8">
        <w:rPr>
          <w:lang w:val="en-US"/>
        </w:rPr>
        <w:t xml:space="preserve">Convention relating to the Status of Refugees, 189 </w:t>
      </w:r>
      <w:r w:rsidR="00EE2812" w:rsidRPr="00FE3B29">
        <w:rPr>
          <w:lang w:val="en-US"/>
        </w:rPr>
        <w:t>UNTS</w:t>
      </w:r>
      <w:r w:rsidR="00EE2812" w:rsidRPr="008A77F8">
        <w:rPr>
          <w:lang w:val="en-US"/>
        </w:rPr>
        <w:t xml:space="preserve"> 150, supplemented by the 1967 Protocol relating to the Status of Refugees, 606 </w:t>
      </w:r>
      <w:r w:rsidR="00EE2812" w:rsidRPr="00FE3B29">
        <w:rPr>
          <w:lang w:val="en-US"/>
        </w:rPr>
        <w:t>UNTS</w:t>
      </w:r>
      <w:r w:rsidR="00EE2812" w:rsidRPr="008A77F8">
        <w:rPr>
          <w:lang w:val="en-US"/>
        </w:rPr>
        <w:t xml:space="preserve"> 267 (</w:t>
      </w:r>
      <w:r w:rsidR="00B472A7" w:rsidRPr="008A77F8">
        <w:rPr>
          <w:lang w:val="en-US"/>
        </w:rPr>
        <w:t>‘</w:t>
      </w:r>
      <w:r w:rsidR="00EE2812" w:rsidRPr="008A77F8">
        <w:rPr>
          <w:lang w:val="en-US"/>
        </w:rPr>
        <w:t>Refugee Convention</w:t>
      </w:r>
      <w:r w:rsidR="00B472A7" w:rsidRPr="008A77F8">
        <w:rPr>
          <w:lang w:val="en-US"/>
        </w:rPr>
        <w:t>’</w:t>
      </w:r>
      <w:r w:rsidR="00EE2812" w:rsidRPr="008A77F8">
        <w:rPr>
          <w:lang w:val="en-US"/>
        </w:rPr>
        <w:t>)</w:t>
      </w:r>
      <w:r w:rsidRPr="008A77F8">
        <w:t>.</w:t>
      </w:r>
    </w:p>
  </w:footnote>
  <w:footnote w:id="7">
    <w:p w14:paraId="49E0B762" w14:textId="4C98EF97" w:rsidR="00AE6A30" w:rsidRPr="008A77F8" w:rsidRDefault="00AE6A30" w:rsidP="000F2F7C">
      <w:pPr>
        <w:pStyle w:val="FootnoteText"/>
      </w:pPr>
      <w:r w:rsidRPr="008A77F8">
        <w:rPr>
          <w:rStyle w:val="FootnoteReference"/>
        </w:rPr>
        <w:footnoteRef/>
      </w:r>
      <w:r w:rsidRPr="008A77F8">
        <w:t xml:space="preserve"> </w:t>
      </w:r>
      <w:r w:rsidR="00EE2812" w:rsidRPr="008A77F8">
        <w:rPr>
          <w:lang w:val="en-GB"/>
        </w:rPr>
        <w:t>International Covenant on Civil and Political Rights, opened for signature 19 December 1966, 999 UNTS 171 (entered into force 23 March 1976) (‘ICCPR’)</w:t>
      </w:r>
      <w:r w:rsidR="00077FA6" w:rsidRPr="008A77F8">
        <w:t>.</w:t>
      </w:r>
    </w:p>
  </w:footnote>
  <w:footnote w:id="8">
    <w:p w14:paraId="6C83E038" w14:textId="1879D93E" w:rsidR="00AA50CA" w:rsidRPr="008A77F8" w:rsidRDefault="00AA50CA" w:rsidP="000F2F7C">
      <w:pPr>
        <w:pStyle w:val="FootnoteText"/>
      </w:pPr>
      <w:r w:rsidRPr="008A77F8">
        <w:rPr>
          <w:rStyle w:val="FootnoteReference"/>
        </w:rPr>
        <w:footnoteRef/>
      </w:r>
      <w:r w:rsidRPr="008A77F8">
        <w:t xml:space="preserve"> </w:t>
      </w:r>
      <w:r w:rsidR="00F96988" w:rsidRPr="008A77F8">
        <w:t xml:space="preserve">See </w:t>
      </w:r>
      <w:r w:rsidRPr="008A77F8">
        <w:rPr>
          <w:i/>
          <w:iCs/>
        </w:rPr>
        <w:t>Minister for Immigration and Ethnic Affairs v Teoh</w:t>
      </w:r>
      <w:r w:rsidRPr="008A77F8">
        <w:t xml:space="preserve"> </w:t>
      </w:r>
      <w:r w:rsidR="003E092C">
        <w:t xml:space="preserve">(1995) </w:t>
      </w:r>
      <w:r w:rsidRPr="008A77F8">
        <w:t>183 CLR 273 (‘</w:t>
      </w:r>
      <w:r w:rsidRPr="00BF33DE">
        <w:rPr>
          <w:i/>
          <w:iCs/>
        </w:rPr>
        <w:t>Teoh</w:t>
      </w:r>
      <w:r w:rsidRPr="008A77F8">
        <w:t>’</w:t>
      </w:r>
      <w:r w:rsidR="0000580F" w:rsidRPr="008A77F8">
        <w:t>);</w:t>
      </w:r>
      <w:r w:rsidRPr="008A77F8">
        <w:t xml:space="preserve"> </w:t>
      </w:r>
      <w:r w:rsidR="0000580F" w:rsidRPr="008A77F8">
        <w:rPr>
          <w:i/>
          <w:iCs/>
        </w:rPr>
        <w:t>Re Minister for Immigration and Multicultural Affairs; Ex parte Lam</w:t>
      </w:r>
      <w:r w:rsidR="0000580F" w:rsidRPr="008A77F8">
        <w:t xml:space="preserve"> </w:t>
      </w:r>
      <w:r w:rsidR="003E092C">
        <w:t>(2003) 214 CLR 1</w:t>
      </w:r>
      <w:r w:rsidR="0000580F" w:rsidRPr="008A77F8">
        <w:t xml:space="preserve"> (‘</w:t>
      </w:r>
      <w:r w:rsidR="00BF33DE" w:rsidRPr="00BF33DE">
        <w:rPr>
          <w:i/>
          <w:iCs/>
        </w:rPr>
        <w:t xml:space="preserve">Ex parte </w:t>
      </w:r>
      <w:r w:rsidR="0000580F" w:rsidRPr="00BF33DE">
        <w:rPr>
          <w:i/>
          <w:iCs/>
        </w:rPr>
        <w:t>Lam</w:t>
      </w:r>
      <w:r w:rsidR="0000580F" w:rsidRPr="008A77F8">
        <w:t>’).</w:t>
      </w:r>
    </w:p>
  </w:footnote>
  <w:footnote w:id="9">
    <w:p w14:paraId="3393E3BD" w14:textId="4CCED3F1" w:rsidR="003C46E6" w:rsidRPr="008A77F8" w:rsidRDefault="003C46E6" w:rsidP="000F2F7C">
      <w:pPr>
        <w:pStyle w:val="FootnoteText"/>
      </w:pPr>
      <w:r w:rsidRPr="008A77F8">
        <w:rPr>
          <w:rStyle w:val="FootnoteReference"/>
        </w:rPr>
        <w:footnoteRef/>
      </w:r>
      <w:r w:rsidRPr="008A77F8">
        <w:t xml:space="preserve"> </w:t>
      </w:r>
      <w:r w:rsidR="006B4584">
        <w:t>S</w:t>
      </w:r>
      <w:r w:rsidR="006B4584" w:rsidRPr="008A77F8">
        <w:t xml:space="preserve">ee </w:t>
      </w:r>
      <w:r w:rsidR="00885255" w:rsidRPr="008A77F8">
        <w:t xml:space="preserve">eg </w:t>
      </w:r>
      <w:r w:rsidR="00113AD8" w:rsidRPr="008A77F8">
        <w:t xml:space="preserve">Wendy </w:t>
      </w:r>
      <w:r w:rsidR="003B244C" w:rsidRPr="008A77F8">
        <w:t xml:space="preserve">Lacey, </w:t>
      </w:r>
      <w:r w:rsidR="00113AD8" w:rsidRPr="008A77F8">
        <w:t>‘</w:t>
      </w:r>
      <w:r w:rsidR="003B244C" w:rsidRPr="008A77F8">
        <w:t xml:space="preserve">A Prelude to the Demise of Teoh: The High Court Decision in </w:t>
      </w:r>
      <w:r w:rsidR="003B244C" w:rsidRPr="008A77F8">
        <w:rPr>
          <w:i/>
          <w:iCs/>
        </w:rPr>
        <w:t>Re Minister for Immigration and Multicultural Affairs; Ex parte Lam</w:t>
      </w:r>
      <w:r w:rsidR="00113AD8" w:rsidRPr="008A77F8">
        <w:t>’ (</w:t>
      </w:r>
      <w:r w:rsidR="003B244C" w:rsidRPr="008A77F8">
        <w:t xml:space="preserve">2004) 26(1) </w:t>
      </w:r>
      <w:r w:rsidR="003B244C" w:rsidRPr="008A77F8">
        <w:rPr>
          <w:i/>
          <w:iCs/>
        </w:rPr>
        <w:t>Sydney Law Review</w:t>
      </w:r>
      <w:r w:rsidR="003B244C" w:rsidRPr="008A77F8">
        <w:t xml:space="preserve"> 131</w:t>
      </w:r>
      <w:r w:rsidR="00656125" w:rsidRPr="008A77F8">
        <w:rPr>
          <w:shd w:val="clear" w:color="auto" w:fill="FFFFFF"/>
        </w:rPr>
        <w:t xml:space="preserve">; </w:t>
      </w:r>
      <w:r w:rsidR="00B639BD" w:rsidRPr="008A77F8">
        <w:rPr>
          <w:shd w:val="clear" w:color="auto" w:fill="FFFFFF"/>
        </w:rPr>
        <w:t>A</w:t>
      </w:r>
      <w:r w:rsidR="00AA50CA" w:rsidRPr="008A77F8">
        <w:rPr>
          <w:shd w:val="clear" w:color="auto" w:fill="FFFFFF"/>
        </w:rPr>
        <w:t>lison</w:t>
      </w:r>
      <w:r w:rsidR="00B639BD" w:rsidRPr="008A77F8">
        <w:rPr>
          <w:shd w:val="clear" w:color="auto" w:fill="FFFFFF"/>
        </w:rPr>
        <w:t xml:space="preserve"> Duxbury, ‘The impact and significance of Teoh and Lam’ in </w:t>
      </w:r>
      <w:r w:rsidR="00656125" w:rsidRPr="008A77F8">
        <w:rPr>
          <w:shd w:val="clear" w:color="auto" w:fill="FFFFFF"/>
        </w:rPr>
        <w:t>M</w:t>
      </w:r>
      <w:r w:rsidR="00AA50CA" w:rsidRPr="008A77F8">
        <w:rPr>
          <w:shd w:val="clear" w:color="auto" w:fill="FFFFFF"/>
        </w:rPr>
        <w:t>atthew</w:t>
      </w:r>
      <w:r w:rsidR="00656125" w:rsidRPr="008A77F8">
        <w:rPr>
          <w:shd w:val="clear" w:color="auto" w:fill="FFFFFF"/>
        </w:rPr>
        <w:t xml:space="preserve"> Groves and HP Lee</w:t>
      </w:r>
      <w:r w:rsidR="00334FA7">
        <w:rPr>
          <w:shd w:val="clear" w:color="auto" w:fill="FFFFFF"/>
        </w:rPr>
        <w:t xml:space="preserve"> (eds)</w:t>
      </w:r>
      <w:r w:rsidR="00656125" w:rsidRPr="008A77F8">
        <w:rPr>
          <w:shd w:val="clear" w:color="auto" w:fill="FFFFFF"/>
        </w:rPr>
        <w:t xml:space="preserve">, </w:t>
      </w:r>
      <w:r w:rsidR="00656125" w:rsidRPr="008A77F8">
        <w:rPr>
          <w:i/>
          <w:iCs/>
          <w:shd w:val="clear" w:color="auto" w:fill="FFFFFF"/>
        </w:rPr>
        <w:t>Australian Administrative Law: Fundamentals, Principles and Doctrines</w:t>
      </w:r>
      <w:r w:rsidR="00656125" w:rsidRPr="008A77F8">
        <w:rPr>
          <w:shd w:val="clear" w:color="auto" w:fill="FFFFFF"/>
        </w:rPr>
        <w:t xml:space="preserve"> (C</w:t>
      </w:r>
      <w:r w:rsidR="00F46F21" w:rsidRPr="008A77F8">
        <w:rPr>
          <w:shd w:val="clear" w:color="auto" w:fill="FFFFFF"/>
        </w:rPr>
        <w:t>ambridge University Press,</w:t>
      </w:r>
      <w:r w:rsidR="00B639BD" w:rsidRPr="008A77F8">
        <w:rPr>
          <w:shd w:val="clear" w:color="auto" w:fill="FFFFFF"/>
        </w:rPr>
        <w:t xml:space="preserve"> 2007)</w:t>
      </w:r>
      <w:r w:rsidR="003B244C" w:rsidRPr="008A77F8">
        <w:rPr>
          <w:shd w:val="clear" w:color="auto" w:fill="FFFFFF"/>
        </w:rPr>
        <w:t xml:space="preserve">; Robin Creyke et al, </w:t>
      </w:r>
      <w:r w:rsidR="003B244C" w:rsidRPr="008A77F8">
        <w:rPr>
          <w:i/>
          <w:iCs/>
          <w:shd w:val="clear" w:color="auto" w:fill="FFFFFF"/>
        </w:rPr>
        <w:t>Control of Government Action</w:t>
      </w:r>
      <w:r w:rsidR="00DB0B3D" w:rsidRPr="008A77F8">
        <w:rPr>
          <w:i/>
          <w:iCs/>
          <w:shd w:val="clear" w:color="auto" w:fill="FFFFFF"/>
        </w:rPr>
        <w:t>: Text, Cases and Commentary</w:t>
      </w:r>
      <w:r w:rsidR="003B244C" w:rsidRPr="008A77F8">
        <w:rPr>
          <w:shd w:val="clear" w:color="auto" w:fill="FFFFFF"/>
        </w:rPr>
        <w:t xml:space="preserve"> (Lexis Nexis, </w:t>
      </w:r>
      <w:r w:rsidR="00DB0B3D" w:rsidRPr="008A77F8">
        <w:rPr>
          <w:shd w:val="clear" w:color="auto" w:fill="FFFFFF"/>
        </w:rPr>
        <w:t>6</w:t>
      </w:r>
      <w:r w:rsidR="003B244C" w:rsidRPr="008A77F8">
        <w:rPr>
          <w:shd w:val="clear" w:color="auto" w:fill="FFFFFF"/>
          <w:vertAlign w:val="superscript"/>
        </w:rPr>
        <w:t>th</w:t>
      </w:r>
      <w:r w:rsidR="003B244C" w:rsidRPr="008A77F8">
        <w:rPr>
          <w:shd w:val="clear" w:color="auto" w:fill="FFFFFF"/>
        </w:rPr>
        <w:t xml:space="preserve"> ed, 20</w:t>
      </w:r>
      <w:r w:rsidR="00DB0B3D" w:rsidRPr="008A77F8">
        <w:rPr>
          <w:shd w:val="clear" w:color="auto" w:fill="FFFFFF"/>
        </w:rPr>
        <w:t>22</w:t>
      </w:r>
      <w:r w:rsidR="003B244C" w:rsidRPr="008A77F8">
        <w:rPr>
          <w:shd w:val="clear" w:color="auto" w:fill="FFFFFF"/>
        </w:rPr>
        <w:t xml:space="preserve">) </w:t>
      </w:r>
      <w:r w:rsidR="00C02F9F" w:rsidRPr="008A77F8">
        <w:rPr>
          <w:shd w:val="clear" w:color="auto" w:fill="FFFFFF"/>
        </w:rPr>
        <w:t>56</w:t>
      </w:r>
      <w:r w:rsidR="003B244C" w:rsidRPr="008A77F8">
        <w:rPr>
          <w:shd w:val="clear" w:color="auto" w:fill="FFFFFF"/>
        </w:rPr>
        <w:t>8-</w:t>
      </w:r>
      <w:r w:rsidR="00C02F9F" w:rsidRPr="008A77F8">
        <w:rPr>
          <w:shd w:val="clear" w:color="auto" w:fill="FFFFFF"/>
        </w:rPr>
        <w:t>572 (‘Government Action</w:t>
      </w:r>
      <w:r w:rsidR="00C73703">
        <w:rPr>
          <w:shd w:val="clear" w:color="auto" w:fill="FFFFFF"/>
        </w:rPr>
        <w:t>’</w:t>
      </w:r>
      <w:r w:rsidR="00C02F9F" w:rsidRPr="008A77F8">
        <w:rPr>
          <w:shd w:val="clear" w:color="auto" w:fill="FFFFFF"/>
        </w:rPr>
        <w:t>)</w:t>
      </w:r>
      <w:r w:rsidR="00EE2812" w:rsidRPr="008A77F8">
        <w:rPr>
          <w:shd w:val="clear" w:color="auto" w:fill="FFFFFF"/>
        </w:rPr>
        <w:t>.</w:t>
      </w:r>
    </w:p>
  </w:footnote>
  <w:footnote w:id="10">
    <w:p w14:paraId="43049646" w14:textId="05DEFAAE" w:rsidR="009F4F47" w:rsidRDefault="009F4F47">
      <w:pPr>
        <w:pStyle w:val="FootnoteText"/>
      </w:pPr>
      <w:r>
        <w:rPr>
          <w:rStyle w:val="FootnoteReference"/>
        </w:rPr>
        <w:footnoteRef/>
      </w:r>
      <w:r>
        <w:t xml:space="preserve"> </w:t>
      </w:r>
      <w:r w:rsidRPr="009F4F47">
        <w:rPr>
          <w:lang w:val="en-US"/>
        </w:rPr>
        <w:t xml:space="preserve">Gabrielle Appleby and Alexander Reilly, ‘Unveiling the Public Interest: The Parameters of Executive Discretion in Australian Migration Legislation’ (2017) 28(4) </w:t>
      </w:r>
      <w:r w:rsidRPr="009F4F47">
        <w:rPr>
          <w:i/>
          <w:iCs/>
          <w:lang w:val="en-US"/>
        </w:rPr>
        <w:t>Public Law Review</w:t>
      </w:r>
      <w:r w:rsidRPr="009F4F47">
        <w:rPr>
          <w:lang w:val="en-US"/>
        </w:rPr>
        <w:t xml:space="preserve"> 293 (‘Appleby and Reilly’).</w:t>
      </w:r>
    </w:p>
  </w:footnote>
  <w:footnote w:id="11">
    <w:p w14:paraId="6B03B053" w14:textId="526A2CAB" w:rsidR="001C7F71" w:rsidRPr="008A77F8" w:rsidRDefault="001C7F71" w:rsidP="000F2F7C">
      <w:pPr>
        <w:pStyle w:val="FootnoteText"/>
      </w:pPr>
      <w:r w:rsidRPr="008A77F8">
        <w:rPr>
          <w:rStyle w:val="FootnoteReference"/>
        </w:rPr>
        <w:footnoteRef/>
      </w:r>
      <w:r w:rsidRPr="008A77F8">
        <w:t xml:space="preserve"> UK Home Office, </w:t>
      </w:r>
      <w:r w:rsidRPr="008A77F8">
        <w:rPr>
          <w:i/>
          <w:iCs/>
        </w:rPr>
        <w:t>Guidance: Discretionary leave</w:t>
      </w:r>
      <w:r w:rsidRPr="008A77F8">
        <w:t>, Version 10.0, published 16 March 2023, &lt;https://assets.publishing.service.gov.uk/government/uploads/system/uploads/attachment_data/file/1143000/Discretionary_leave.pdf&gt;.</w:t>
      </w:r>
    </w:p>
  </w:footnote>
  <w:footnote w:id="12">
    <w:p w14:paraId="39CA8365" w14:textId="35A5B0D3" w:rsidR="00C02F9F" w:rsidRPr="008A77F8" w:rsidRDefault="00C02F9F" w:rsidP="000F2F7C">
      <w:pPr>
        <w:pStyle w:val="FootnoteText"/>
      </w:pPr>
      <w:r w:rsidRPr="008A77F8">
        <w:rPr>
          <w:rStyle w:val="FootnoteReference"/>
        </w:rPr>
        <w:footnoteRef/>
      </w:r>
      <w:r w:rsidRPr="008A77F8">
        <w:t xml:space="preserve"> For a fuller discussion of the constitutional considerations </w:t>
      </w:r>
      <w:r w:rsidR="00F22852">
        <w:t xml:space="preserve">relevant to </w:t>
      </w:r>
      <w:r w:rsidRPr="008A77F8">
        <w:t xml:space="preserve">administrative law, see Chapter 2: Constitutional Considerations in </w:t>
      </w:r>
      <w:r w:rsidRPr="008A77F8">
        <w:rPr>
          <w:shd w:val="clear" w:color="auto" w:fill="FFFFFF"/>
        </w:rPr>
        <w:t>Creyke et al, Government Action (n 9) 45-101.</w:t>
      </w:r>
    </w:p>
  </w:footnote>
  <w:footnote w:id="13">
    <w:p w14:paraId="188B399B" w14:textId="307D5430" w:rsidR="0043423C" w:rsidRPr="008A77F8" w:rsidRDefault="0043423C" w:rsidP="000F2F7C">
      <w:pPr>
        <w:pStyle w:val="FootnoteText"/>
        <w:rPr>
          <w:lang w:val="en-US"/>
        </w:rPr>
      </w:pPr>
      <w:r w:rsidRPr="008A77F8">
        <w:rPr>
          <w:rStyle w:val="FootnoteReference"/>
        </w:rPr>
        <w:footnoteRef/>
      </w:r>
      <w:r w:rsidRPr="008A77F8">
        <w:t xml:space="preserve"> </w:t>
      </w:r>
      <w:r w:rsidRPr="008A77F8">
        <w:rPr>
          <w:lang w:val="en-US"/>
        </w:rPr>
        <w:t xml:space="preserve">The distinction between the two, and the forms of error which </w:t>
      </w:r>
      <w:r w:rsidR="00E047A5">
        <w:rPr>
          <w:lang w:val="en-US"/>
        </w:rPr>
        <w:t>relate to each</w:t>
      </w:r>
      <w:r w:rsidRPr="008A77F8">
        <w:rPr>
          <w:lang w:val="en-US"/>
        </w:rPr>
        <w:t xml:space="preserve">, is explained by Derrington J in </w:t>
      </w:r>
      <w:r w:rsidRPr="008A77F8">
        <w:rPr>
          <w:i/>
          <w:iCs/>
          <w:lang w:val="en-US"/>
        </w:rPr>
        <w:t xml:space="preserve">EHF17 v </w:t>
      </w:r>
      <w:r w:rsidR="00BF33DE">
        <w:rPr>
          <w:i/>
          <w:iCs/>
          <w:lang w:val="en-US"/>
        </w:rPr>
        <w:t>Minister for Immigration and Border Protection</w:t>
      </w:r>
      <w:r w:rsidRPr="008A77F8">
        <w:rPr>
          <w:lang w:val="en-US"/>
        </w:rPr>
        <w:t xml:space="preserve"> (2019) 272 FCR 409. See also </w:t>
      </w:r>
      <w:r w:rsidRPr="008A77F8">
        <w:rPr>
          <w:i/>
          <w:iCs/>
          <w:lang w:val="en-US"/>
        </w:rPr>
        <w:t xml:space="preserve">Au v </w:t>
      </w:r>
      <w:r w:rsidR="00BF33DE">
        <w:rPr>
          <w:i/>
          <w:iCs/>
          <w:lang w:val="en-US"/>
        </w:rPr>
        <w:t xml:space="preserve">Minister for Immigration, Citizenship, Migrant Services and Multicultural Affairs </w:t>
      </w:r>
      <w:r w:rsidRPr="008A77F8">
        <w:rPr>
          <w:lang w:val="en-US"/>
        </w:rPr>
        <w:t>(2022) 295 FCR 315.</w:t>
      </w:r>
    </w:p>
  </w:footnote>
  <w:footnote w:id="14">
    <w:p w14:paraId="3640C892" w14:textId="77777777" w:rsidR="00FB745A" w:rsidRPr="008A77F8" w:rsidRDefault="00FB745A" w:rsidP="00FB745A">
      <w:pPr>
        <w:pStyle w:val="FootnoteText"/>
      </w:pPr>
      <w:r w:rsidRPr="008A77F8">
        <w:rPr>
          <w:rStyle w:val="FootnoteReference"/>
        </w:rPr>
        <w:footnoteRef/>
      </w:r>
      <w:r w:rsidRPr="008A77F8">
        <w:t xml:space="preserve"> </w:t>
      </w:r>
      <w:r w:rsidRPr="00FE3B29">
        <w:rPr>
          <w:i/>
          <w:iCs/>
        </w:rPr>
        <w:t>Migration Act</w:t>
      </w:r>
      <w:r w:rsidRPr="007A081B">
        <w:t xml:space="preserve"> </w:t>
      </w:r>
      <w:r w:rsidRPr="008A77F8">
        <w:t>s 4(1).</w:t>
      </w:r>
    </w:p>
  </w:footnote>
  <w:footnote w:id="15">
    <w:p w14:paraId="6E5B4E45" w14:textId="77777777" w:rsidR="00FB745A" w:rsidRPr="008A77F8" w:rsidRDefault="00FB745A" w:rsidP="00FB745A">
      <w:pPr>
        <w:pStyle w:val="FootnoteText"/>
        <w:rPr>
          <w:lang w:val="en-US"/>
        </w:rPr>
      </w:pPr>
      <w:r w:rsidRPr="008A77F8">
        <w:rPr>
          <w:rStyle w:val="FootnoteReference"/>
        </w:rPr>
        <w:footnoteRef/>
      </w:r>
      <w:r w:rsidRPr="008A77F8">
        <w:t xml:space="preserve"> </w:t>
      </w:r>
      <w:r w:rsidRPr="008A77F8">
        <w:rPr>
          <w:lang w:val="en-US"/>
        </w:rPr>
        <w:t xml:space="preserve">See </w:t>
      </w:r>
      <w:r>
        <w:rPr>
          <w:lang w:val="en-US"/>
        </w:rPr>
        <w:t>eg</w:t>
      </w:r>
      <w:r w:rsidRPr="008A77F8">
        <w:rPr>
          <w:lang w:val="en-US"/>
        </w:rPr>
        <w:t xml:space="preserve"> </w:t>
      </w:r>
      <w:r w:rsidRPr="008A77F8">
        <w:rPr>
          <w:i/>
          <w:iCs/>
          <w:lang w:val="en-US"/>
        </w:rPr>
        <w:t>Migration Regulations 1994</w:t>
      </w:r>
      <w:r w:rsidRPr="008A77F8">
        <w:rPr>
          <w:lang w:val="en-US"/>
        </w:rPr>
        <w:t xml:space="preserve"> (Cth) Sch 2 cl 866.226 (‘The Minister is satisfied that the grant of the visa is in the national interest’.)</w:t>
      </w:r>
    </w:p>
  </w:footnote>
  <w:footnote w:id="16">
    <w:p w14:paraId="3FD6A6FA" w14:textId="53137E7E" w:rsidR="00FB745A" w:rsidRPr="008A77F8" w:rsidRDefault="00FB745A" w:rsidP="00FB745A">
      <w:pPr>
        <w:pStyle w:val="FootnoteText"/>
        <w:rPr>
          <w:lang w:val="en-US"/>
        </w:rPr>
      </w:pPr>
      <w:r w:rsidRPr="008A77F8">
        <w:rPr>
          <w:rStyle w:val="FootnoteReference"/>
        </w:rPr>
        <w:footnoteRef/>
      </w:r>
      <w:r w:rsidRPr="008A77F8">
        <w:t xml:space="preserve"> Appleby and Reilly (n </w:t>
      </w:r>
      <w:r w:rsidR="00805DD4">
        <w:t>10</w:t>
      </w:r>
      <w:r w:rsidRPr="008A77F8">
        <w:t>) 301.</w:t>
      </w:r>
    </w:p>
  </w:footnote>
  <w:footnote w:id="17">
    <w:p w14:paraId="28D08CAE" w14:textId="77777777" w:rsidR="00FB745A" w:rsidRPr="008A77F8" w:rsidRDefault="00FB745A" w:rsidP="00FB745A">
      <w:pPr>
        <w:pStyle w:val="FootnoteText"/>
      </w:pPr>
      <w:r w:rsidRPr="008A77F8">
        <w:rPr>
          <w:rStyle w:val="FootnoteReference"/>
        </w:rPr>
        <w:footnoteRef/>
      </w:r>
      <w:r w:rsidRPr="008A77F8">
        <w:t xml:space="preserve"> </w:t>
      </w:r>
      <w:r w:rsidRPr="008A77F8">
        <w:rPr>
          <w:i/>
          <w:iCs/>
        </w:rPr>
        <w:t xml:space="preserve">Wong v </w:t>
      </w:r>
      <w:r>
        <w:rPr>
          <w:i/>
          <w:iCs/>
        </w:rPr>
        <w:t>Minister for Immigration and Multicultural and Indigenous Affairs</w:t>
      </w:r>
      <w:r w:rsidRPr="008A77F8">
        <w:rPr>
          <w:i/>
          <w:iCs/>
        </w:rPr>
        <w:t xml:space="preserve"> </w:t>
      </w:r>
      <w:r w:rsidRPr="008A77F8">
        <w:t>[2002] FCA 959.</w:t>
      </w:r>
    </w:p>
  </w:footnote>
  <w:footnote w:id="18">
    <w:p w14:paraId="63B1AA1A" w14:textId="77777777" w:rsidR="00FB745A" w:rsidRPr="008A77F8" w:rsidRDefault="00FB745A" w:rsidP="00FB745A">
      <w:pPr>
        <w:pStyle w:val="FootnoteText"/>
      </w:pPr>
      <w:r w:rsidRPr="008A77F8">
        <w:rPr>
          <w:rStyle w:val="FootnoteReference"/>
        </w:rPr>
        <w:footnoteRef/>
      </w:r>
      <w:r w:rsidRPr="008A77F8">
        <w:t xml:space="preserve"> </w:t>
      </w:r>
      <w:r>
        <w:rPr>
          <w:iCs/>
        </w:rPr>
        <w:t>Ibid</w:t>
      </w:r>
      <w:r w:rsidRPr="008A77F8">
        <w:t xml:space="preserve"> [34].</w:t>
      </w:r>
    </w:p>
  </w:footnote>
  <w:footnote w:id="19">
    <w:p w14:paraId="31D79ECF" w14:textId="77777777" w:rsidR="00FB745A" w:rsidRPr="008A77F8" w:rsidRDefault="00FB745A" w:rsidP="00FB745A">
      <w:pPr>
        <w:pStyle w:val="FootnoteText"/>
      </w:pPr>
      <w:r w:rsidRPr="008A77F8">
        <w:rPr>
          <w:rStyle w:val="FootnoteReference"/>
        </w:rPr>
        <w:footnoteRef/>
      </w:r>
      <w:r w:rsidRPr="008A77F8">
        <w:t xml:space="preserve"> </w:t>
      </w:r>
      <w:r>
        <w:t xml:space="preserve">Ibid </w:t>
      </w:r>
      <w:r w:rsidRPr="008A77F8">
        <w:t>[33].</w:t>
      </w:r>
    </w:p>
  </w:footnote>
  <w:footnote w:id="20">
    <w:p w14:paraId="37F42C3D" w14:textId="77777777" w:rsidR="00FB745A" w:rsidRPr="008A77F8" w:rsidRDefault="00FB745A" w:rsidP="00FB745A">
      <w:pPr>
        <w:pStyle w:val="FootnoteText"/>
      </w:pPr>
      <w:r w:rsidRPr="008A77F8">
        <w:rPr>
          <w:rStyle w:val="FootnoteReference"/>
        </w:rPr>
        <w:footnoteRef/>
      </w:r>
      <w:r w:rsidRPr="008A77F8">
        <w:t xml:space="preserve"> </w:t>
      </w:r>
      <w:r>
        <w:t>Ibid</w:t>
      </w:r>
    </w:p>
  </w:footnote>
  <w:footnote w:id="21">
    <w:p w14:paraId="2D51ED1D" w14:textId="77777777" w:rsidR="00FB745A" w:rsidRPr="008A77F8" w:rsidRDefault="00FB745A" w:rsidP="00FB745A">
      <w:pPr>
        <w:pStyle w:val="FootnoteText"/>
      </w:pPr>
      <w:r w:rsidRPr="008A77F8">
        <w:rPr>
          <w:rStyle w:val="FootnoteReference"/>
        </w:rPr>
        <w:footnoteRef/>
      </w:r>
      <w:r w:rsidRPr="008A77F8">
        <w:t xml:space="preserve"> </w:t>
      </w:r>
      <w:r w:rsidRPr="00E84347">
        <w:rPr>
          <w:i/>
          <w:iCs/>
        </w:rPr>
        <w:t xml:space="preserve">Applicant M117 of 2007 v </w:t>
      </w:r>
      <w:r>
        <w:rPr>
          <w:i/>
          <w:iCs/>
        </w:rPr>
        <w:t>Minister for Immigration and Citizenship</w:t>
      </w:r>
      <w:r w:rsidRPr="008A77F8">
        <w:t xml:space="preserve"> [2008] FCA 1838 [45].</w:t>
      </w:r>
    </w:p>
  </w:footnote>
  <w:footnote w:id="22">
    <w:p w14:paraId="3B0239EB" w14:textId="77777777" w:rsidR="00FB745A" w:rsidRPr="008A77F8" w:rsidRDefault="00FB745A" w:rsidP="00FB745A">
      <w:pPr>
        <w:pStyle w:val="FootnoteText"/>
      </w:pPr>
      <w:r w:rsidRPr="008A77F8">
        <w:rPr>
          <w:rStyle w:val="FootnoteReference"/>
        </w:rPr>
        <w:footnoteRef/>
      </w:r>
      <w:r w:rsidRPr="008A77F8">
        <w:t xml:space="preserve"> </w:t>
      </w:r>
      <w:r w:rsidRPr="008A77F8">
        <w:rPr>
          <w:i/>
          <w:iCs/>
        </w:rPr>
        <w:t xml:space="preserve">Wong v </w:t>
      </w:r>
      <w:r>
        <w:rPr>
          <w:i/>
          <w:iCs/>
        </w:rPr>
        <w:t>Minister for Immigration and Multicultural and Indigenous Affairs</w:t>
      </w:r>
      <w:r w:rsidRPr="008A77F8">
        <w:rPr>
          <w:i/>
          <w:iCs/>
        </w:rPr>
        <w:t xml:space="preserve"> </w:t>
      </w:r>
      <w:r w:rsidRPr="008A77F8">
        <w:t>[2002] FCA 959 [33].</w:t>
      </w:r>
    </w:p>
  </w:footnote>
  <w:footnote w:id="23">
    <w:p w14:paraId="5F74B1AE" w14:textId="77777777" w:rsidR="00FB745A" w:rsidRPr="008A77F8" w:rsidRDefault="00FB745A" w:rsidP="00FB745A">
      <w:pPr>
        <w:pStyle w:val="FootnoteText"/>
      </w:pPr>
      <w:r w:rsidRPr="008A77F8">
        <w:rPr>
          <w:rStyle w:val="FootnoteReference"/>
        </w:rPr>
        <w:footnoteRef/>
      </w:r>
      <w:r w:rsidRPr="008A77F8">
        <w:t xml:space="preserve"> </w:t>
      </w:r>
      <w:r w:rsidRPr="00E84347">
        <w:rPr>
          <w:i/>
          <w:iCs/>
        </w:rPr>
        <w:t xml:space="preserve">Plaintiff S156/2013 v </w:t>
      </w:r>
      <w:r>
        <w:rPr>
          <w:i/>
          <w:iCs/>
        </w:rPr>
        <w:t xml:space="preserve">Minister for Immigration and Border Protection </w:t>
      </w:r>
      <w:r w:rsidRPr="008A77F8">
        <w:t>(2014) 254 CLR 28 [40].</w:t>
      </w:r>
    </w:p>
  </w:footnote>
  <w:footnote w:id="24">
    <w:p w14:paraId="1AD13ABA" w14:textId="77777777" w:rsidR="00FB745A" w:rsidRPr="008A77F8" w:rsidRDefault="00FB745A" w:rsidP="00FB745A">
      <w:pPr>
        <w:pStyle w:val="FootnoteText"/>
      </w:pPr>
      <w:r w:rsidRPr="008A77F8">
        <w:rPr>
          <w:rStyle w:val="FootnoteReference"/>
        </w:rPr>
        <w:footnoteRef/>
      </w:r>
      <w:r w:rsidRPr="008A77F8">
        <w:t xml:space="preserve"> </w:t>
      </w:r>
      <w:r>
        <w:rPr>
          <w:i/>
          <w:iCs/>
        </w:rPr>
        <w:t>Minister for Immigration and Multicultural and Indigenous Affairs</w:t>
      </w:r>
      <w:r w:rsidRPr="008A77F8">
        <w:rPr>
          <w:i/>
          <w:iCs/>
        </w:rPr>
        <w:t xml:space="preserve"> v Huynh</w:t>
      </w:r>
      <w:r w:rsidRPr="008A77F8">
        <w:t xml:space="preserve"> (2004) 139 FCR 505 [74] (Kiefel and Bennett JJ).</w:t>
      </w:r>
    </w:p>
  </w:footnote>
  <w:footnote w:id="25">
    <w:p w14:paraId="67C6B53A" w14:textId="77777777" w:rsidR="00FB745A" w:rsidRPr="008A77F8" w:rsidRDefault="00FB745A" w:rsidP="00FB745A">
      <w:pPr>
        <w:pStyle w:val="FootnoteText"/>
      </w:pPr>
      <w:r w:rsidRPr="008A77F8">
        <w:rPr>
          <w:rStyle w:val="FootnoteReference"/>
        </w:rPr>
        <w:footnoteRef/>
      </w:r>
      <w:r w:rsidRPr="008A77F8">
        <w:t xml:space="preserve"> </w:t>
      </w:r>
      <w:r>
        <w:rPr>
          <w:i/>
          <w:iCs/>
        </w:rPr>
        <w:t>Minister for Immigration and Multicultural and Indigenous Affairs</w:t>
      </w:r>
      <w:r w:rsidRPr="008A77F8">
        <w:rPr>
          <w:i/>
          <w:iCs/>
        </w:rPr>
        <w:t xml:space="preserve"> v Nystrom </w:t>
      </w:r>
      <w:r w:rsidRPr="008A77F8">
        <w:t>(2006) 228 CLR 556 [122]-[123] (Heydon and Crennan JJ).</w:t>
      </w:r>
    </w:p>
  </w:footnote>
  <w:footnote w:id="26">
    <w:p w14:paraId="4D237319" w14:textId="77777777" w:rsidR="00FB745A" w:rsidRPr="008A77F8" w:rsidRDefault="00FB745A" w:rsidP="00FB745A">
      <w:pPr>
        <w:pStyle w:val="FootnoteText"/>
      </w:pPr>
      <w:r w:rsidRPr="008A77F8">
        <w:rPr>
          <w:rStyle w:val="FootnoteReference"/>
        </w:rPr>
        <w:footnoteRef/>
      </w:r>
      <w:r w:rsidRPr="008A77F8">
        <w:t xml:space="preserve"> </w:t>
      </w:r>
      <w:r>
        <w:t>Ibid</w:t>
      </w:r>
      <w:r w:rsidRPr="008A77F8">
        <w:t xml:space="preserve"> [128] (Heydon and Crennan JJ). See also at [1] (Gleeson CJ) and [40] (Gummow and Hayne JJ, substantially agreeing).</w:t>
      </w:r>
    </w:p>
  </w:footnote>
  <w:footnote w:id="27">
    <w:p w14:paraId="640357AD" w14:textId="77777777" w:rsidR="00FB745A" w:rsidRPr="008A77F8" w:rsidRDefault="00FB745A" w:rsidP="00FB745A">
      <w:pPr>
        <w:pStyle w:val="FootnoteText"/>
      </w:pPr>
      <w:r w:rsidRPr="008A77F8">
        <w:rPr>
          <w:rStyle w:val="FootnoteReference"/>
        </w:rPr>
        <w:footnoteRef/>
      </w:r>
      <w:r w:rsidRPr="008A77F8">
        <w:t xml:space="preserve"> </w:t>
      </w:r>
      <w:r w:rsidRPr="008A77F8">
        <w:rPr>
          <w:i/>
          <w:iCs/>
        </w:rPr>
        <w:t>Re Patterson; Ex parte Taylor</w:t>
      </w:r>
      <w:r w:rsidRPr="008A77F8">
        <w:t xml:space="preserve"> (2001) 207 CLR 391 [79] (Gaudron J); </w:t>
      </w:r>
      <w:r w:rsidRPr="008A77F8">
        <w:rPr>
          <w:i/>
          <w:iCs/>
        </w:rPr>
        <w:t xml:space="preserve">Madafferi v </w:t>
      </w:r>
      <w:r>
        <w:rPr>
          <w:i/>
          <w:iCs/>
        </w:rPr>
        <w:t>Minister for Immigration and Multicultural Affairs</w:t>
      </w:r>
      <w:r w:rsidRPr="008A77F8">
        <w:t xml:space="preserve"> (2002) 118 FCR 326 [86]-[90].</w:t>
      </w:r>
    </w:p>
  </w:footnote>
  <w:footnote w:id="28">
    <w:p w14:paraId="6F4780A1" w14:textId="77777777" w:rsidR="00FB745A" w:rsidRPr="008A77F8" w:rsidRDefault="00FB745A" w:rsidP="00FB745A">
      <w:pPr>
        <w:pStyle w:val="FootnoteText"/>
      </w:pPr>
      <w:r w:rsidRPr="008A77F8">
        <w:rPr>
          <w:rStyle w:val="FootnoteReference"/>
        </w:rPr>
        <w:footnoteRef/>
      </w:r>
      <w:r w:rsidRPr="008A77F8">
        <w:t xml:space="preserve"> </w:t>
      </w:r>
      <w:r w:rsidRPr="008A77F8">
        <w:rPr>
          <w:i/>
          <w:iCs/>
        </w:rPr>
        <w:t xml:space="preserve">Graham v </w:t>
      </w:r>
      <w:r>
        <w:rPr>
          <w:i/>
          <w:iCs/>
        </w:rPr>
        <w:t xml:space="preserve">Minister for Immigration and Border Protection </w:t>
      </w:r>
      <w:r w:rsidRPr="008A77F8">
        <w:t>(2017) 263 CLR 1 [57].</w:t>
      </w:r>
    </w:p>
  </w:footnote>
  <w:footnote w:id="29">
    <w:p w14:paraId="251E9933" w14:textId="77777777" w:rsidR="00FB745A" w:rsidRPr="008A77F8" w:rsidRDefault="00FB745A" w:rsidP="00FB745A">
      <w:pPr>
        <w:pStyle w:val="FootnoteText"/>
      </w:pPr>
      <w:r w:rsidRPr="008A77F8">
        <w:rPr>
          <w:rStyle w:val="FootnoteReference"/>
        </w:rPr>
        <w:footnoteRef/>
      </w:r>
      <w:r w:rsidRPr="008A77F8">
        <w:t xml:space="preserve"> </w:t>
      </w:r>
      <w:r>
        <w:t>Ibid</w:t>
      </w:r>
      <w:r w:rsidRPr="008A77F8">
        <w:t>.</w:t>
      </w:r>
    </w:p>
  </w:footnote>
  <w:footnote w:id="30">
    <w:p w14:paraId="47AB8F03" w14:textId="04826CC4" w:rsidR="00B74670" w:rsidRPr="008A77F8" w:rsidRDefault="00B74670" w:rsidP="00B74670">
      <w:pPr>
        <w:pStyle w:val="FootnoteText"/>
      </w:pPr>
      <w:r w:rsidRPr="008A77F8">
        <w:rPr>
          <w:rStyle w:val="FootnoteReference"/>
        </w:rPr>
        <w:footnoteRef/>
      </w:r>
      <w:r w:rsidRPr="008A77F8">
        <w:t xml:space="preserve"> </w:t>
      </w:r>
      <w:r w:rsidRPr="008A77F8">
        <w:rPr>
          <w:i/>
          <w:iCs/>
        </w:rPr>
        <w:t>Church of Scientology Inc v Woodward</w:t>
      </w:r>
      <w:r w:rsidRPr="008A77F8">
        <w:t xml:space="preserve"> </w:t>
      </w:r>
      <w:r w:rsidR="00D96E5A">
        <w:rPr>
          <w:shd w:val="clear" w:color="auto" w:fill="FFFFFF"/>
        </w:rPr>
        <w:t xml:space="preserve">(1982) 154 CLR 25, </w:t>
      </w:r>
      <w:r w:rsidR="00C604D7">
        <w:t>70 (Brennan J).</w:t>
      </w:r>
    </w:p>
  </w:footnote>
  <w:footnote w:id="31">
    <w:p w14:paraId="138DC182" w14:textId="16319BA2" w:rsidR="008D0CAF" w:rsidRPr="008D0CAF" w:rsidRDefault="008D0CAF">
      <w:pPr>
        <w:pStyle w:val="FootnoteText"/>
      </w:pPr>
      <w:r>
        <w:rPr>
          <w:rStyle w:val="FootnoteReference"/>
        </w:rPr>
        <w:footnoteRef/>
      </w:r>
      <w:r>
        <w:t xml:space="preserve"> </w:t>
      </w:r>
      <w:r>
        <w:rPr>
          <w:i/>
          <w:iCs/>
        </w:rPr>
        <w:t xml:space="preserve">Migration Act </w:t>
      </w:r>
      <w:r>
        <w:t>s 474.</w:t>
      </w:r>
    </w:p>
  </w:footnote>
  <w:footnote w:id="32">
    <w:p w14:paraId="18700E12" w14:textId="21B6E542" w:rsidR="006C0461" w:rsidRPr="00CC4FC2" w:rsidRDefault="006C0461">
      <w:pPr>
        <w:pStyle w:val="FootnoteText"/>
      </w:pPr>
      <w:r>
        <w:rPr>
          <w:rStyle w:val="FootnoteReference"/>
        </w:rPr>
        <w:footnoteRef/>
      </w:r>
      <w:r>
        <w:t xml:space="preserve"> </w:t>
      </w:r>
      <w:r w:rsidR="00CC4FC2">
        <w:rPr>
          <w:i/>
          <w:iCs/>
        </w:rPr>
        <w:t>Plaintiff S157 v Commonwealth</w:t>
      </w:r>
      <w:r w:rsidR="00CC4FC2">
        <w:t xml:space="preserve"> (2003) 211 CLR 476.</w:t>
      </w:r>
    </w:p>
  </w:footnote>
  <w:footnote w:id="33">
    <w:p w14:paraId="5304C6C9" w14:textId="337732B2" w:rsidR="005F0A12" w:rsidRPr="008A77F8" w:rsidRDefault="005F0A12" w:rsidP="005F0A12">
      <w:pPr>
        <w:pStyle w:val="FootnoteText"/>
      </w:pPr>
      <w:r w:rsidRPr="008A77F8">
        <w:rPr>
          <w:rStyle w:val="FootnoteReference"/>
        </w:rPr>
        <w:footnoteRef/>
      </w:r>
      <w:r w:rsidRPr="008A77F8">
        <w:t xml:space="preserve"> See eg </w:t>
      </w:r>
      <w:r w:rsidRPr="006C2A00">
        <w:rPr>
          <w:i/>
          <w:iCs/>
        </w:rPr>
        <w:t>Migration Act</w:t>
      </w:r>
      <w:r w:rsidRPr="008A77F8">
        <w:t xml:space="preserve"> </w:t>
      </w:r>
      <w:r w:rsidR="00C165CD">
        <w:t>s 501(3)</w:t>
      </w:r>
      <w:r w:rsidRPr="008A77F8">
        <w:t>: ‘The Minister may: (a) refuse to grant a visa to a person; or</w:t>
      </w:r>
    </w:p>
    <w:p w14:paraId="2F618910" w14:textId="7EE09394" w:rsidR="005F0A12" w:rsidRPr="008A77F8" w:rsidRDefault="005F0A12" w:rsidP="005F0A12">
      <w:pPr>
        <w:pStyle w:val="FootnoteText"/>
      </w:pPr>
      <w:r w:rsidRPr="008A77F8">
        <w:t xml:space="preserve"> (b) cancel a visa that has been granted to a person; if: (c) the Minister reasonably suspects that the person does not pass the character test; and (d) the Minister is satisfied that the refusal or cancellation is in the national interest.</w:t>
      </w:r>
      <w:r w:rsidR="00A43A40" w:rsidRPr="008A77F8">
        <w:t>’</w:t>
      </w:r>
      <w:r w:rsidR="002F55B5" w:rsidRPr="008A77F8">
        <w:t xml:space="preserve"> Section 501 of the </w:t>
      </w:r>
      <w:r w:rsidR="002F55B5" w:rsidRPr="00FE3B29">
        <w:rPr>
          <w:i/>
          <w:iCs/>
        </w:rPr>
        <w:t>Migration Act</w:t>
      </w:r>
      <w:r w:rsidR="002F55B5" w:rsidRPr="008A77F8">
        <w:t xml:space="preserve"> does not define or provide guidance on the matters relevant to determining whether something is in the ‘national interest’.</w:t>
      </w:r>
    </w:p>
  </w:footnote>
  <w:footnote w:id="34">
    <w:p w14:paraId="6E5B02C6" w14:textId="67B787DA" w:rsidR="00244BDF" w:rsidRPr="008A77F8" w:rsidRDefault="00244BDF">
      <w:pPr>
        <w:pStyle w:val="FootnoteText"/>
      </w:pPr>
      <w:r w:rsidRPr="008A77F8">
        <w:rPr>
          <w:rStyle w:val="FootnoteReference"/>
        </w:rPr>
        <w:footnoteRef/>
      </w:r>
      <w:r w:rsidRPr="008A77F8">
        <w:t xml:space="preserve"> </w:t>
      </w:r>
      <w:r w:rsidRPr="00A50B62">
        <w:rPr>
          <w:i/>
          <w:iCs/>
        </w:rPr>
        <w:t>Migration Act</w:t>
      </w:r>
      <w:r w:rsidR="00A50B62">
        <w:rPr>
          <w:i/>
          <w:iCs/>
        </w:rPr>
        <w:t xml:space="preserve"> </w:t>
      </w:r>
      <w:r w:rsidR="00A50B62">
        <w:t>s 198AB(5)</w:t>
      </w:r>
      <w:r w:rsidRPr="008A77F8">
        <w:t>.</w:t>
      </w:r>
    </w:p>
  </w:footnote>
  <w:footnote w:id="35">
    <w:p w14:paraId="2D584A43" w14:textId="4C1A99EC" w:rsidR="007A1EB8" w:rsidRPr="008A77F8" w:rsidRDefault="007A1EB8">
      <w:pPr>
        <w:pStyle w:val="FootnoteText"/>
      </w:pPr>
      <w:r w:rsidRPr="008A77F8">
        <w:rPr>
          <w:rStyle w:val="FootnoteReference"/>
        </w:rPr>
        <w:footnoteRef/>
      </w:r>
      <w:r w:rsidRPr="008A77F8">
        <w:t xml:space="preserve"> Although s 198AB(3) sets out a number of matters that the Minister must have regard to (such as assurances by the receiving country), the primary power is the national interest consideration of the Minister.</w:t>
      </w:r>
    </w:p>
  </w:footnote>
  <w:footnote w:id="36">
    <w:p w14:paraId="584629BC" w14:textId="67E39E07" w:rsidR="00A80E58" w:rsidRDefault="00A80E58">
      <w:pPr>
        <w:pStyle w:val="FootnoteText"/>
      </w:pPr>
      <w:r>
        <w:rPr>
          <w:rStyle w:val="FootnoteReference"/>
        </w:rPr>
        <w:footnoteRef/>
      </w:r>
      <w:r>
        <w:t xml:space="preserve"> </w:t>
      </w:r>
      <w:r w:rsidRPr="008A77F8">
        <w:rPr>
          <w:i/>
          <w:iCs/>
        </w:rPr>
        <w:t>Plaintiff S156/2013 v Minister for Immigration and Border Protection </w:t>
      </w:r>
      <w:r>
        <w:t>(2014) 254 CLR 28</w:t>
      </w:r>
      <w:r w:rsidRPr="008A77F8">
        <w:t xml:space="preserve"> [40]</w:t>
      </w:r>
      <w:r w:rsidR="00CD0DF5">
        <w:t>.</w:t>
      </w:r>
    </w:p>
  </w:footnote>
  <w:footnote w:id="37">
    <w:p w14:paraId="55C42986" w14:textId="06E39296" w:rsidR="00EC3A94" w:rsidRPr="008A77F8" w:rsidRDefault="00EC3A94" w:rsidP="00EC3A94">
      <w:pPr>
        <w:pStyle w:val="FootnoteText"/>
      </w:pPr>
      <w:r w:rsidRPr="008A77F8">
        <w:rPr>
          <w:rStyle w:val="FootnoteReference"/>
        </w:rPr>
        <w:footnoteRef/>
      </w:r>
      <w:r w:rsidRPr="008A77F8">
        <w:t xml:space="preserve"> Sangeetha Pillai and Shreeya Smith, ‘Regional Processing of Asylum Seekers, Democratic Accountability and Statutory Interpretation’ in Janina Boughey and Lisa Burton Crawford (eds), </w:t>
      </w:r>
      <w:r w:rsidRPr="008A77F8">
        <w:rPr>
          <w:i/>
          <w:iCs/>
        </w:rPr>
        <w:t>Interpreting Executive Power</w:t>
      </w:r>
      <w:r w:rsidRPr="008A77F8">
        <w:t xml:space="preserve"> (Federation Press, 2020) 157 (citations omitted).</w:t>
      </w:r>
    </w:p>
  </w:footnote>
  <w:footnote w:id="38">
    <w:p w14:paraId="4B5D329B" w14:textId="1B720CED" w:rsidR="002C6A7B" w:rsidRPr="008A77F8" w:rsidRDefault="002C6A7B" w:rsidP="000F2F7C">
      <w:pPr>
        <w:pStyle w:val="FootnoteText"/>
      </w:pPr>
      <w:r w:rsidRPr="008A77F8">
        <w:rPr>
          <w:rStyle w:val="FootnoteReference"/>
        </w:rPr>
        <w:footnoteRef/>
      </w:r>
      <w:r w:rsidRPr="008A77F8">
        <w:t xml:space="preserve"> </w:t>
      </w:r>
      <w:r w:rsidR="006226D9">
        <w:t xml:space="preserve">Robert </w:t>
      </w:r>
      <w:r w:rsidRPr="008A77F8">
        <w:t xml:space="preserve">French, ‘Singapore Academy of Law Annual Lecture 2013: The Rule of Law as a Many Coloured Dream Coat’ (2014) 26 </w:t>
      </w:r>
      <w:r w:rsidRPr="008A77F8">
        <w:rPr>
          <w:i/>
          <w:iCs/>
        </w:rPr>
        <w:t>Singapore Academy of Law Journal</w:t>
      </w:r>
      <w:r w:rsidRPr="008A77F8">
        <w:t xml:space="preserve"> 1, 14.</w:t>
      </w:r>
    </w:p>
  </w:footnote>
  <w:footnote w:id="39">
    <w:p w14:paraId="00DA02BB" w14:textId="77777777" w:rsidR="00C1562A" w:rsidRPr="008A77F8" w:rsidRDefault="00C1562A" w:rsidP="00C1562A">
      <w:pPr>
        <w:pStyle w:val="FootnoteText"/>
      </w:pPr>
      <w:r w:rsidRPr="008A77F8">
        <w:rPr>
          <w:rStyle w:val="FootnoteReference"/>
        </w:rPr>
        <w:footnoteRef/>
      </w:r>
      <w:r w:rsidRPr="008A77F8">
        <w:t xml:space="preserve"> Michael Barker and Alice Nagel, ‘Legal Unreasonableness: Life after Li’ (2015) 79 </w:t>
      </w:r>
      <w:r w:rsidRPr="008A77F8">
        <w:rPr>
          <w:i/>
          <w:iCs/>
        </w:rPr>
        <w:t xml:space="preserve">AIAL Forum </w:t>
      </w:r>
      <w:r w:rsidRPr="008A77F8">
        <w:t>1, 4.</w:t>
      </w:r>
    </w:p>
  </w:footnote>
  <w:footnote w:id="40">
    <w:p w14:paraId="2B73BAE7" w14:textId="77777777" w:rsidR="00150DE0" w:rsidRPr="008A77F8" w:rsidRDefault="00150DE0" w:rsidP="00150DE0">
      <w:pPr>
        <w:pStyle w:val="FootnoteText"/>
      </w:pPr>
      <w:r w:rsidRPr="008A77F8">
        <w:rPr>
          <w:rStyle w:val="FootnoteReference"/>
        </w:rPr>
        <w:footnoteRef/>
      </w:r>
      <w:r w:rsidRPr="008A77F8">
        <w:t xml:space="preserve"> Arielle Gordon, ‘In defence of unreasonableness: the reasonableness framework of judicial review’ (2020) 99 </w:t>
      </w:r>
      <w:r w:rsidRPr="008A77F8">
        <w:rPr>
          <w:i/>
          <w:iCs/>
        </w:rPr>
        <w:t>AIAL Forum</w:t>
      </w:r>
      <w:r w:rsidRPr="008A77F8">
        <w:t xml:space="preserve"> 82, 82.</w:t>
      </w:r>
    </w:p>
  </w:footnote>
  <w:footnote w:id="41">
    <w:p w14:paraId="7F7E6B62" w14:textId="51C51A23" w:rsidR="000F2F7C" w:rsidRPr="008A77F8" w:rsidRDefault="000F2F7C" w:rsidP="000F2F7C">
      <w:pPr>
        <w:pStyle w:val="FootnoteText"/>
      </w:pPr>
      <w:r w:rsidRPr="008A77F8">
        <w:rPr>
          <w:rStyle w:val="FootnoteReference"/>
        </w:rPr>
        <w:footnoteRef/>
      </w:r>
      <w:r w:rsidRPr="008A77F8">
        <w:t xml:space="preserve"> See discussion of this in Creyke et al, Government Action (n</w:t>
      </w:r>
      <w:r w:rsidR="00196261" w:rsidRPr="008A77F8">
        <w:t xml:space="preserve"> 9</w:t>
      </w:r>
      <w:r w:rsidRPr="008A77F8">
        <w:t>) 106-114.</w:t>
      </w:r>
    </w:p>
  </w:footnote>
  <w:footnote w:id="42">
    <w:p w14:paraId="719FB9E5" w14:textId="16EF5B43" w:rsidR="000F2F7C" w:rsidRPr="008A77F8" w:rsidRDefault="000F2F7C" w:rsidP="000F2F7C">
      <w:pPr>
        <w:pStyle w:val="FootnoteText"/>
      </w:pPr>
      <w:r w:rsidRPr="008A77F8">
        <w:rPr>
          <w:rStyle w:val="FootnoteReference"/>
        </w:rPr>
        <w:footnoteRef/>
      </w:r>
      <w:r w:rsidRPr="008A77F8">
        <w:t xml:space="preserve"> </w:t>
      </w:r>
      <w:r w:rsidRPr="008A77F8">
        <w:rPr>
          <w:i/>
          <w:iCs/>
        </w:rPr>
        <w:t>Minister for Immigration and Citizenship v Li</w:t>
      </w:r>
      <w:r w:rsidRPr="008A77F8">
        <w:t xml:space="preserve"> </w:t>
      </w:r>
      <w:r w:rsidR="00AD3EB4">
        <w:t>(2013) 249 CLR 332</w:t>
      </w:r>
      <w:r w:rsidR="00BA4414" w:rsidRPr="008A77F8">
        <w:t xml:space="preserve"> [66].</w:t>
      </w:r>
    </w:p>
  </w:footnote>
  <w:footnote w:id="43">
    <w:p w14:paraId="073AED45" w14:textId="071A0826" w:rsidR="000F4702" w:rsidRDefault="000F4702">
      <w:pPr>
        <w:pStyle w:val="FootnoteText"/>
      </w:pPr>
      <w:r>
        <w:rPr>
          <w:rStyle w:val="FootnoteReference"/>
        </w:rPr>
        <w:footnoteRef/>
      </w:r>
      <w:r>
        <w:t xml:space="preserve"> </w:t>
      </w:r>
      <w:r w:rsidR="00F837E3">
        <w:t xml:space="preserve">Ibid </w:t>
      </w:r>
      <w:r w:rsidR="00DE2246">
        <w:t xml:space="preserve">[26] (French CJ) and </w:t>
      </w:r>
      <w:r w:rsidR="00F837E3">
        <w:t>[92]</w:t>
      </w:r>
      <w:r w:rsidR="00EA0298">
        <w:t xml:space="preserve"> (Gageler J).</w:t>
      </w:r>
    </w:p>
  </w:footnote>
  <w:footnote w:id="44">
    <w:p w14:paraId="1A8EE290" w14:textId="300AB02A" w:rsidR="002303C4" w:rsidRDefault="002303C4" w:rsidP="002303C4">
      <w:pPr>
        <w:pStyle w:val="FootnoteText"/>
      </w:pPr>
      <w:r>
        <w:rPr>
          <w:rStyle w:val="FootnoteReference"/>
        </w:rPr>
        <w:footnoteRef/>
      </w:r>
      <w:r>
        <w:t xml:space="preserve"> </w:t>
      </w:r>
      <w:r w:rsidR="001225F4">
        <w:rPr>
          <w:i/>
          <w:iCs/>
        </w:rPr>
        <w:t>Minister for Immigration and Border Protection</w:t>
      </w:r>
      <w:r>
        <w:rPr>
          <w:i/>
          <w:iCs/>
        </w:rPr>
        <w:t xml:space="preserve"> v SZVFW </w:t>
      </w:r>
      <w:r>
        <w:t xml:space="preserve">(2018) 264 CLR 541 [84] (Nettle and Gordon JJ); </w:t>
      </w:r>
      <w:r>
        <w:rPr>
          <w:i/>
          <w:iCs/>
        </w:rPr>
        <w:t xml:space="preserve">DPI17 v Minister for Home Affairs </w:t>
      </w:r>
      <w:r>
        <w:t xml:space="preserve">(2019) 269 FCR 134 [37]. </w:t>
      </w:r>
    </w:p>
  </w:footnote>
  <w:footnote w:id="45">
    <w:p w14:paraId="1064035C" w14:textId="79A6F828" w:rsidR="005D51D3" w:rsidRDefault="005D51D3">
      <w:pPr>
        <w:pStyle w:val="FootnoteText"/>
      </w:pPr>
      <w:r>
        <w:rPr>
          <w:rStyle w:val="FootnoteReference"/>
        </w:rPr>
        <w:footnoteRef/>
      </w:r>
      <w:r>
        <w:t xml:space="preserve"> There does not appear to be any</w:t>
      </w:r>
      <w:r w:rsidR="009F563C">
        <w:t xml:space="preserve"> substantive</w:t>
      </w:r>
      <w:r>
        <w:t xml:space="preserve"> distinction between ‘irrationality’ and ‘illogicality’ in this context</w:t>
      </w:r>
      <w:r w:rsidR="00A8400E">
        <w:t>.</w:t>
      </w:r>
      <w:r>
        <w:t xml:space="preserve"> </w:t>
      </w:r>
      <w:r w:rsidR="00A8400E">
        <w:t>T</w:t>
      </w:r>
      <w:r>
        <w:t xml:space="preserve">he terms are </w:t>
      </w:r>
      <w:r w:rsidR="00A8400E">
        <w:t xml:space="preserve">commonly </w:t>
      </w:r>
      <w:r>
        <w:t>used synonymously, and usually as a compound phrase</w:t>
      </w:r>
      <w:r w:rsidR="00DB3DB2">
        <w:t>, in describing a single ground of review.</w:t>
      </w:r>
    </w:p>
  </w:footnote>
  <w:footnote w:id="46">
    <w:p w14:paraId="5D7CB2F5" w14:textId="49CA3E7A" w:rsidR="00C21F9B" w:rsidRPr="00C21F9B" w:rsidRDefault="00C21F9B">
      <w:pPr>
        <w:pStyle w:val="FootnoteText"/>
      </w:pPr>
      <w:r>
        <w:rPr>
          <w:rStyle w:val="FootnoteReference"/>
        </w:rPr>
        <w:footnoteRef/>
      </w:r>
      <w:r>
        <w:t xml:space="preserve"> </w:t>
      </w:r>
      <w:r w:rsidR="00CD0DF5">
        <w:rPr>
          <w:i/>
          <w:iCs/>
        </w:rPr>
        <w:t xml:space="preserve">Minister for Immigration and Citizenship v SZMDS </w:t>
      </w:r>
      <w:r w:rsidR="00CD0DF5">
        <w:t xml:space="preserve">(2010) 240 CLR 611 </w:t>
      </w:r>
      <w:r>
        <w:t>[130]</w:t>
      </w:r>
      <w:r w:rsidR="003C5961">
        <w:t>, [133] and [135] (Crennan and Bell JJ).</w:t>
      </w:r>
    </w:p>
  </w:footnote>
  <w:footnote w:id="47">
    <w:p w14:paraId="77E4F146" w14:textId="49CB2834" w:rsidR="00F93D57" w:rsidRPr="00830777" w:rsidRDefault="00F93D57">
      <w:pPr>
        <w:pStyle w:val="FootnoteText"/>
      </w:pPr>
      <w:r>
        <w:rPr>
          <w:rStyle w:val="FootnoteReference"/>
        </w:rPr>
        <w:footnoteRef/>
      </w:r>
      <w:r>
        <w:t xml:space="preserve"> </w:t>
      </w:r>
      <w:r w:rsidR="00B61CCF">
        <w:rPr>
          <w:i/>
          <w:iCs/>
        </w:rPr>
        <w:t xml:space="preserve">ARG15 v Minister for Immigration and Border Protection </w:t>
      </w:r>
      <w:r w:rsidR="00121EFB">
        <w:t>(</w:t>
      </w:r>
      <w:r w:rsidR="00B61CCF">
        <w:t>2016</w:t>
      </w:r>
      <w:r w:rsidR="00121EFB">
        <w:t>)</w:t>
      </w:r>
      <w:r w:rsidR="00B61CCF">
        <w:t xml:space="preserve"> 250 FCR 109</w:t>
      </w:r>
      <w:r w:rsidR="00DE49C2">
        <w:t xml:space="preserve"> [47]</w:t>
      </w:r>
      <w:r w:rsidR="00121EFB">
        <w:t xml:space="preserve">; </w:t>
      </w:r>
      <w:r w:rsidR="00121EFB">
        <w:rPr>
          <w:i/>
          <w:iCs/>
        </w:rPr>
        <w:t xml:space="preserve">CGA15 v Minister for Home Affairs </w:t>
      </w:r>
      <w:r w:rsidR="00121EFB">
        <w:t xml:space="preserve">(2019) 268 FCR 362 [58]. But see also </w:t>
      </w:r>
      <w:r w:rsidR="00F871C8">
        <w:rPr>
          <w:i/>
          <w:iCs/>
        </w:rPr>
        <w:t xml:space="preserve">Masi-Haini v Minister for Home Affairs </w:t>
      </w:r>
      <w:r w:rsidR="00F871C8">
        <w:t xml:space="preserve">(2023) 298 FCR 277 </w:t>
      </w:r>
      <w:r w:rsidR="000F3C26">
        <w:t>[47]-[52] (in obiter).</w:t>
      </w:r>
      <w:r w:rsidR="00BA1BD3">
        <w:t xml:space="preserve"> For further discussion, see </w:t>
      </w:r>
      <w:r w:rsidR="00800851">
        <w:t xml:space="preserve">Douglas McDonald-Norman, ‘The Curate’s Egg: when illogical premises infect ultimate conclusions’ (2021) </w:t>
      </w:r>
      <w:r w:rsidR="00830777">
        <w:t xml:space="preserve">103 </w:t>
      </w:r>
      <w:r w:rsidR="00830777">
        <w:rPr>
          <w:i/>
          <w:iCs/>
        </w:rPr>
        <w:t xml:space="preserve">AIAL Forum </w:t>
      </w:r>
      <w:r w:rsidR="00830777">
        <w:t>117.</w:t>
      </w:r>
    </w:p>
  </w:footnote>
  <w:footnote w:id="48">
    <w:p w14:paraId="2B3154E1" w14:textId="2737B831" w:rsidR="005404B2" w:rsidRDefault="005404B2">
      <w:pPr>
        <w:pStyle w:val="FootnoteText"/>
      </w:pPr>
      <w:r>
        <w:rPr>
          <w:rStyle w:val="FootnoteReference"/>
        </w:rPr>
        <w:footnoteRef/>
      </w:r>
      <w:r>
        <w:t xml:space="preserve"> </w:t>
      </w:r>
      <w:r w:rsidR="00900367">
        <w:rPr>
          <w:i/>
          <w:iCs/>
        </w:rPr>
        <w:t xml:space="preserve">BFH16 v Minister for Immigration and Border Protection </w:t>
      </w:r>
      <w:r w:rsidR="00900367">
        <w:t>(2020) 274 FCR 532 [30]-[3</w:t>
      </w:r>
      <w:r w:rsidR="006F5287">
        <w:t>3</w:t>
      </w:r>
      <w:r w:rsidR="00900367">
        <w:t>].</w:t>
      </w:r>
    </w:p>
  </w:footnote>
  <w:footnote w:id="49">
    <w:p w14:paraId="20D4A7EF" w14:textId="0166AB68" w:rsidR="00367330" w:rsidRPr="008A77F8" w:rsidRDefault="00367330">
      <w:pPr>
        <w:pStyle w:val="FootnoteText"/>
      </w:pPr>
      <w:r w:rsidRPr="008A77F8">
        <w:rPr>
          <w:rStyle w:val="FootnoteReference"/>
        </w:rPr>
        <w:footnoteRef/>
      </w:r>
      <w:r w:rsidRPr="008A77F8">
        <w:t xml:space="preserve"> See Susan Kneebone, Refugees, Asylum Seekers and the Rule of Law (n 3) 59-61.</w:t>
      </w:r>
    </w:p>
  </w:footnote>
  <w:footnote w:id="50">
    <w:p w14:paraId="558D6068" w14:textId="74E20B28" w:rsidR="00C84650" w:rsidRPr="008A77F8" w:rsidRDefault="00C84650">
      <w:pPr>
        <w:pStyle w:val="FootnoteText"/>
      </w:pPr>
      <w:r w:rsidRPr="008A77F8">
        <w:rPr>
          <w:rStyle w:val="FootnoteReference"/>
        </w:rPr>
        <w:footnoteRef/>
      </w:r>
      <w:r w:rsidRPr="008A77F8">
        <w:t xml:space="preserve"> Refugee Convention (n 6).</w:t>
      </w:r>
    </w:p>
  </w:footnote>
  <w:footnote w:id="51">
    <w:p w14:paraId="209ED890" w14:textId="3AEEE88E" w:rsidR="00C84650" w:rsidRPr="008A77F8" w:rsidRDefault="00C84650">
      <w:pPr>
        <w:pStyle w:val="FootnoteText"/>
      </w:pPr>
      <w:r w:rsidRPr="008A77F8">
        <w:rPr>
          <w:rStyle w:val="FootnoteReference"/>
        </w:rPr>
        <w:footnoteRef/>
      </w:r>
      <w:r w:rsidRPr="008A77F8">
        <w:t xml:space="preserve"> ICCPR (n 7).</w:t>
      </w:r>
    </w:p>
  </w:footnote>
  <w:footnote w:id="52">
    <w:p w14:paraId="62E0D410" w14:textId="4BDAA8A5" w:rsidR="00245564" w:rsidRPr="008A77F8" w:rsidRDefault="00245564">
      <w:pPr>
        <w:pStyle w:val="FootnoteText"/>
      </w:pPr>
      <w:r w:rsidRPr="008A77F8">
        <w:rPr>
          <w:rStyle w:val="FootnoteReference"/>
        </w:rPr>
        <w:footnoteRef/>
      </w:r>
      <w:r w:rsidRPr="008A77F8">
        <w:t xml:space="preserve"> </w:t>
      </w:r>
      <w:r w:rsidRPr="008A77F8">
        <w:rPr>
          <w:i/>
          <w:iCs/>
        </w:rPr>
        <w:t>Convention Against Torture and Other Cruel, Inhuman or Degrading Treatment or Punishment</w:t>
      </w:r>
      <w:r w:rsidRPr="008A77F8">
        <w:t>, opened for signature 10 December 1984, 1465 UNTS 85 (entered into force 26 June 1987) (‘Convention against Torture’).</w:t>
      </w:r>
    </w:p>
  </w:footnote>
  <w:footnote w:id="53">
    <w:p w14:paraId="2037704F" w14:textId="64973B24" w:rsidR="0084442E" w:rsidRPr="008A77F8" w:rsidRDefault="0084442E">
      <w:pPr>
        <w:pStyle w:val="FootnoteText"/>
      </w:pPr>
      <w:r w:rsidRPr="008A77F8">
        <w:rPr>
          <w:rStyle w:val="FootnoteReference"/>
        </w:rPr>
        <w:footnoteRef/>
      </w:r>
      <w:r w:rsidRPr="008A77F8">
        <w:t xml:space="preserve"> </w:t>
      </w:r>
      <w:r w:rsidR="003D40A3" w:rsidRPr="008A77F8">
        <w:rPr>
          <w:i/>
          <w:iCs/>
        </w:rPr>
        <w:t>Convention on the Rights of the Child</w:t>
      </w:r>
      <w:r w:rsidR="003D40A3" w:rsidRPr="008A77F8">
        <w:t>, opened for signature 20 November 1989, 1577 UNTS 3 (entered into force 2 September 1990) (‘Convention on the Rights of the Child’).</w:t>
      </w:r>
    </w:p>
  </w:footnote>
  <w:footnote w:id="54">
    <w:p w14:paraId="6FAF719E" w14:textId="08E8593A" w:rsidR="0044071F" w:rsidRPr="008A77F8" w:rsidRDefault="0044071F" w:rsidP="002C64F5">
      <w:pPr>
        <w:pStyle w:val="Default"/>
        <w:rPr>
          <w:sz w:val="20"/>
          <w:szCs w:val="20"/>
        </w:rPr>
      </w:pPr>
      <w:r w:rsidRPr="008A77F8">
        <w:rPr>
          <w:rStyle w:val="FootnoteReference"/>
          <w:sz w:val="20"/>
          <w:szCs w:val="20"/>
        </w:rPr>
        <w:footnoteRef/>
      </w:r>
      <w:r w:rsidRPr="008A77F8">
        <w:rPr>
          <w:sz w:val="20"/>
          <w:szCs w:val="20"/>
        </w:rPr>
        <w:t xml:space="preserve"> </w:t>
      </w:r>
      <w:r w:rsidR="00FE3B29">
        <w:rPr>
          <w:sz w:val="20"/>
          <w:szCs w:val="20"/>
        </w:rPr>
        <w:t>Section</w:t>
      </w:r>
      <w:r w:rsidRPr="008A77F8">
        <w:rPr>
          <w:sz w:val="20"/>
          <w:szCs w:val="20"/>
        </w:rPr>
        <w:t xml:space="preserve"> 36 of the </w:t>
      </w:r>
      <w:r w:rsidRPr="00FE3B29">
        <w:rPr>
          <w:i/>
          <w:iCs/>
          <w:sz w:val="20"/>
          <w:szCs w:val="20"/>
        </w:rPr>
        <w:t>Migration Act</w:t>
      </w:r>
      <w:r w:rsidRPr="008A77F8">
        <w:rPr>
          <w:sz w:val="20"/>
          <w:szCs w:val="20"/>
        </w:rPr>
        <w:t xml:space="preserve"> did, at one stage, contain reference</w:t>
      </w:r>
      <w:r w:rsidR="00E2546F">
        <w:rPr>
          <w:sz w:val="20"/>
          <w:szCs w:val="20"/>
        </w:rPr>
        <w:t>s</w:t>
      </w:r>
      <w:r w:rsidRPr="008A77F8">
        <w:rPr>
          <w:sz w:val="20"/>
          <w:szCs w:val="20"/>
        </w:rPr>
        <w:t xml:space="preserve"> to the Refugee Convention</w:t>
      </w:r>
      <w:r w:rsidR="00E2546F">
        <w:rPr>
          <w:sz w:val="20"/>
          <w:szCs w:val="20"/>
        </w:rPr>
        <w:t xml:space="preserve">: </w:t>
      </w:r>
      <w:r w:rsidRPr="008A77F8">
        <w:rPr>
          <w:sz w:val="20"/>
          <w:szCs w:val="20"/>
        </w:rPr>
        <w:t xml:space="preserve">see discussion in </w:t>
      </w:r>
      <w:r w:rsidR="002C64F5" w:rsidRPr="008A77F8">
        <w:rPr>
          <w:sz w:val="20"/>
          <w:szCs w:val="20"/>
        </w:rPr>
        <w:t xml:space="preserve">Susan </w:t>
      </w:r>
      <w:r w:rsidRPr="008A77F8">
        <w:rPr>
          <w:sz w:val="20"/>
          <w:szCs w:val="20"/>
        </w:rPr>
        <w:t>Kneebone</w:t>
      </w:r>
      <w:r w:rsidR="00704B8B" w:rsidRPr="008A77F8">
        <w:rPr>
          <w:sz w:val="20"/>
          <w:szCs w:val="20"/>
        </w:rPr>
        <w:t>, Refugees, Asylum Seekers and the Rule of Law (n 3)</w:t>
      </w:r>
      <w:r w:rsidR="002C64F5" w:rsidRPr="008A77F8">
        <w:rPr>
          <w:sz w:val="20"/>
          <w:szCs w:val="20"/>
        </w:rPr>
        <w:t xml:space="preserve"> </w:t>
      </w:r>
      <w:r w:rsidR="00A050F1">
        <w:rPr>
          <w:sz w:val="20"/>
          <w:szCs w:val="20"/>
        </w:rPr>
        <w:t>198-202</w:t>
      </w:r>
      <w:r w:rsidR="002C64F5" w:rsidRPr="008A77F8">
        <w:rPr>
          <w:sz w:val="20"/>
          <w:szCs w:val="20"/>
        </w:rPr>
        <w:t xml:space="preserve">. However, the </w:t>
      </w:r>
      <w:r w:rsidR="002C64F5" w:rsidRPr="00FE3B29">
        <w:rPr>
          <w:i/>
          <w:iCs/>
          <w:sz w:val="20"/>
          <w:szCs w:val="20"/>
        </w:rPr>
        <w:t>Migration and Maritime Powers Legislation Amendment (Resolving the Asylum Legacy Caseload) Act 2014</w:t>
      </w:r>
      <w:r w:rsidR="002C64F5" w:rsidRPr="008A77F8">
        <w:rPr>
          <w:sz w:val="20"/>
          <w:szCs w:val="20"/>
        </w:rPr>
        <w:t xml:space="preserve"> removed most references to the Refugee Convention from the </w:t>
      </w:r>
      <w:r w:rsidR="002C64F5" w:rsidRPr="00FE3B29">
        <w:rPr>
          <w:i/>
          <w:iCs/>
          <w:sz w:val="20"/>
          <w:szCs w:val="20"/>
        </w:rPr>
        <w:t>Migration Act</w:t>
      </w:r>
      <w:r w:rsidR="002C64F5" w:rsidRPr="008A77F8">
        <w:rPr>
          <w:sz w:val="20"/>
          <w:szCs w:val="20"/>
        </w:rPr>
        <w:t>.</w:t>
      </w:r>
    </w:p>
  </w:footnote>
  <w:footnote w:id="55">
    <w:p w14:paraId="5A12B5A7" w14:textId="59859A59" w:rsidR="0043423C" w:rsidRPr="008A77F8" w:rsidRDefault="0043423C" w:rsidP="003E1945">
      <w:pPr>
        <w:pStyle w:val="FootnoteText"/>
      </w:pPr>
      <w:r w:rsidRPr="008A77F8">
        <w:rPr>
          <w:rStyle w:val="FootnoteReference"/>
        </w:rPr>
        <w:footnoteRef/>
      </w:r>
      <w:r w:rsidRPr="008A77F8">
        <w:t xml:space="preserve"> </w:t>
      </w:r>
      <w:r w:rsidR="003E1945" w:rsidRPr="008A77F8">
        <w:rPr>
          <w:i/>
          <w:iCs/>
        </w:rPr>
        <w:t xml:space="preserve">Minister for Immigration and Ethnic Affairs v Teoh </w:t>
      </w:r>
      <w:r w:rsidR="00B2518C">
        <w:t>(1995) 183 CLR 273</w:t>
      </w:r>
      <w:r w:rsidR="00760DED" w:rsidRPr="008A77F8">
        <w:t xml:space="preserve"> [34]</w:t>
      </w:r>
      <w:r w:rsidR="003E1945" w:rsidRPr="008A77F8">
        <w:rPr>
          <w:shd w:val="clear" w:color="auto" w:fill="FFFFFF"/>
        </w:rPr>
        <w:t xml:space="preserve"> </w:t>
      </w:r>
      <w:r w:rsidRPr="008A77F8">
        <w:rPr>
          <w:shd w:val="clear" w:color="auto" w:fill="FFFFFF"/>
        </w:rPr>
        <w:t xml:space="preserve">(citations </w:t>
      </w:r>
      <w:r w:rsidR="00847866" w:rsidRPr="008A77F8">
        <w:rPr>
          <w:shd w:val="clear" w:color="auto" w:fill="FFFFFF"/>
        </w:rPr>
        <w:t>omitted</w:t>
      </w:r>
      <w:r w:rsidRPr="008A77F8">
        <w:rPr>
          <w:shd w:val="clear" w:color="auto" w:fill="FFFFFF"/>
        </w:rPr>
        <w:t>).</w:t>
      </w:r>
    </w:p>
  </w:footnote>
  <w:footnote w:id="56">
    <w:p w14:paraId="45BD97D5" w14:textId="6E6A781F" w:rsidR="00197103" w:rsidRPr="008A77F8" w:rsidRDefault="00197103">
      <w:pPr>
        <w:pStyle w:val="FootnoteText"/>
      </w:pPr>
      <w:r w:rsidRPr="008A77F8">
        <w:rPr>
          <w:rStyle w:val="FootnoteReference"/>
        </w:rPr>
        <w:footnoteRef/>
      </w:r>
      <w:r w:rsidRPr="008A77F8">
        <w:t xml:space="preserve"> See eg </w:t>
      </w:r>
      <w:r w:rsidRPr="008A77F8">
        <w:rPr>
          <w:i/>
          <w:iCs/>
        </w:rPr>
        <w:t>Re Minister for Immigration and Multicultural Affairs; Ex parte Lam</w:t>
      </w:r>
      <w:r w:rsidRPr="008A77F8">
        <w:t xml:space="preserve"> </w:t>
      </w:r>
      <w:r w:rsidR="00B2518C">
        <w:t>(2003) 214 CLR 1</w:t>
      </w:r>
      <w:r w:rsidRPr="008A77F8">
        <w:t>.</w:t>
      </w:r>
      <w:r w:rsidR="003F4DA3" w:rsidRPr="008A77F8">
        <w:t xml:space="preserve"> See also criticism of </w:t>
      </w:r>
      <w:r w:rsidR="003F4DA3" w:rsidRPr="008A77F8">
        <w:rPr>
          <w:i/>
          <w:iCs/>
        </w:rPr>
        <w:t xml:space="preserve">Teoh </w:t>
      </w:r>
      <w:r w:rsidR="003F4DA3" w:rsidRPr="008A77F8">
        <w:t xml:space="preserve">in </w:t>
      </w:r>
      <w:r w:rsidR="008842DC" w:rsidRPr="008A77F8">
        <w:rPr>
          <w:i/>
        </w:rPr>
        <w:t>Minister for Immigration and Border Protection v WZARH</w:t>
      </w:r>
      <w:r w:rsidR="008842DC" w:rsidRPr="008A77F8">
        <w:t xml:space="preserve"> </w:t>
      </w:r>
      <w:r w:rsidR="003F4DA3" w:rsidRPr="008A77F8">
        <w:t>(2015) 256 CLR 326 [30] (Kiefel, Bell and Keane JJ).</w:t>
      </w:r>
    </w:p>
  </w:footnote>
  <w:footnote w:id="57">
    <w:p w14:paraId="4598DBA6" w14:textId="38AD237F" w:rsidR="00970158" w:rsidRPr="008A77F8" w:rsidRDefault="00970158">
      <w:pPr>
        <w:pStyle w:val="FootnoteText"/>
      </w:pPr>
      <w:r w:rsidRPr="008A77F8">
        <w:rPr>
          <w:rStyle w:val="FootnoteReference"/>
        </w:rPr>
        <w:footnoteRef/>
      </w:r>
      <w:r w:rsidRPr="008A77F8">
        <w:t xml:space="preserve"> In particular, see references to </w:t>
      </w:r>
      <w:r w:rsidRPr="008A77F8">
        <w:rPr>
          <w:i/>
          <w:iCs/>
        </w:rPr>
        <w:t>Teoh</w:t>
      </w:r>
      <w:r w:rsidRPr="008A77F8">
        <w:t xml:space="preserve"> in </w:t>
      </w:r>
      <w:r w:rsidR="00BF33DE">
        <w:rPr>
          <w:i/>
          <w:iCs/>
        </w:rPr>
        <w:t>CWY20 v Minister for Immigration, Citizenship, Migrant Services and Multicultural Affairs</w:t>
      </w:r>
      <w:r w:rsidRPr="008A77F8">
        <w:t xml:space="preserve"> (2020) 282 FCR 1855 [123] (Griffiths J) and </w:t>
      </w:r>
      <w:r w:rsidR="00BF33DE">
        <w:rPr>
          <w:i/>
          <w:iCs/>
        </w:rPr>
        <w:t>Acting Minister for Immigration, Citizenship, Migrant Services and Multicultural Affairs v CWY20</w:t>
      </w:r>
      <w:r w:rsidRPr="008A77F8">
        <w:t xml:space="preserve"> (2021) 288 FCR 565 [168] (Besanko J), discussed </w:t>
      </w:r>
      <w:r w:rsidR="00D171D4" w:rsidRPr="008A77F8">
        <w:t xml:space="preserve">in Part 4 </w:t>
      </w:r>
      <w:r w:rsidRPr="008A77F8">
        <w:t>below.</w:t>
      </w:r>
    </w:p>
  </w:footnote>
  <w:footnote w:id="58">
    <w:p w14:paraId="39A54B86" w14:textId="77777777" w:rsidR="00B410ED" w:rsidRPr="008A77F8" w:rsidRDefault="00B410ED" w:rsidP="00B410ED">
      <w:pPr>
        <w:pStyle w:val="FootnoteText"/>
      </w:pPr>
      <w:r w:rsidRPr="008A77F8">
        <w:rPr>
          <w:rStyle w:val="FootnoteReference"/>
        </w:rPr>
        <w:footnoteRef/>
      </w:r>
      <w:r w:rsidRPr="008A77F8">
        <w:t xml:space="preserve"> </w:t>
      </w:r>
      <w:r w:rsidRPr="008A77F8">
        <w:rPr>
          <w:i/>
          <w:iCs/>
        </w:rPr>
        <w:t>Re Minister for Immigration and Multicultural Affairs; Ex parte Lam</w:t>
      </w:r>
      <w:r w:rsidRPr="008A77F8">
        <w:t xml:space="preserve"> </w:t>
      </w:r>
      <w:r>
        <w:t>(2003) 214 CLR 1</w:t>
      </w:r>
      <w:r w:rsidRPr="008A77F8">
        <w:t xml:space="preserve"> [98] (McHugh and Gummow JJ)</w:t>
      </w:r>
      <w:r>
        <w:t xml:space="preserve"> </w:t>
      </w:r>
      <w:r w:rsidRPr="008A77F8">
        <w:t>(emphasis added).</w:t>
      </w:r>
    </w:p>
  </w:footnote>
  <w:footnote w:id="59">
    <w:p w14:paraId="7AF700CC" w14:textId="54B3BAAB" w:rsidR="002E4645" w:rsidRPr="008A77F8" w:rsidRDefault="002E4645">
      <w:pPr>
        <w:pStyle w:val="FootnoteText"/>
      </w:pPr>
      <w:r w:rsidRPr="008A77F8">
        <w:rPr>
          <w:rStyle w:val="FootnoteReference"/>
        </w:rPr>
        <w:footnoteRef/>
      </w:r>
      <w:r w:rsidRPr="008A77F8">
        <w:t xml:space="preserve"> See discussion in Stephen Meili, ‘Do Human Rights Treaties Help Asylum-Seekers?: Lessons from the United Kingdom’ (2021) 48 </w:t>
      </w:r>
      <w:r w:rsidRPr="008A77F8">
        <w:rPr>
          <w:i/>
          <w:iCs/>
        </w:rPr>
        <w:t>Vanderbilt Law Review</w:t>
      </w:r>
      <w:r w:rsidRPr="008A77F8">
        <w:t xml:space="preserve"> 123.</w:t>
      </w:r>
    </w:p>
  </w:footnote>
  <w:footnote w:id="60">
    <w:p w14:paraId="7E62EC48" w14:textId="47740F4E" w:rsidR="00362878" w:rsidRPr="008A77F8" w:rsidRDefault="00362878" w:rsidP="00362878">
      <w:pPr>
        <w:pStyle w:val="FootnoteText"/>
      </w:pPr>
      <w:r w:rsidRPr="008A77F8">
        <w:rPr>
          <w:rStyle w:val="FootnoteReference"/>
        </w:rPr>
        <w:footnoteRef/>
      </w:r>
      <w:r w:rsidRPr="008A77F8">
        <w:t xml:space="preserve"> Susan Kneebone, ‘Conclusions on the Rule of Law’ in Susan Kneebone (ed), </w:t>
      </w:r>
      <w:r w:rsidRPr="008A77F8">
        <w:rPr>
          <w:i/>
          <w:iCs/>
        </w:rPr>
        <w:t>Refugees, Asylum Seekers and the Rule of Law – Comparative Perspectives</w:t>
      </w:r>
      <w:r w:rsidRPr="008A77F8">
        <w:t xml:space="preserve"> (Cambridge University Press, 2009)</w:t>
      </w:r>
      <w:r w:rsidR="00A050F1">
        <w:t xml:space="preserve"> 293</w:t>
      </w:r>
      <w:r>
        <w:t>.</w:t>
      </w:r>
    </w:p>
  </w:footnote>
  <w:footnote w:id="61">
    <w:p w14:paraId="6F92D308" w14:textId="7C7D0A8C" w:rsidR="00B27012" w:rsidRPr="00B27012" w:rsidRDefault="00B27012">
      <w:pPr>
        <w:pStyle w:val="FootnoteText"/>
      </w:pPr>
      <w:r>
        <w:rPr>
          <w:rStyle w:val="FootnoteReference"/>
        </w:rPr>
        <w:footnoteRef/>
      </w:r>
      <w:r>
        <w:t xml:space="preserve"> </w:t>
      </w:r>
      <w:r w:rsidR="006E627B">
        <w:t xml:space="preserve">See </w:t>
      </w:r>
      <w:r w:rsidR="006C7E90">
        <w:t>eg</w:t>
      </w:r>
      <w:r w:rsidR="006E627B">
        <w:t xml:space="preserve"> </w:t>
      </w:r>
      <w:r>
        <w:rPr>
          <w:i/>
          <w:iCs/>
        </w:rPr>
        <w:t>BCR16 v Minister for Immigration and Border Protection</w:t>
      </w:r>
      <w:r>
        <w:t xml:space="preserve"> (2017) 248 FCR 456.</w:t>
      </w:r>
    </w:p>
  </w:footnote>
  <w:footnote w:id="62">
    <w:p w14:paraId="759137E4" w14:textId="05386C26" w:rsidR="006E627B" w:rsidRPr="006E627B" w:rsidRDefault="006E627B">
      <w:pPr>
        <w:pStyle w:val="FootnoteText"/>
      </w:pPr>
      <w:r>
        <w:rPr>
          <w:rStyle w:val="FootnoteReference"/>
        </w:rPr>
        <w:footnoteRef/>
      </w:r>
      <w:r>
        <w:t xml:space="preserve"> See </w:t>
      </w:r>
      <w:r w:rsidR="006C7E90">
        <w:t>eg</w:t>
      </w:r>
      <w:r>
        <w:t xml:space="preserve"> </w:t>
      </w:r>
      <w:r>
        <w:rPr>
          <w:i/>
          <w:iCs/>
        </w:rPr>
        <w:t>Minister for Immigration, Citizenship, Migrant Services and Multicultural Affairs v CTB19</w:t>
      </w:r>
      <w:r>
        <w:t xml:space="preserve"> (2020) 280 FCR 178.</w:t>
      </w:r>
    </w:p>
  </w:footnote>
  <w:footnote w:id="63">
    <w:p w14:paraId="37DF1155" w14:textId="004BBEA7" w:rsidR="006E627B" w:rsidRPr="009A3645" w:rsidRDefault="006E627B">
      <w:pPr>
        <w:pStyle w:val="FootnoteText"/>
      </w:pPr>
      <w:r>
        <w:rPr>
          <w:rStyle w:val="FootnoteReference"/>
        </w:rPr>
        <w:footnoteRef/>
      </w:r>
      <w:r>
        <w:t xml:space="preserve"> </w:t>
      </w:r>
      <w:r w:rsidR="00550D41">
        <w:t xml:space="preserve">See </w:t>
      </w:r>
      <w:r w:rsidR="006C7E90">
        <w:t>eg</w:t>
      </w:r>
      <w:r w:rsidR="00550D41">
        <w:t xml:space="preserve"> </w:t>
      </w:r>
      <w:r w:rsidR="00550D41">
        <w:rPr>
          <w:i/>
          <w:iCs/>
        </w:rPr>
        <w:t xml:space="preserve">Ali v Minister for Home Affairs </w:t>
      </w:r>
      <w:r w:rsidR="00550D41">
        <w:t xml:space="preserve">(2020) 278 FCR 627; </w:t>
      </w:r>
      <w:r w:rsidR="009A3645">
        <w:rPr>
          <w:i/>
          <w:iCs/>
        </w:rPr>
        <w:t xml:space="preserve">Minister for Immigration, Citizenship, Migrant Services and Multicultural Affairs </w:t>
      </w:r>
      <w:r w:rsidR="009A3645">
        <w:t>(2021) 287 FCR 181.</w:t>
      </w:r>
    </w:p>
  </w:footnote>
  <w:footnote w:id="64">
    <w:p w14:paraId="6ED0540A" w14:textId="77777777" w:rsidR="003760CD" w:rsidRPr="008A77F8" w:rsidRDefault="003760CD" w:rsidP="003760CD">
      <w:pPr>
        <w:pStyle w:val="FootnoteText"/>
        <w:rPr>
          <w:lang w:val="en-US"/>
        </w:rPr>
      </w:pPr>
      <w:r w:rsidRPr="008A77F8">
        <w:rPr>
          <w:rStyle w:val="FootnoteReference"/>
        </w:rPr>
        <w:footnoteRef/>
      </w:r>
      <w:r w:rsidRPr="008A77F8">
        <w:t xml:space="preserve"> </w:t>
      </w:r>
      <w:r w:rsidRPr="00BE6C7F">
        <w:rPr>
          <w:i/>
          <w:iCs/>
        </w:rPr>
        <w:t xml:space="preserve">Plaintiff M1/2021 </w:t>
      </w:r>
      <w:r>
        <w:rPr>
          <w:i/>
          <w:iCs/>
        </w:rPr>
        <w:t>v Minister for Home Affairs</w:t>
      </w:r>
      <w:r w:rsidRPr="008A77F8">
        <w:t xml:space="preserve"> (2022) </w:t>
      </w:r>
      <w:r>
        <w:t>275 CLR 582</w:t>
      </w:r>
      <w:r w:rsidRPr="008A77F8">
        <w:t>.</w:t>
      </w:r>
    </w:p>
  </w:footnote>
  <w:footnote w:id="65">
    <w:p w14:paraId="480CA629" w14:textId="1F6DA16B" w:rsidR="004844FF" w:rsidRPr="0058539B" w:rsidRDefault="004844FF">
      <w:pPr>
        <w:pStyle w:val="FootnoteText"/>
      </w:pPr>
      <w:r>
        <w:rPr>
          <w:rStyle w:val="FootnoteReference"/>
        </w:rPr>
        <w:footnoteRef/>
      </w:r>
      <w:r>
        <w:t xml:space="preserve"> </w:t>
      </w:r>
      <w:r w:rsidR="00CF54B6">
        <w:t xml:space="preserve">For a more detailed account, see </w:t>
      </w:r>
      <w:r w:rsidR="00F60D60">
        <w:t xml:space="preserve">Mary E Crock and Kate Bones, ‘The Creeping Cruelty of Australian Crimmigration </w:t>
      </w:r>
      <w:r w:rsidR="0058539B">
        <w:t xml:space="preserve">Law’ (2022) 44(2) </w:t>
      </w:r>
      <w:r w:rsidR="0058539B">
        <w:rPr>
          <w:i/>
          <w:iCs/>
        </w:rPr>
        <w:t xml:space="preserve">Sydney Law Review </w:t>
      </w:r>
      <w:r w:rsidR="0058539B">
        <w:t>169</w:t>
      </w:r>
      <w:r w:rsidR="00CF54B6">
        <w:t>, 186-188.</w:t>
      </w:r>
    </w:p>
  </w:footnote>
  <w:footnote w:id="66">
    <w:p w14:paraId="5060B4E4" w14:textId="6E63DEAA" w:rsidR="00E568A0" w:rsidRPr="00966562" w:rsidRDefault="00E568A0">
      <w:pPr>
        <w:pStyle w:val="FootnoteText"/>
      </w:pPr>
      <w:r>
        <w:rPr>
          <w:rStyle w:val="FootnoteReference"/>
        </w:rPr>
        <w:footnoteRef/>
      </w:r>
      <w:r>
        <w:t xml:space="preserve"> </w:t>
      </w:r>
      <w:r>
        <w:rPr>
          <w:i/>
          <w:iCs/>
        </w:rPr>
        <w:t xml:space="preserve">Ali v Minister for Home Affairs </w:t>
      </w:r>
      <w:r>
        <w:t>(2020) 278 FCR 627 [103]</w:t>
      </w:r>
      <w:r w:rsidR="00966562">
        <w:t xml:space="preserve">; </w:t>
      </w:r>
      <w:r w:rsidR="00966562">
        <w:rPr>
          <w:i/>
          <w:iCs/>
        </w:rPr>
        <w:t>Minister for Immigration, Citizenship, Migrant Services and Multicultural Affairs</w:t>
      </w:r>
      <w:r w:rsidR="003B1B44">
        <w:rPr>
          <w:i/>
          <w:iCs/>
        </w:rPr>
        <w:t xml:space="preserve"> v FAK19</w:t>
      </w:r>
      <w:r w:rsidR="00966562">
        <w:rPr>
          <w:i/>
          <w:iCs/>
        </w:rPr>
        <w:t xml:space="preserve"> </w:t>
      </w:r>
      <w:r w:rsidR="00966562">
        <w:t>(2020) 287 FCR 181 [156].</w:t>
      </w:r>
    </w:p>
  </w:footnote>
  <w:footnote w:id="67">
    <w:p w14:paraId="64B0001E" w14:textId="11A2BC88" w:rsidR="00D551AD" w:rsidRPr="008A77F8" w:rsidRDefault="00D551AD" w:rsidP="00D551AD">
      <w:pPr>
        <w:pStyle w:val="FootnoteText"/>
        <w:rPr>
          <w:lang w:val="en-US"/>
        </w:rPr>
      </w:pPr>
      <w:r w:rsidRPr="008A77F8">
        <w:rPr>
          <w:rStyle w:val="FootnoteReference"/>
        </w:rPr>
        <w:footnoteRef/>
      </w:r>
      <w:r w:rsidRPr="008A77F8">
        <w:t xml:space="preserve"> </w:t>
      </w:r>
      <w:r w:rsidR="00967B99">
        <w:rPr>
          <w:lang w:val="en-US"/>
        </w:rPr>
        <w:t>Appleby and Reilly (n 10)</w:t>
      </w:r>
      <w:r w:rsidRPr="008A77F8">
        <w:rPr>
          <w:lang w:val="en-US"/>
        </w:rPr>
        <w:t>.</w:t>
      </w:r>
    </w:p>
  </w:footnote>
  <w:footnote w:id="68">
    <w:p w14:paraId="4F01731D" w14:textId="7FB00C44" w:rsidR="00D551AD" w:rsidRPr="008A77F8" w:rsidRDefault="00D551AD" w:rsidP="00D551AD">
      <w:pPr>
        <w:pStyle w:val="FootnoteText"/>
        <w:rPr>
          <w:lang w:val="en-US"/>
        </w:rPr>
      </w:pPr>
      <w:r w:rsidRPr="008A77F8">
        <w:rPr>
          <w:rStyle w:val="FootnoteReference"/>
        </w:rPr>
        <w:footnoteRef/>
      </w:r>
      <w:r w:rsidRPr="008A77F8">
        <w:t xml:space="preserve"> </w:t>
      </w:r>
      <w:r w:rsidR="006226D9">
        <w:rPr>
          <w:lang w:val="en-US"/>
        </w:rPr>
        <w:t>Ibid</w:t>
      </w:r>
      <w:r w:rsidRPr="008A77F8">
        <w:rPr>
          <w:lang w:val="en-US"/>
        </w:rPr>
        <w:t xml:space="preserve"> 293.</w:t>
      </w:r>
    </w:p>
  </w:footnote>
  <w:footnote w:id="69">
    <w:p w14:paraId="05A9EED0" w14:textId="60D089E9" w:rsidR="00D551AD" w:rsidRPr="008A77F8" w:rsidRDefault="00D551AD" w:rsidP="00D551AD">
      <w:pPr>
        <w:pStyle w:val="FootnoteText"/>
        <w:rPr>
          <w:lang w:val="en-US"/>
        </w:rPr>
      </w:pPr>
      <w:r w:rsidRPr="008A77F8">
        <w:rPr>
          <w:rStyle w:val="FootnoteReference"/>
        </w:rPr>
        <w:footnoteRef/>
      </w:r>
      <w:r w:rsidRPr="008A77F8">
        <w:t xml:space="preserve"> </w:t>
      </w:r>
      <w:r w:rsidR="006226D9">
        <w:rPr>
          <w:lang w:val="en-US"/>
        </w:rPr>
        <w:t>Ibid</w:t>
      </w:r>
      <w:r w:rsidRPr="008A77F8">
        <w:rPr>
          <w:lang w:val="en-US"/>
        </w:rPr>
        <w:t xml:space="preserve"> 293-294.</w:t>
      </w:r>
    </w:p>
  </w:footnote>
  <w:footnote w:id="70">
    <w:p w14:paraId="633B5BC8" w14:textId="36B8FF83" w:rsidR="00D551AD" w:rsidRPr="008A77F8" w:rsidRDefault="00D551AD" w:rsidP="00D551AD">
      <w:pPr>
        <w:pStyle w:val="FootnoteText"/>
        <w:rPr>
          <w:lang w:val="en-US"/>
        </w:rPr>
      </w:pPr>
      <w:r w:rsidRPr="008A77F8">
        <w:rPr>
          <w:rStyle w:val="FootnoteReference"/>
        </w:rPr>
        <w:footnoteRef/>
      </w:r>
      <w:r w:rsidRPr="008A77F8">
        <w:t xml:space="preserve"> </w:t>
      </w:r>
      <w:r w:rsidR="006226D9">
        <w:rPr>
          <w:lang w:val="en-US"/>
        </w:rPr>
        <w:t>Ibid</w:t>
      </w:r>
      <w:r w:rsidRPr="008A77F8">
        <w:rPr>
          <w:lang w:val="en-US"/>
        </w:rPr>
        <w:t xml:space="preserve"> 304.</w:t>
      </w:r>
    </w:p>
  </w:footnote>
  <w:footnote w:id="71">
    <w:p w14:paraId="773CE6AA" w14:textId="7A23C57B" w:rsidR="00D551AD" w:rsidRPr="008A77F8" w:rsidRDefault="00D551AD" w:rsidP="00D551AD">
      <w:pPr>
        <w:pStyle w:val="FootnoteText"/>
        <w:rPr>
          <w:lang w:val="en-US"/>
        </w:rPr>
      </w:pPr>
      <w:r w:rsidRPr="008A77F8">
        <w:rPr>
          <w:rStyle w:val="FootnoteReference"/>
        </w:rPr>
        <w:footnoteRef/>
      </w:r>
      <w:r w:rsidRPr="008A77F8">
        <w:t xml:space="preserve"> </w:t>
      </w:r>
      <w:r w:rsidR="006226D9">
        <w:rPr>
          <w:lang w:val="en-US"/>
        </w:rPr>
        <w:t>Ibid</w:t>
      </w:r>
      <w:r w:rsidRPr="008A77F8">
        <w:rPr>
          <w:lang w:val="en-US"/>
        </w:rPr>
        <w:t xml:space="preserve"> 306.</w:t>
      </w:r>
    </w:p>
  </w:footnote>
  <w:footnote w:id="72">
    <w:p w14:paraId="7669EDE2" w14:textId="71AC0E62" w:rsidR="00D551AD" w:rsidRPr="008A77F8" w:rsidRDefault="00D551AD" w:rsidP="00D551AD">
      <w:pPr>
        <w:pStyle w:val="FootnoteText"/>
      </w:pPr>
      <w:r w:rsidRPr="008A77F8">
        <w:rPr>
          <w:rStyle w:val="FootnoteReference"/>
        </w:rPr>
        <w:footnoteRef/>
      </w:r>
      <w:r w:rsidRPr="008A77F8">
        <w:t xml:space="preserve"> </w:t>
      </w:r>
      <w:r w:rsidR="006226D9">
        <w:rPr>
          <w:lang w:val="en-US"/>
        </w:rPr>
        <w:t>Ibid</w:t>
      </w:r>
      <w:r w:rsidRPr="008A77F8">
        <w:rPr>
          <w:lang w:val="en-US"/>
        </w:rPr>
        <w:t xml:space="preserve"> 304</w:t>
      </w:r>
      <w:r w:rsidRPr="008A77F8">
        <w:t>.</w:t>
      </w:r>
    </w:p>
  </w:footnote>
  <w:footnote w:id="73">
    <w:p w14:paraId="67BE54B2" w14:textId="1D14AC0C" w:rsidR="00A665DB" w:rsidRPr="008A77F8" w:rsidRDefault="00A665DB" w:rsidP="000F2F7C">
      <w:pPr>
        <w:pStyle w:val="FootnoteText"/>
        <w:rPr>
          <w:lang w:val="en-US"/>
        </w:rPr>
      </w:pPr>
      <w:r w:rsidRPr="008A77F8">
        <w:rPr>
          <w:rStyle w:val="FootnoteReference"/>
        </w:rPr>
        <w:footnoteRef/>
      </w:r>
      <w:r w:rsidRPr="008A77F8">
        <w:t xml:space="preserve"> </w:t>
      </w:r>
      <w:r w:rsidR="00E077CE" w:rsidRPr="008A77F8">
        <w:t xml:space="preserve">Joanne Kinslor and James English, ‘Decision-Making in the National Interest?’ (2015) 79 </w:t>
      </w:r>
      <w:r w:rsidR="00E077CE" w:rsidRPr="008A77F8">
        <w:rPr>
          <w:i/>
          <w:iCs/>
        </w:rPr>
        <w:t>AIAL Forum</w:t>
      </w:r>
      <w:r w:rsidR="00E077CE" w:rsidRPr="008A77F8">
        <w:t xml:space="preserve"> 35</w:t>
      </w:r>
      <w:r w:rsidR="005F0A12" w:rsidRPr="008A77F8">
        <w:t xml:space="preserve"> (‘</w:t>
      </w:r>
      <w:r w:rsidR="005F0A12" w:rsidRPr="008A77F8">
        <w:rPr>
          <w:lang w:val="en-US"/>
        </w:rPr>
        <w:t>Kinslor and English’)</w:t>
      </w:r>
      <w:r w:rsidR="00E077CE" w:rsidRPr="008A77F8">
        <w:t>.</w:t>
      </w:r>
    </w:p>
  </w:footnote>
  <w:footnote w:id="74">
    <w:p w14:paraId="084AD091" w14:textId="77777777" w:rsidR="001A6087" w:rsidRPr="008A77F8" w:rsidRDefault="001A6087" w:rsidP="001A6087">
      <w:pPr>
        <w:pStyle w:val="FootnoteText"/>
        <w:rPr>
          <w:lang w:val="en-US"/>
        </w:rPr>
      </w:pPr>
      <w:r w:rsidRPr="008A77F8">
        <w:rPr>
          <w:rStyle w:val="FootnoteReference"/>
        </w:rPr>
        <w:footnoteRef/>
      </w:r>
      <w:r w:rsidRPr="008A77F8">
        <w:t xml:space="preserve"> </w:t>
      </w:r>
      <w:r>
        <w:rPr>
          <w:lang w:val="en-US"/>
        </w:rPr>
        <w:t>Ibid</w:t>
      </w:r>
      <w:r w:rsidRPr="008A77F8">
        <w:rPr>
          <w:lang w:val="en-US"/>
        </w:rPr>
        <w:t xml:space="preserve"> 47.</w:t>
      </w:r>
    </w:p>
  </w:footnote>
  <w:footnote w:id="75">
    <w:p w14:paraId="18FB526C" w14:textId="6D87AD2B" w:rsidR="00AB727D" w:rsidRPr="008A77F8" w:rsidRDefault="00AB727D" w:rsidP="000F2F7C">
      <w:pPr>
        <w:pStyle w:val="FootnoteText"/>
        <w:rPr>
          <w:lang w:val="en-US"/>
        </w:rPr>
      </w:pPr>
      <w:r w:rsidRPr="008A77F8">
        <w:rPr>
          <w:rStyle w:val="FootnoteReference"/>
        </w:rPr>
        <w:footnoteRef/>
      </w:r>
      <w:r w:rsidRPr="008A77F8">
        <w:t xml:space="preserve"> </w:t>
      </w:r>
      <w:r w:rsidR="006226D9">
        <w:rPr>
          <w:lang w:val="en-US"/>
        </w:rPr>
        <w:t>Ibid</w:t>
      </w:r>
      <w:r w:rsidR="005F0A12" w:rsidRPr="008A77F8">
        <w:rPr>
          <w:lang w:val="en-US"/>
        </w:rPr>
        <w:t xml:space="preserve"> </w:t>
      </w:r>
      <w:r w:rsidRPr="008A77F8">
        <w:rPr>
          <w:lang w:val="en-US"/>
        </w:rPr>
        <w:t>38.</w:t>
      </w:r>
    </w:p>
  </w:footnote>
  <w:footnote w:id="76">
    <w:p w14:paraId="36D85609" w14:textId="1AD3B86C" w:rsidR="001C4F1E" w:rsidRPr="008A77F8" w:rsidRDefault="001C4F1E" w:rsidP="000F2F7C">
      <w:pPr>
        <w:pStyle w:val="FootnoteText"/>
        <w:rPr>
          <w:lang w:val="en-US"/>
        </w:rPr>
      </w:pPr>
      <w:r w:rsidRPr="008A77F8">
        <w:rPr>
          <w:rStyle w:val="FootnoteReference"/>
        </w:rPr>
        <w:footnoteRef/>
      </w:r>
      <w:r w:rsidRPr="008A77F8">
        <w:t xml:space="preserve"> </w:t>
      </w:r>
      <w:r w:rsidRPr="008A77F8">
        <w:rPr>
          <w:lang w:val="en-US"/>
        </w:rPr>
        <w:t>Jason Donnelly, ‘Use of a National Interest Criterion in Commonwealth Legislation: Suggested Reforms for Greater Accountability in Executive Decision-Making’, 2018, PhD thesis, &lt;https://unsworks.unsw.edu.au/entities/publication/18f67fb4-5b95-4fc6-a9a0-c7337c5932eb&gt;.</w:t>
      </w:r>
    </w:p>
  </w:footnote>
  <w:footnote w:id="77">
    <w:p w14:paraId="024FFF0C" w14:textId="29D6881C" w:rsidR="00583E96" w:rsidRPr="008A77F8" w:rsidRDefault="00583E96" w:rsidP="000F2F7C">
      <w:pPr>
        <w:pStyle w:val="FootnoteText"/>
      </w:pPr>
      <w:r w:rsidRPr="008A77F8">
        <w:rPr>
          <w:rStyle w:val="FootnoteReference"/>
        </w:rPr>
        <w:footnoteRef/>
      </w:r>
      <w:r w:rsidRPr="008A77F8">
        <w:t xml:space="preserve"> </w:t>
      </w:r>
      <w:r w:rsidR="00EA513F" w:rsidRPr="008A77F8">
        <w:t xml:space="preserve">Jason Donnelly, ‘Utilisation of National </w:t>
      </w:r>
      <w:r w:rsidR="00485062" w:rsidRPr="008A77F8">
        <w:t xml:space="preserve">Interest Criteria in the </w:t>
      </w:r>
      <w:r w:rsidR="00485062" w:rsidRPr="008A77F8">
        <w:rPr>
          <w:i/>
          <w:iCs/>
        </w:rPr>
        <w:t>Migration Act 1958</w:t>
      </w:r>
      <w:r w:rsidR="00485062" w:rsidRPr="008A77F8">
        <w:t xml:space="preserve"> (Cth): A Threat to Rule of Law Values?’ (2017) 7(1) </w:t>
      </w:r>
      <w:r w:rsidR="00485062" w:rsidRPr="008A77F8">
        <w:rPr>
          <w:i/>
          <w:iCs/>
        </w:rPr>
        <w:t>Victoria University Law and Justice Journal</w:t>
      </w:r>
      <w:r w:rsidR="00485062" w:rsidRPr="008A77F8">
        <w:t xml:space="preserve"> 95, 95.</w:t>
      </w:r>
    </w:p>
  </w:footnote>
  <w:footnote w:id="78">
    <w:p w14:paraId="3E26ED2C" w14:textId="56FF9E96" w:rsidR="00751DB5" w:rsidRDefault="00751DB5">
      <w:pPr>
        <w:pStyle w:val="FootnoteText"/>
      </w:pPr>
      <w:r>
        <w:rPr>
          <w:rStyle w:val="FootnoteReference"/>
        </w:rPr>
        <w:footnoteRef/>
      </w:r>
      <w:r>
        <w:t xml:space="preserve"> </w:t>
      </w:r>
      <w:r w:rsidR="00BE7A5C">
        <w:t xml:space="preserve">Jason Donnelly, ‘The Rise of Section 501BA Visa Cancellations: National Interest vs Administrative Justice’ (2025) 32(4) </w:t>
      </w:r>
      <w:r w:rsidR="00BE7A5C">
        <w:rPr>
          <w:i/>
          <w:iCs/>
        </w:rPr>
        <w:t xml:space="preserve">Australian Journal of Administrative Law </w:t>
      </w:r>
      <w:r w:rsidR="00BE7A5C">
        <w:t>178, 190.</w:t>
      </w:r>
    </w:p>
  </w:footnote>
  <w:footnote w:id="79">
    <w:p w14:paraId="7B724B92" w14:textId="1F4544DA" w:rsidR="00583E96" w:rsidRPr="008A77F8" w:rsidRDefault="00583E96" w:rsidP="000F2F7C">
      <w:pPr>
        <w:pStyle w:val="FootnoteText"/>
      </w:pPr>
      <w:r w:rsidRPr="008A77F8">
        <w:rPr>
          <w:rStyle w:val="FootnoteReference"/>
        </w:rPr>
        <w:footnoteRef/>
      </w:r>
      <w:r w:rsidRPr="008A77F8">
        <w:t xml:space="preserve"> </w:t>
      </w:r>
      <w:r w:rsidR="00980A10" w:rsidRPr="008A77F8">
        <w:t xml:space="preserve">Liberty Victoria, </w:t>
      </w:r>
      <w:r w:rsidR="00980A10" w:rsidRPr="008A77F8">
        <w:rPr>
          <w:i/>
          <w:iCs/>
        </w:rPr>
        <w:t>Playing God</w:t>
      </w:r>
      <w:r w:rsidR="00F96988" w:rsidRPr="008A77F8">
        <w:t xml:space="preserve"> (n 5)</w:t>
      </w:r>
      <w:r w:rsidR="00593647" w:rsidRPr="008A77F8">
        <w:rPr>
          <w:i/>
          <w:iCs/>
        </w:rPr>
        <w:t>.</w:t>
      </w:r>
    </w:p>
  </w:footnote>
  <w:footnote w:id="80">
    <w:p w14:paraId="4D031407" w14:textId="447E05CE" w:rsidR="000E1724" w:rsidRPr="008A77F8" w:rsidRDefault="000E1724" w:rsidP="000F2F7C">
      <w:pPr>
        <w:pStyle w:val="FootnoteText"/>
        <w:rPr>
          <w:lang w:val="en-US"/>
        </w:rPr>
      </w:pPr>
      <w:r w:rsidRPr="008A77F8">
        <w:rPr>
          <w:rStyle w:val="FootnoteReference"/>
        </w:rPr>
        <w:footnoteRef/>
      </w:r>
      <w:r w:rsidRPr="008A77F8">
        <w:t xml:space="preserve"> </w:t>
      </w:r>
      <w:r w:rsidR="006226D9">
        <w:t xml:space="preserve">Ibid </w:t>
      </w:r>
      <w:r w:rsidRPr="008A77F8">
        <w:rPr>
          <w:lang w:val="en-US"/>
        </w:rPr>
        <w:t>3.</w:t>
      </w:r>
    </w:p>
  </w:footnote>
  <w:footnote w:id="81">
    <w:p w14:paraId="60E4A5D4" w14:textId="2E713E48" w:rsidR="006A02C8" w:rsidRPr="008A77F8" w:rsidRDefault="006A02C8" w:rsidP="000F2F7C">
      <w:pPr>
        <w:pStyle w:val="FootnoteText"/>
        <w:rPr>
          <w:lang w:val="en-US"/>
        </w:rPr>
      </w:pPr>
      <w:r w:rsidRPr="008A77F8">
        <w:rPr>
          <w:rStyle w:val="FootnoteReference"/>
        </w:rPr>
        <w:footnoteRef/>
      </w:r>
      <w:r w:rsidRPr="008A77F8">
        <w:t xml:space="preserve"> </w:t>
      </w:r>
      <w:r w:rsidR="006226D9">
        <w:t>Ibid</w:t>
      </w:r>
      <w:r w:rsidRPr="008A77F8">
        <w:rPr>
          <w:lang w:val="en-US"/>
        </w:rPr>
        <w:t xml:space="preserve"> 6.</w:t>
      </w:r>
    </w:p>
  </w:footnote>
  <w:footnote w:id="82">
    <w:p w14:paraId="51BE8F71" w14:textId="7B1A7172" w:rsidR="0068718F" w:rsidRPr="008A77F8" w:rsidRDefault="0068718F" w:rsidP="000F2F7C">
      <w:pPr>
        <w:pStyle w:val="FootnoteText"/>
      </w:pPr>
      <w:r w:rsidRPr="008A77F8">
        <w:rPr>
          <w:rStyle w:val="FootnoteReference"/>
        </w:rPr>
        <w:footnoteRef/>
      </w:r>
      <w:r w:rsidRPr="008A77F8">
        <w:t xml:space="preserve"> </w:t>
      </w:r>
      <w:r w:rsidR="006226D9">
        <w:t>Ibid</w:t>
      </w:r>
      <w:r w:rsidRPr="008A77F8">
        <w:t xml:space="preserve"> 33.</w:t>
      </w:r>
    </w:p>
  </w:footnote>
  <w:footnote w:id="83">
    <w:p w14:paraId="1691D345" w14:textId="2415293C" w:rsidR="0068718F" w:rsidRPr="008A77F8" w:rsidRDefault="0068718F" w:rsidP="000F2F7C">
      <w:pPr>
        <w:pStyle w:val="FootnoteText"/>
      </w:pPr>
      <w:r w:rsidRPr="008A77F8">
        <w:rPr>
          <w:rStyle w:val="FootnoteReference"/>
        </w:rPr>
        <w:footnoteRef/>
      </w:r>
      <w:r w:rsidRPr="008A77F8">
        <w:t xml:space="preserve"> </w:t>
      </w:r>
      <w:r w:rsidR="006226D9">
        <w:t>Ibid</w:t>
      </w:r>
      <w:r w:rsidRPr="008A77F8">
        <w:t xml:space="preserve">. </w:t>
      </w:r>
      <w:r w:rsidR="00027F53">
        <w:t xml:space="preserve">The report </w:t>
      </w:r>
      <w:r w:rsidRPr="008A77F8">
        <w:t xml:space="preserve">noted that ‘[t]his would require amendments to be made to the following provisions of the </w:t>
      </w:r>
      <w:r w:rsidRPr="00FE3B29">
        <w:rPr>
          <w:i/>
          <w:iCs/>
        </w:rPr>
        <w:t>Migration Act</w:t>
      </w:r>
      <w:r w:rsidRPr="008A77F8">
        <w:t>: section 197AB — the power to make a residence determination; section 73 — bridging visas; section 197AD — the power to revoke or vary a residence determination; section 198AB — the power to designate a regional processing country; section 46A — the power to lift the bar; sections 411(3) and 473BD — the power to issue conclusive certificates; and sections 133A and 133C — the power to override a decision and cancel a visa; and section 501, 501A, 501B and 501BA — the power to cancel a visa on character grounds’</w:t>
      </w:r>
      <w:r w:rsidR="00027F53">
        <w:t>.</w:t>
      </w:r>
      <w:r w:rsidRPr="008A77F8">
        <w:t xml:space="preserve"> But they recommended that ‘[s]ection 195A should remain in its current form. We do not take issue with the public interest test in section 195A because of its long history and the fact that it exists for the </w:t>
      </w:r>
      <w:r w:rsidR="00847866" w:rsidRPr="008A77F8">
        <w:t>benefit</w:t>
      </w:r>
      <w:r w:rsidRPr="008A77F8">
        <w:t xml:space="preserve"> of people seeking asylum’: </w:t>
      </w:r>
      <w:r w:rsidR="006226D9">
        <w:t>ibid</w:t>
      </w:r>
      <w:r w:rsidRPr="008A77F8">
        <w:t xml:space="preserve"> 33-34.</w:t>
      </w:r>
    </w:p>
  </w:footnote>
  <w:footnote w:id="84">
    <w:p w14:paraId="1D047441" w14:textId="3ABE0C70" w:rsidR="008D5193" w:rsidRPr="008D5193" w:rsidRDefault="008D5193">
      <w:pPr>
        <w:pStyle w:val="FootnoteText"/>
      </w:pPr>
      <w:r>
        <w:rPr>
          <w:rStyle w:val="FootnoteReference"/>
        </w:rPr>
        <w:footnoteRef/>
      </w:r>
      <w:r>
        <w:t xml:space="preserve"> </w:t>
      </w:r>
      <w:r>
        <w:rPr>
          <w:i/>
          <w:iCs/>
        </w:rPr>
        <w:t>CWY20</w:t>
      </w:r>
      <w:r>
        <w:t xml:space="preserve"> is addressed briefly in </w:t>
      </w:r>
      <w:r w:rsidR="006226D9">
        <w:t xml:space="preserve">Crock and Bones (n </w:t>
      </w:r>
      <w:r w:rsidR="00705ECF">
        <w:t>65</w:t>
      </w:r>
      <w:r w:rsidR="006226D9">
        <w:t xml:space="preserve">) </w:t>
      </w:r>
      <w:r w:rsidR="00B91E9E">
        <w:t>188.</w:t>
      </w:r>
    </w:p>
  </w:footnote>
  <w:footnote w:id="85">
    <w:p w14:paraId="22DAA551" w14:textId="27640D0B" w:rsidR="00D32E9F" w:rsidRPr="008A77F8" w:rsidRDefault="00D32E9F" w:rsidP="000F2F7C">
      <w:pPr>
        <w:pStyle w:val="FootnoteText"/>
      </w:pPr>
      <w:r w:rsidRPr="008A77F8">
        <w:rPr>
          <w:rStyle w:val="FootnoteReference"/>
        </w:rPr>
        <w:footnoteRef/>
      </w:r>
      <w:r w:rsidRPr="008A77F8">
        <w:t xml:space="preserve"> Refugee Convention </w:t>
      </w:r>
      <w:r w:rsidR="00A12576" w:rsidRPr="008A77F8">
        <w:t xml:space="preserve">(n </w:t>
      </w:r>
      <w:r w:rsidRPr="008A77F8">
        <w:t>6</w:t>
      </w:r>
      <w:r w:rsidR="00A12576" w:rsidRPr="008A77F8">
        <w:t>)</w:t>
      </w:r>
      <w:r w:rsidRPr="008A77F8">
        <w:t>.</w:t>
      </w:r>
    </w:p>
  </w:footnote>
  <w:footnote w:id="86">
    <w:p w14:paraId="7D54B118" w14:textId="0F90218E" w:rsidR="00D32E9F" w:rsidRPr="008A77F8" w:rsidRDefault="00D32E9F" w:rsidP="000F2F7C">
      <w:pPr>
        <w:pStyle w:val="FootnoteText"/>
      </w:pPr>
      <w:r w:rsidRPr="008A77F8">
        <w:rPr>
          <w:rStyle w:val="FootnoteReference"/>
        </w:rPr>
        <w:footnoteRef/>
      </w:r>
      <w:r w:rsidRPr="008A77F8">
        <w:t xml:space="preserve"> ICCPR </w:t>
      </w:r>
      <w:r w:rsidR="00A12576" w:rsidRPr="008A77F8">
        <w:t>(</w:t>
      </w:r>
      <w:r w:rsidRPr="008A77F8">
        <w:t>n 7</w:t>
      </w:r>
      <w:r w:rsidR="00A12576" w:rsidRPr="008A77F8">
        <w:t>)</w:t>
      </w:r>
      <w:r w:rsidRPr="008A77F8">
        <w:t>.</w:t>
      </w:r>
    </w:p>
  </w:footnote>
  <w:footnote w:id="87">
    <w:p w14:paraId="1CB954A9" w14:textId="27F0092B" w:rsidR="0049462C" w:rsidRPr="008A77F8" w:rsidRDefault="0049462C" w:rsidP="000F2F7C">
      <w:pPr>
        <w:pStyle w:val="FootnoteText"/>
      </w:pPr>
      <w:r w:rsidRPr="008A77F8">
        <w:rPr>
          <w:rStyle w:val="FootnoteReference"/>
        </w:rPr>
        <w:footnoteRef/>
      </w:r>
      <w:r w:rsidR="00C02A36" w:rsidRPr="008A77F8">
        <w:rPr>
          <w:shd w:val="clear" w:color="auto" w:fill="F9F9F9"/>
        </w:rPr>
        <w:t> </w:t>
      </w:r>
      <w:r w:rsidR="00105CCE" w:rsidRPr="005F4DE0">
        <w:t>Convention Against Torture</w:t>
      </w:r>
      <w:r w:rsidR="00105CCE" w:rsidRPr="008A77F8">
        <w:rPr>
          <w:i/>
          <w:iCs/>
        </w:rPr>
        <w:t xml:space="preserve"> </w:t>
      </w:r>
      <w:r w:rsidR="003D40A3" w:rsidRPr="008A77F8">
        <w:t xml:space="preserve">(n </w:t>
      </w:r>
      <w:r w:rsidR="00705ECF">
        <w:t>52</w:t>
      </w:r>
      <w:r w:rsidR="003D40A3" w:rsidRPr="008A77F8">
        <w:t>).</w:t>
      </w:r>
    </w:p>
  </w:footnote>
  <w:footnote w:id="88">
    <w:p w14:paraId="61D30B22" w14:textId="309B5F44" w:rsidR="00422DD1" w:rsidRPr="008A77F8" w:rsidRDefault="00422DD1" w:rsidP="000F2F7C">
      <w:pPr>
        <w:pStyle w:val="FootnoteText"/>
        <w:rPr>
          <w:lang w:val="en-US"/>
        </w:rPr>
      </w:pPr>
      <w:r w:rsidRPr="008A77F8">
        <w:rPr>
          <w:rStyle w:val="FootnoteReference"/>
        </w:rPr>
        <w:footnoteRef/>
      </w:r>
      <w:r w:rsidRPr="008A77F8">
        <w:t xml:space="preserve"> </w:t>
      </w:r>
      <w:r w:rsidRPr="008A77F8">
        <w:rPr>
          <w:i/>
          <w:iCs/>
        </w:rPr>
        <w:t xml:space="preserve">FRH18 </w:t>
      </w:r>
      <w:r w:rsidR="006520A4">
        <w:rPr>
          <w:i/>
          <w:iCs/>
        </w:rPr>
        <w:t>v Minister for Home Affairs</w:t>
      </w:r>
      <w:r w:rsidRPr="008A77F8">
        <w:rPr>
          <w:i/>
          <w:iCs/>
        </w:rPr>
        <w:t xml:space="preserve"> </w:t>
      </w:r>
      <w:r w:rsidRPr="008A77F8">
        <w:t>[2018] FCA 1769.</w:t>
      </w:r>
    </w:p>
  </w:footnote>
  <w:footnote w:id="89">
    <w:p w14:paraId="6432807E" w14:textId="1C5C7358" w:rsidR="00422DD1" w:rsidRPr="008A77F8" w:rsidRDefault="00422DD1" w:rsidP="000F2F7C">
      <w:pPr>
        <w:pStyle w:val="FootnoteText"/>
        <w:rPr>
          <w:lang w:val="en-US"/>
        </w:rPr>
      </w:pPr>
      <w:r w:rsidRPr="008A77F8">
        <w:rPr>
          <w:rStyle w:val="FootnoteReference"/>
        </w:rPr>
        <w:footnoteRef/>
      </w:r>
      <w:r w:rsidRPr="008A77F8">
        <w:t xml:space="preserve"> </w:t>
      </w:r>
      <w:r w:rsidRPr="008A77F8">
        <w:rPr>
          <w:i/>
          <w:iCs/>
        </w:rPr>
        <w:t>CPJ1</w:t>
      </w:r>
      <w:r w:rsidR="00017609" w:rsidRPr="008A77F8">
        <w:rPr>
          <w:i/>
          <w:iCs/>
        </w:rPr>
        <w:t xml:space="preserve">6 </w:t>
      </w:r>
      <w:r w:rsidR="006520A4">
        <w:rPr>
          <w:i/>
          <w:iCs/>
        </w:rPr>
        <w:t>v Minister for Immigration, Citizenship, Migrant Services and Multicultural Affairs</w:t>
      </w:r>
      <w:r w:rsidR="00017609" w:rsidRPr="008A77F8">
        <w:t xml:space="preserve"> [2020] FCA 980.</w:t>
      </w:r>
    </w:p>
  </w:footnote>
  <w:footnote w:id="90">
    <w:p w14:paraId="139CA4CB" w14:textId="18BBBB3F" w:rsidR="00F52C1A" w:rsidRPr="008A77F8" w:rsidRDefault="00F52C1A" w:rsidP="000F2F7C">
      <w:pPr>
        <w:pStyle w:val="FootnoteText"/>
        <w:rPr>
          <w:i/>
          <w:iCs/>
        </w:rPr>
      </w:pPr>
      <w:r w:rsidRPr="008A77F8">
        <w:rPr>
          <w:rStyle w:val="FootnoteReference"/>
        </w:rPr>
        <w:footnoteRef/>
      </w:r>
      <w:r w:rsidRPr="008A77F8">
        <w:t xml:space="preserve"> One of the authors of this article was junior counsel for </w:t>
      </w:r>
      <w:r w:rsidR="00B27D75">
        <w:t xml:space="preserve">CWY20 </w:t>
      </w:r>
      <w:r w:rsidRPr="008A77F8">
        <w:t>in his Federal Court, Full Federal Court and High Court proceedings.</w:t>
      </w:r>
      <w:r w:rsidR="00E426E7">
        <w:t xml:space="preserve"> </w:t>
      </w:r>
    </w:p>
  </w:footnote>
  <w:footnote w:id="91">
    <w:p w14:paraId="754081AE" w14:textId="0F9FED6F" w:rsidR="000E0620" w:rsidRPr="008A77F8" w:rsidRDefault="000E0620" w:rsidP="000F2F7C">
      <w:pPr>
        <w:pStyle w:val="FootnoteText"/>
      </w:pPr>
      <w:r w:rsidRPr="008A77F8">
        <w:rPr>
          <w:rStyle w:val="FootnoteReference"/>
        </w:rPr>
        <w:footnoteRef/>
      </w:r>
      <w:r w:rsidRPr="008A77F8">
        <w:t xml:space="preserve"> </w:t>
      </w:r>
      <w:r w:rsidR="00BF33DE">
        <w:rPr>
          <w:i/>
          <w:iCs/>
        </w:rPr>
        <w:t>CWY20 v Minister for Immigration, Citizenship, Migrant Services and Multicultural Affairs</w:t>
      </w:r>
      <w:r w:rsidRPr="008A77F8">
        <w:t xml:space="preserve"> </w:t>
      </w:r>
      <w:r w:rsidR="00307AE0" w:rsidRPr="008A77F8">
        <w:t>(2020) 282 FCR 1855</w:t>
      </w:r>
      <w:r w:rsidRPr="008A77F8">
        <w:t xml:space="preserve"> [51].</w:t>
      </w:r>
    </w:p>
  </w:footnote>
  <w:footnote w:id="92">
    <w:p w14:paraId="14714E64" w14:textId="3E9C805A" w:rsidR="00C042A1" w:rsidRPr="008A77F8" w:rsidRDefault="00C042A1" w:rsidP="000F2F7C">
      <w:pPr>
        <w:pStyle w:val="FootnoteText"/>
      </w:pPr>
      <w:r w:rsidRPr="008A77F8">
        <w:rPr>
          <w:rStyle w:val="FootnoteReference"/>
        </w:rPr>
        <w:footnoteRef/>
      </w:r>
      <w:r w:rsidRPr="008A77F8">
        <w:t xml:space="preserve"> </w:t>
      </w:r>
      <w:r w:rsidR="009A707E">
        <w:t>Ibid</w:t>
      </w:r>
      <w:r w:rsidRPr="008A77F8">
        <w:t xml:space="preserve"> [84], citing </w:t>
      </w:r>
      <w:r w:rsidRPr="008A77F8">
        <w:rPr>
          <w:i/>
          <w:iCs/>
        </w:rPr>
        <w:t xml:space="preserve">Ali v </w:t>
      </w:r>
      <w:r w:rsidR="00333CF9" w:rsidRPr="008A77F8">
        <w:rPr>
          <w:i/>
          <w:iCs/>
        </w:rPr>
        <w:t xml:space="preserve">Minister for </w:t>
      </w:r>
      <w:r w:rsidR="0036618E" w:rsidRPr="008A77F8">
        <w:rPr>
          <w:i/>
          <w:iCs/>
        </w:rPr>
        <w:t xml:space="preserve">Home Affairs </w:t>
      </w:r>
      <w:r w:rsidRPr="008A77F8">
        <w:t>(2020)</w:t>
      </w:r>
      <w:r w:rsidR="00333CF9" w:rsidRPr="008A77F8">
        <w:t xml:space="preserve"> 278 FCR 627</w:t>
      </w:r>
      <w:r w:rsidRPr="008A77F8">
        <w:t xml:space="preserve"> [91].</w:t>
      </w:r>
      <w:r w:rsidR="00875C7A">
        <w:t xml:space="preserve"> </w:t>
      </w:r>
      <w:r w:rsidR="00875C7A" w:rsidRPr="00875C7A">
        <w:rPr>
          <w:bCs/>
          <w:i/>
          <w:iCs/>
        </w:rPr>
        <w:t>Ali</w:t>
      </w:r>
      <w:r w:rsidR="00875C7A" w:rsidRPr="00875C7A">
        <w:rPr>
          <w:bCs/>
        </w:rPr>
        <w:t xml:space="preserve"> arose in the context of </w:t>
      </w:r>
      <w:r w:rsidR="00380A02">
        <w:rPr>
          <w:bCs/>
        </w:rPr>
        <w:t xml:space="preserve">contests </w:t>
      </w:r>
      <w:r w:rsidR="00875C7A" w:rsidRPr="00875C7A">
        <w:rPr>
          <w:bCs/>
        </w:rPr>
        <w:t>over the role and assessment of non-</w:t>
      </w:r>
      <w:r w:rsidR="00875C7A" w:rsidRPr="00875C7A">
        <w:rPr>
          <w:bCs/>
          <w:i/>
          <w:iCs/>
        </w:rPr>
        <w:t xml:space="preserve">refoulement </w:t>
      </w:r>
      <w:r w:rsidR="00875C7A" w:rsidRPr="00875C7A">
        <w:rPr>
          <w:bCs/>
        </w:rPr>
        <w:t>obligations in the cancellation or refusal of visas for character reasons, as summarised above.</w:t>
      </w:r>
    </w:p>
  </w:footnote>
  <w:footnote w:id="93">
    <w:p w14:paraId="768356E3" w14:textId="784C2808" w:rsidR="00A27568" w:rsidRPr="008A77F8" w:rsidRDefault="00A27568" w:rsidP="000F2F7C">
      <w:pPr>
        <w:pStyle w:val="FootnoteText"/>
      </w:pPr>
      <w:r w:rsidRPr="008A77F8">
        <w:rPr>
          <w:rStyle w:val="FootnoteReference"/>
        </w:rPr>
        <w:footnoteRef/>
      </w:r>
      <w:r w:rsidRPr="008A77F8">
        <w:t xml:space="preserve"> </w:t>
      </w:r>
      <w:r w:rsidR="00BF33DE">
        <w:rPr>
          <w:i/>
          <w:iCs/>
        </w:rPr>
        <w:t>CWY20 v Minister for Immigration, Citizenship, Migrant Services and Multicultural Affairs</w:t>
      </w:r>
      <w:r w:rsidRPr="008A77F8">
        <w:t xml:space="preserve"> </w:t>
      </w:r>
      <w:r w:rsidR="00307AE0" w:rsidRPr="008A77F8">
        <w:t>(2020) 282 FCR 1855</w:t>
      </w:r>
      <w:r w:rsidRPr="008A77F8">
        <w:t xml:space="preserve"> [119].</w:t>
      </w:r>
    </w:p>
  </w:footnote>
  <w:footnote w:id="94">
    <w:p w14:paraId="7B1E1ED4" w14:textId="0407C491" w:rsidR="006C2151" w:rsidRPr="008A77F8" w:rsidRDefault="006C2151" w:rsidP="000F2F7C">
      <w:pPr>
        <w:pStyle w:val="FootnoteText"/>
      </w:pPr>
      <w:r w:rsidRPr="008A77F8">
        <w:rPr>
          <w:rStyle w:val="FootnoteReference"/>
        </w:rPr>
        <w:footnoteRef/>
      </w:r>
      <w:r w:rsidRPr="008A77F8">
        <w:t xml:space="preserve"> </w:t>
      </w:r>
      <w:r w:rsidR="009A707E">
        <w:t>Ibid</w:t>
      </w:r>
      <w:r w:rsidRPr="008A77F8">
        <w:t xml:space="preserve"> [119].</w:t>
      </w:r>
    </w:p>
  </w:footnote>
  <w:footnote w:id="95">
    <w:p w14:paraId="0F369B09" w14:textId="164BAA94" w:rsidR="00056365" w:rsidRPr="008A77F8" w:rsidRDefault="00056365" w:rsidP="000F2F7C">
      <w:pPr>
        <w:pStyle w:val="FootnoteText"/>
      </w:pPr>
      <w:r w:rsidRPr="008A77F8">
        <w:rPr>
          <w:rStyle w:val="FootnoteReference"/>
        </w:rPr>
        <w:footnoteRef/>
      </w:r>
      <w:r w:rsidRPr="008A77F8">
        <w:t xml:space="preserve"> </w:t>
      </w:r>
      <w:r w:rsidR="009A707E">
        <w:t>Ibid</w:t>
      </w:r>
      <w:r w:rsidRPr="008A77F8">
        <w:t xml:space="preserve"> [139].</w:t>
      </w:r>
    </w:p>
  </w:footnote>
  <w:footnote w:id="96">
    <w:p w14:paraId="7052E13A" w14:textId="54CF57BC" w:rsidR="0040128D" w:rsidRPr="008A77F8" w:rsidRDefault="0040128D"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[136].</w:t>
      </w:r>
      <w:r w:rsidR="007B0ECF" w:rsidRPr="007B0ECF">
        <w:rPr>
          <w:bCs/>
          <w:sz w:val="24"/>
          <w:szCs w:val="24"/>
        </w:rPr>
        <w:t xml:space="preserve"> </w:t>
      </w:r>
      <w:r w:rsidR="007B0ECF" w:rsidRPr="007B0ECF">
        <w:rPr>
          <w:bCs/>
        </w:rPr>
        <w:t xml:space="preserve">On appeal, the Full Federal Court emphasised the characterisation of this error as ‘unreasonableness’, rather than Griffiths J’s alternative characterisation. However, as noted below, Griffiths J’s alternative characterisation is consistent with how at least one member of a different Full Court proceeded in </w:t>
      </w:r>
      <w:r w:rsidR="007B0ECF" w:rsidRPr="007B0ECF">
        <w:rPr>
          <w:bCs/>
          <w:i/>
          <w:iCs/>
        </w:rPr>
        <w:t>ENT19</w:t>
      </w:r>
      <w:r w:rsidR="007B0ECF" w:rsidRPr="007B0ECF">
        <w:rPr>
          <w:bCs/>
        </w:rPr>
        <w:t>.</w:t>
      </w:r>
    </w:p>
  </w:footnote>
  <w:footnote w:id="97">
    <w:p w14:paraId="7CF7CE03" w14:textId="6F38F307" w:rsidR="004C11FB" w:rsidRPr="008A77F8" w:rsidRDefault="004C11FB"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[138].</w:t>
      </w:r>
    </w:p>
  </w:footnote>
  <w:footnote w:id="98">
    <w:p w14:paraId="02B7E94F" w14:textId="222252EA" w:rsidR="00172FC9" w:rsidRPr="008A77F8" w:rsidRDefault="00172FC9" w:rsidP="000F2F7C">
      <w:pPr>
        <w:pStyle w:val="FootnoteText"/>
      </w:pPr>
      <w:r w:rsidRPr="008A77F8">
        <w:rPr>
          <w:rStyle w:val="FootnoteReference"/>
        </w:rPr>
        <w:footnoteRef/>
      </w:r>
      <w:r w:rsidRPr="008A77F8">
        <w:t xml:space="preserve"> </w:t>
      </w:r>
      <w:r w:rsidR="00BF33DE">
        <w:rPr>
          <w:i/>
          <w:iCs/>
        </w:rPr>
        <w:t>Acting Minister for Immigration, Citizenship, Migrant Services and Multicultural Affairs v CWY20</w:t>
      </w:r>
      <w:r w:rsidRPr="008A77F8">
        <w:t xml:space="preserve"> </w:t>
      </w:r>
      <w:r w:rsidR="00307AE0" w:rsidRPr="008A77F8">
        <w:t>(2021) 288 FCR 565</w:t>
      </w:r>
      <w:r w:rsidRPr="008A77F8">
        <w:t>.</w:t>
      </w:r>
    </w:p>
  </w:footnote>
  <w:footnote w:id="99">
    <w:p w14:paraId="2C4DA042" w14:textId="2F0D3073" w:rsidR="00032FF7" w:rsidRPr="008A77F8" w:rsidRDefault="00032FF7"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 (Allsop CJ), [19] (Kenny J)</w:t>
      </w:r>
      <w:r w:rsidR="00AA30BB" w:rsidRPr="008A77F8">
        <w:t>, [176] (Kerr J) and [181] (Charlesworth J).</w:t>
      </w:r>
    </w:p>
  </w:footnote>
  <w:footnote w:id="100">
    <w:p w14:paraId="539AB24F" w14:textId="665779F8" w:rsidR="001E15FD" w:rsidRPr="008A77F8" w:rsidRDefault="001E15FD" w:rsidP="000F2F7C">
      <w:pPr>
        <w:pStyle w:val="FootnoteText"/>
      </w:pPr>
      <w:r w:rsidRPr="008A77F8">
        <w:rPr>
          <w:rStyle w:val="FootnoteReference"/>
        </w:rPr>
        <w:footnoteRef/>
      </w:r>
      <w:r w:rsidRPr="008A77F8">
        <w:t xml:space="preserve"> </w:t>
      </w:r>
      <w:r w:rsidR="009A707E">
        <w:t>Ibid</w:t>
      </w:r>
      <w:r w:rsidRPr="008A77F8">
        <w:t xml:space="preserve"> [155] (Besanko J).</w:t>
      </w:r>
    </w:p>
  </w:footnote>
  <w:footnote w:id="101">
    <w:p w14:paraId="5F1D1F5A" w14:textId="235FC5FE" w:rsidR="00FF521B" w:rsidRPr="008A77F8" w:rsidRDefault="00FF521B"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[157]</w:t>
      </w:r>
      <w:r w:rsidR="006547A2" w:rsidRPr="008A77F8">
        <w:t xml:space="preserve"> (Besanko J)</w:t>
      </w:r>
      <w:r w:rsidR="002D2FFC" w:rsidRPr="008A77F8">
        <w:t>; see also at [160].</w:t>
      </w:r>
    </w:p>
  </w:footnote>
  <w:footnote w:id="102">
    <w:p w14:paraId="3A2EAB81" w14:textId="7D570296" w:rsidR="007F5A0B" w:rsidRPr="008A77F8" w:rsidRDefault="007F5A0B" w:rsidP="000F2F7C">
      <w:pPr>
        <w:pStyle w:val="FootnoteText"/>
        <w:rPr>
          <w:lang w:val="en-US"/>
        </w:rPr>
      </w:pPr>
      <w:r w:rsidRPr="008A77F8">
        <w:rPr>
          <w:rStyle w:val="FootnoteReference"/>
        </w:rPr>
        <w:footnoteRef/>
      </w:r>
      <w:r w:rsidRPr="008A77F8">
        <w:t xml:space="preserve"> </w:t>
      </w:r>
      <w:r w:rsidR="009A707E">
        <w:t>Ibid</w:t>
      </w:r>
      <w:r w:rsidR="009A707E" w:rsidRPr="008A77F8">
        <w:t xml:space="preserve"> </w:t>
      </w:r>
      <w:r w:rsidRPr="008A77F8">
        <w:rPr>
          <w:lang w:val="en-US"/>
        </w:rPr>
        <w:t>[144] (Besanko J).</w:t>
      </w:r>
    </w:p>
  </w:footnote>
  <w:footnote w:id="103">
    <w:p w14:paraId="090E4F7A" w14:textId="61080A5B" w:rsidR="00835A29" w:rsidRPr="008A77F8" w:rsidRDefault="00835A29"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[164]</w:t>
      </w:r>
      <w:r w:rsidR="006547A2" w:rsidRPr="008A77F8">
        <w:t xml:space="preserve"> (Besanko J)</w:t>
      </w:r>
      <w:r w:rsidRPr="008A77F8">
        <w:t>.</w:t>
      </w:r>
    </w:p>
  </w:footnote>
  <w:footnote w:id="104">
    <w:p w14:paraId="36E16281" w14:textId="77FF02AE" w:rsidR="006E74F8" w:rsidRPr="008A77F8" w:rsidRDefault="006E74F8"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[169]</w:t>
      </w:r>
      <w:r w:rsidR="006547A2" w:rsidRPr="008A77F8">
        <w:t xml:space="preserve"> (Besanko J)</w:t>
      </w:r>
      <w:r w:rsidRPr="008A77F8">
        <w:t>.</w:t>
      </w:r>
    </w:p>
  </w:footnote>
  <w:footnote w:id="105">
    <w:p w14:paraId="32A342B4" w14:textId="3C57E9E9" w:rsidR="00FB33AD" w:rsidRPr="008A77F8" w:rsidRDefault="00FB33AD"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[170]</w:t>
      </w:r>
      <w:r w:rsidR="006547A2" w:rsidRPr="008A77F8">
        <w:t xml:space="preserve"> (Besanko J)</w:t>
      </w:r>
      <w:r w:rsidRPr="008A77F8">
        <w:t>.</w:t>
      </w:r>
    </w:p>
  </w:footnote>
  <w:footnote w:id="106">
    <w:p w14:paraId="6047A87D" w14:textId="3223A5A4" w:rsidR="00926C72" w:rsidRPr="008A77F8" w:rsidRDefault="00926C72" w:rsidP="000F2F7C">
      <w:pPr>
        <w:pStyle w:val="FootnoteText"/>
      </w:pPr>
      <w:r w:rsidRPr="008A77F8">
        <w:rPr>
          <w:rStyle w:val="FootnoteReference"/>
        </w:rPr>
        <w:footnoteRef/>
      </w:r>
      <w:r w:rsidRPr="008A77F8">
        <w:t xml:space="preserve"> </w:t>
      </w:r>
      <w:r w:rsidR="009A707E">
        <w:t>Ibid</w:t>
      </w:r>
      <w:r w:rsidRPr="008A77F8">
        <w:t xml:space="preserve"> [171]</w:t>
      </w:r>
      <w:r w:rsidR="006547A2" w:rsidRPr="008A77F8">
        <w:t xml:space="preserve"> (Besanko J)</w:t>
      </w:r>
      <w:r w:rsidRPr="008A77F8">
        <w:t>.</w:t>
      </w:r>
    </w:p>
  </w:footnote>
  <w:footnote w:id="107">
    <w:p w14:paraId="547C4099" w14:textId="4F57E48D" w:rsidR="003607F4" w:rsidRPr="008A77F8" w:rsidRDefault="003607F4"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[168]</w:t>
      </w:r>
      <w:r w:rsidR="006547A2" w:rsidRPr="008A77F8">
        <w:t xml:space="preserve"> (Besanko J)</w:t>
      </w:r>
      <w:r w:rsidRPr="008A77F8">
        <w:t>.</w:t>
      </w:r>
    </w:p>
  </w:footnote>
  <w:footnote w:id="108">
    <w:p w14:paraId="47DDC7A4" w14:textId="4ED3F567" w:rsidR="00342BCD" w:rsidRPr="008A77F8" w:rsidRDefault="00342BCD" w:rsidP="000F2F7C">
      <w:pPr>
        <w:pStyle w:val="FootnoteText"/>
      </w:pPr>
      <w:r w:rsidRPr="008A77F8">
        <w:rPr>
          <w:rStyle w:val="FootnoteReference"/>
        </w:rPr>
        <w:footnoteRef/>
      </w:r>
      <w:r w:rsidRPr="008A77F8">
        <w:t xml:space="preserve"> </w:t>
      </w:r>
      <w:r w:rsidR="009A707E">
        <w:t>Ibid</w:t>
      </w:r>
      <w:r w:rsidRPr="008A77F8">
        <w:t xml:space="preserve"> [9] (Allsop CJ).</w:t>
      </w:r>
    </w:p>
  </w:footnote>
  <w:footnote w:id="109">
    <w:p w14:paraId="63C1FAAF" w14:textId="5542B7D5" w:rsidR="006547A2" w:rsidRPr="008A77F8" w:rsidRDefault="006547A2"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[10] (Allsop CJ).</w:t>
      </w:r>
    </w:p>
  </w:footnote>
  <w:footnote w:id="110">
    <w:p w14:paraId="3FD8E96B" w14:textId="5E4F50C5" w:rsidR="001203D2" w:rsidRPr="008A77F8" w:rsidRDefault="001203D2" w:rsidP="000F2F7C">
      <w:pPr>
        <w:pStyle w:val="FootnoteText"/>
      </w:pPr>
      <w:r w:rsidRPr="008A77F8">
        <w:rPr>
          <w:rStyle w:val="FootnoteReference"/>
        </w:rPr>
        <w:footnoteRef/>
      </w:r>
      <w:r w:rsidRPr="008A77F8">
        <w:t xml:space="preserve"> </w:t>
      </w:r>
      <w:r w:rsidR="009A707E">
        <w:t>Ibid</w:t>
      </w:r>
      <w:r w:rsidR="009A707E" w:rsidRPr="008A77F8">
        <w:t xml:space="preserve"> </w:t>
      </w:r>
      <w:r w:rsidRPr="008A77F8">
        <w:t>[15] (Allsop CJ).</w:t>
      </w:r>
    </w:p>
  </w:footnote>
  <w:footnote w:id="111">
    <w:p w14:paraId="2885D62C" w14:textId="0E502908" w:rsidR="00766BC9" w:rsidRPr="008A77F8" w:rsidRDefault="00766BC9" w:rsidP="000F2F7C">
      <w:pPr>
        <w:pStyle w:val="FootnoteText"/>
      </w:pPr>
      <w:r w:rsidRPr="008A77F8">
        <w:rPr>
          <w:rStyle w:val="FootnoteReference"/>
        </w:rPr>
        <w:footnoteRef/>
      </w:r>
      <w:r w:rsidRPr="008A77F8">
        <w:t xml:space="preserve"> </w:t>
      </w:r>
      <w:r w:rsidR="00E90F2C" w:rsidRPr="008A77F8">
        <w:t xml:space="preserve">Appleby and Reilly (n </w:t>
      </w:r>
      <w:r w:rsidR="00DC24B6">
        <w:t>10</w:t>
      </w:r>
      <w:r w:rsidR="00E90F2C" w:rsidRPr="008A77F8">
        <w:t>) 304</w:t>
      </w:r>
      <w:r w:rsidR="00484E56" w:rsidRPr="008A77F8">
        <w:t>.</w:t>
      </w:r>
    </w:p>
  </w:footnote>
  <w:footnote w:id="112">
    <w:p w14:paraId="4DE07C38" w14:textId="088C9E8E" w:rsidR="00D744DA" w:rsidRPr="008A77F8" w:rsidRDefault="00D744DA" w:rsidP="000F2F7C">
      <w:pPr>
        <w:pStyle w:val="FootnoteText"/>
      </w:pPr>
      <w:r w:rsidRPr="008A77F8">
        <w:rPr>
          <w:rStyle w:val="FootnoteReference"/>
        </w:rPr>
        <w:footnoteRef/>
      </w:r>
      <w:r w:rsidRPr="008A77F8">
        <w:t xml:space="preserve"> </w:t>
      </w:r>
      <w:r w:rsidRPr="008A77F8">
        <w:rPr>
          <w:i/>
          <w:iCs/>
        </w:rPr>
        <w:t xml:space="preserve">ENT19 </w:t>
      </w:r>
      <w:r w:rsidR="006520A4">
        <w:rPr>
          <w:i/>
          <w:iCs/>
        </w:rPr>
        <w:t>v Minister for Home Affairs</w:t>
      </w:r>
      <w:r w:rsidRPr="008A77F8">
        <w:t xml:space="preserve"> (2021) 289 FCR 100 [6].</w:t>
      </w:r>
    </w:p>
  </w:footnote>
  <w:footnote w:id="113">
    <w:p w14:paraId="53BA1CDD" w14:textId="04F0D8B4" w:rsidR="00C15EC3" w:rsidRPr="008A77F8" w:rsidRDefault="00C15EC3" w:rsidP="000F2F7C">
      <w:pPr>
        <w:pStyle w:val="FootnoteText"/>
        <w:rPr>
          <w:lang w:val="en-US"/>
        </w:rPr>
      </w:pPr>
      <w:r w:rsidRPr="008A77F8">
        <w:rPr>
          <w:rStyle w:val="FootnoteReference"/>
        </w:rPr>
        <w:footnoteRef/>
      </w:r>
      <w:r w:rsidRPr="008A77F8">
        <w:t xml:space="preserve"> </w:t>
      </w:r>
      <w:r w:rsidR="009E3884" w:rsidRPr="008A77F8">
        <w:t>As the High Court noted</w:t>
      </w:r>
      <w:r w:rsidR="00376C50">
        <w:t xml:space="preserve"> in later proceedings regarding ENT19</w:t>
      </w:r>
      <w:r w:rsidR="00DC24B6">
        <w:t>,</w:t>
      </w:r>
      <w:r w:rsidR="00DC24B6" w:rsidRPr="008A77F8">
        <w:t xml:space="preserve"> </w:t>
      </w:r>
      <w:r w:rsidR="009E3884" w:rsidRPr="008A77F8">
        <w:t>‘</w:t>
      </w:r>
      <w:r w:rsidR="00DC24B6">
        <w:t>[t]</w:t>
      </w:r>
      <w:r w:rsidR="00DC24B6" w:rsidRPr="008A77F8">
        <w:t xml:space="preserve">he </w:t>
      </w:r>
      <w:r w:rsidR="009E3884" w:rsidRPr="008A77F8">
        <w:t>sentencing judge found that the plaintiff was required to work for the people smugglers in a "people management role" to pay for his passage to Australia to be reunited with his family</w:t>
      </w:r>
      <w:r w:rsidR="009E3884" w:rsidRPr="008A77F8">
        <w:rPr>
          <w:lang w:val="en-US"/>
        </w:rPr>
        <w:t xml:space="preserve">’: </w:t>
      </w:r>
      <w:r w:rsidR="009E3884" w:rsidRPr="008A77F8">
        <w:rPr>
          <w:i/>
          <w:iCs/>
          <w:lang w:val="en-US"/>
        </w:rPr>
        <w:t>ENT19 v Minister for Home Affairs</w:t>
      </w:r>
      <w:r w:rsidR="00AA2925" w:rsidRPr="008A77F8">
        <w:rPr>
          <w:lang w:val="en-US"/>
        </w:rPr>
        <w:t xml:space="preserve"> </w:t>
      </w:r>
      <w:r w:rsidR="00EC2032" w:rsidRPr="00EC2032">
        <w:t>(2023) 278 CLR 75</w:t>
      </w:r>
      <w:r w:rsidR="00AA2925" w:rsidRPr="008A77F8">
        <w:rPr>
          <w:lang w:val="en-US"/>
        </w:rPr>
        <w:t xml:space="preserve"> [46].</w:t>
      </w:r>
    </w:p>
  </w:footnote>
  <w:footnote w:id="114">
    <w:p w14:paraId="380A5B6B" w14:textId="69028824" w:rsidR="00D744DA" w:rsidRPr="008A77F8" w:rsidRDefault="00D744DA" w:rsidP="000F2F7C">
      <w:pPr>
        <w:pStyle w:val="FootnoteText"/>
      </w:pPr>
      <w:r w:rsidRPr="008A77F8">
        <w:rPr>
          <w:rStyle w:val="FootnoteReference"/>
        </w:rPr>
        <w:footnoteRef/>
      </w:r>
      <w:r w:rsidRPr="008A77F8">
        <w:t xml:space="preserve"> </w:t>
      </w:r>
      <w:r w:rsidRPr="008A77F8">
        <w:rPr>
          <w:i/>
          <w:iCs/>
        </w:rPr>
        <w:t xml:space="preserve">ENT19 </w:t>
      </w:r>
      <w:r w:rsidR="006520A4">
        <w:rPr>
          <w:i/>
          <w:iCs/>
        </w:rPr>
        <w:t>v Minister for Home Affairs</w:t>
      </w:r>
      <w:r w:rsidRPr="008A77F8">
        <w:t xml:space="preserve"> (2021) 289 FCR 100 [18].</w:t>
      </w:r>
    </w:p>
  </w:footnote>
  <w:footnote w:id="115">
    <w:p w14:paraId="0061E101" w14:textId="4D6ED7C5" w:rsidR="00D744DA" w:rsidRPr="008A77F8" w:rsidRDefault="00D744DA" w:rsidP="000F2F7C">
      <w:pPr>
        <w:pStyle w:val="FootnoteText"/>
      </w:pPr>
      <w:r w:rsidRPr="008A77F8">
        <w:rPr>
          <w:rStyle w:val="FootnoteReference"/>
        </w:rPr>
        <w:footnoteRef/>
      </w:r>
      <w:r w:rsidRPr="008A77F8">
        <w:t xml:space="preserve"> </w:t>
      </w:r>
      <w:r w:rsidR="00F844F2">
        <w:t>Ibid</w:t>
      </w:r>
      <w:r w:rsidRPr="008A77F8">
        <w:t xml:space="preserve"> [11]-[13].</w:t>
      </w:r>
    </w:p>
  </w:footnote>
  <w:footnote w:id="116">
    <w:p w14:paraId="09943327" w14:textId="4BE70A44" w:rsidR="009E0DF6" w:rsidRPr="008A77F8" w:rsidRDefault="009E0DF6" w:rsidP="000F2F7C">
      <w:pPr>
        <w:pStyle w:val="FootnoteText"/>
      </w:pPr>
      <w:r w:rsidRPr="008A77F8">
        <w:rPr>
          <w:rStyle w:val="FootnoteReference"/>
        </w:rPr>
        <w:footnoteRef/>
      </w:r>
      <w:r w:rsidRPr="008A77F8">
        <w:t xml:space="preserve"> </w:t>
      </w:r>
      <w:r w:rsidR="00F844F2">
        <w:t>Ibid</w:t>
      </w:r>
      <w:r w:rsidR="00F844F2" w:rsidRPr="008A77F8">
        <w:t xml:space="preserve"> </w:t>
      </w:r>
      <w:r w:rsidRPr="008A77F8">
        <w:t>[69] (Katzmann J).</w:t>
      </w:r>
    </w:p>
  </w:footnote>
  <w:footnote w:id="117">
    <w:p w14:paraId="4601A1A1" w14:textId="713B0217" w:rsidR="00D744DA" w:rsidRPr="008A77F8" w:rsidRDefault="00D744DA" w:rsidP="000F2F7C">
      <w:pPr>
        <w:pStyle w:val="FootnoteText"/>
      </w:pPr>
      <w:r w:rsidRPr="008A77F8">
        <w:rPr>
          <w:rStyle w:val="FootnoteReference"/>
        </w:rPr>
        <w:footnoteRef/>
      </w:r>
      <w:r w:rsidRPr="008A77F8">
        <w:t xml:space="preserve"> </w:t>
      </w:r>
      <w:r w:rsidRPr="008A77F8">
        <w:rPr>
          <w:i/>
          <w:iCs/>
        </w:rPr>
        <w:t xml:space="preserve">ENT19 </w:t>
      </w:r>
      <w:r w:rsidR="006520A4">
        <w:rPr>
          <w:i/>
          <w:iCs/>
        </w:rPr>
        <w:t>v Minister for Home Affairs</w:t>
      </w:r>
      <w:r w:rsidRPr="008A77F8">
        <w:t xml:space="preserve"> [2020] FCCA 2653.</w:t>
      </w:r>
    </w:p>
  </w:footnote>
  <w:footnote w:id="118">
    <w:p w14:paraId="2B11C8F8" w14:textId="5474D71D" w:rsidR="00DD052B" w:rsidRPr="008A77F8" w:rsidRDefault="00DD052B" w:rsidP="000F2F7C">
      <w:pPr>
        <w:pStyle w:val="FootnoteText"/>
      </w:pPr>
      <w:r w:rsidRPr="008A77F8">
        <w:rPr>
          <w:rStyle w:val="FootnoteReference"/>
        </w:rPr>
        <w:footnoteRef/>
      </w:r>
      <w:r w:rsidRPr="008A77F8">
        <w:t xml:space="preserve"> </w:t>
      </w:r>
      <w:r w:rsidRPr="008A77F8">
        <w:rPr>
          <w:i/>
          <w:iCs/>
        </w:rPr>
        <w:t xml:space="preserve">ENT19 </w:t>
      </w:r>
      <w:r w:rsidR="006520A4">
        <w:rPr>
          <w:i/>
          <w:iCs/>
        </w:rPr>
        <w:t>v Minister for Home Affairs</w:t>
      </w:r>
      <w:r w:rsidRPr="008A77F8">
        <w:t xml:space="preserve"> </w:t>
      </w:r>
      <w:r w:rsidR="005A3DAB" w:rsidRPr="008A77F8">
        <w:t>(2021) 289 FCR 100</w:t>
      </w:r>
      <w:r w:rsidRPr="008A77F8">
        <w:t>.</w:t>
      </w:r>
    </w:p>
  </w:footnote>
  <w:footnote w:id="119">
    <w:p w14:paraId="07F526CE" w14:textId="68216DC5" w:rsidR="00120077" w:rsidRPr="008A77F8" w:rsidRDefault="00120077" w:rsidP="000F2F7C">
      <w:pPr>
        <w:pStyle w:val="FootnoteText"/>
      </w:pPr>
      <w:r w:rsidRPr="008A77F8">
        <w:rPr>
          <w:rStyle w:val="FootnoteReference"/>
        </w:rPr>
        <w:footnoteRef/>
      </w:r>
      <w:r w:rsidRPr="008A77F8">
        <w:t xml:space="preserve"> </w:t>
      </w:r>
      <w:r w:rsidR="00BF33DE">
        <w:rPr>
          <w:i/>
          <w:iCs/>
        </w:rPr>
        <w:t>Acting Minister for Immigration, Citizenship, Migrant Services and Multicultural Affairs v CWY20</w:t>
      </w:r>
      <w:r w:rsidRPr="008A77F8">
        <w:t xml:space="preserve"> (2021) 288 FCR 565 [144] (Besanko J).</w:t>
      </w:r>
    </w:p>
  </w:footnote>
  <w:footnote w:id="120">
    <w:p w14:paraId="2E94388E" w14:textId="78EDB12A" w:rsidR="00C44FA4" w:rsidRPr="008A77F8" w:rsidRDefault="00C44FA4" w:rsidP="000F2F7C">
      <w:pPr>
        <w:pStyle w:val="FootnoteText"/>
      </w:pPr>
      <w:r w:rsidRPr="008A77F8">
        <w:rPr>
          <w:rStyle w:val="FootnoteReference"/>
        </w:rPr>
        <w:footnoteRef/>
      </w:r>
      <w:r w:rsidRPr="008A77F8">
        <w:t xml:space="preserve"> </w:t>
      </w:r>
      <w:r w:rsidRPr="008A77F8">
        <w:rPr>
          <w:i/>
          <w:iCs/>
        </w:rPr>
        <w:t xml:space="preserve">ENT19 </w:t>
      </w:r>
      <w:r w:rsidR="006520A4">
        <w:rPr>
          <w:i/>
          <w:iCs/>
        </w:rPr>
        <w:t>v Minister for Home Affairs</w:t>
      </w:r>
      <w:r w:rsidRPr="008A77F8">
        <w:t xml:space="preserve"> </w:t>
      </w:r>
      <w:r w:rsidR="005A3DAB" w:rsidRPr="008A77F8">
        <w:t>(2021) 289 FCR 100</w:t>
      </w:r>
      <w:r w:rsidRPr="008A77F8">
        <w:t xml:space="preserve"> [81]</w:t>
      </w:r>
      <w:r w:rsidR="00AC4961" w:rsidRPr="008A77F8">
        <w:t xml:space="preserve"> (Katzmann J)</w:t>
      </w:r>
      <w:r w:rsidRPr="008A77F8">
        <w:t>.</w:t>
      </w:r>
    </w:p>
  </w:footnote>
  <w:footnote w:id="121">
    <w:p w14:paraId="1CE1CA98" w14:textId="7E802545" w:rsidR="00A123F6" w:rsidRPr="008A77F8" w:rsidRDefault="00A123F6" w:rsidP="000F2F7C">
      <w:pPr>
        <w:pStyle w:val="FootnoteText"/>
      </w:pPr>
      <w:r w:rsidRPr="008A77F8">
        <w:rPr>
          <w:rStyle w:val="FootnoteReference"/>
        </w:rPr>
        <w:footnoteRef/>
      </w:r>
      <w:r w:rsidRPr="008A77F8">
        <w:t xml:space="preserve"> </w:t>
      </w:r>
      <w:r w:rsidR="00F844F2">
        <w:t>Ibid</w:t>
      </w:r>
      <w:r w:rsidRPr="008A77F8">
        <w:t xml:space="preserve"> [98] (Katzmann J).</w:t>
      </w:r>
    </w:p>
  </w:footnote>
  <w:footnote w:id="122">
    <w:p w14:paraId="1937ECCF" w14:textId="6FF16D43" w:rsidR="009705BA" w:rsidRPr="008A77F8" w:rsidRDefault="009705BA" w:rsidP="000F2F7C">
      <w:pPr>
        <w:pStyle w:val="FootnoteText"/>
      </w:pPr>
      <w:r w:rsidRPr="008A77F8">
        <w:rPr>
          <w:rStyle w:val="FootnoteReference"/>
        </w:rPr>
        <w:footnoteRef/>
      </w:r>
      <w:r w:rsidRPr="008A77F8">
        <w:t xml:space="preserve"> </w:t>
      </w:r>
      <w:r w:rsidR="00F844F2">
        <w:t>Ibid</w:t>
      </w:r>
      <w:r w:rsidR="00F844F2" w:rsidRPr="008A77F8">
        <w:t xml:space="preserve"> </w:t>
      </w:r>
      <w:r w:rsidRPr="008A77F8">
        <w:t>[103] (Katzmann J).</w:t>
      </w:r>
    </w:p>
  </w:footnote>
  <w:footnote w:id="123">
    <w:p w14:paraId="01BD8EA5" w14:textId="51E18A61" w:rsidR="004A42E3" w:rsidRPr="008A77F8" w:rsidRDefault="004A42E3" w:rsidP="000F2F7C">
      <w:pPr>
        <w:pStyle w:val="FootnoteText"/>
      </w:pPr>
      <w:r w:rsidRPr="008A77F8">
        <w:rPr>
          <w:rStyle w:val="FootnoteReference"/>
        </w:rPr>
        <w:footnoteRef/>
      </w:r>
      <w:r w:rsidRPr="008A77F8">
        <w:t xml:space="preserve"> </w:t>
      </w:r>
      <w:r w:rsidR="00F844F2">
        <w:t>Ibid</w:t>
      </w:r>
      <w:r w:rsidR="00F844F2" w:rsidRPr="008A77F8">
        <w:t xml:space="preserve"> </w:t>
      </w:r>
      <w:r w:rsidRPr="008A77F8">
        <w:t>[107] (Katzmann J).</w:t>
      </w:r>
    </w:p>
  </w:footnote>
  <w:footnote w:id="124">
    <w:p w14:paraId="163F3331" w14:textId="7B054C13" w:rsidR="008C11AE" w:rsidRPr="008A77F8" w:rsidRDefault="008C11AE" w:rsidP="000F2F7C">
      <w:pPr>
        <w:pStyle w:val="FootnoteText"/>
      </w:pPr>
      <w:r w:rsidRPr="008A77F8">
        <w:rPr>
          <w:rStyle w:val="FootnoteReference"/>
        </w:rPr>
        <w:footnoteRef/>
      </w:r>
      <w:r w:rsidRPr="008A77F8">
        <w:t xml:space="preserve"> </w:t>
      </w:r>
      <w:r w:rsidR="00F844F2">
        <w:t>Ibid</w:t>
      </w:r>
      <w:r w:rsidRPr="008A77F8">
        <w:t xml:space="preserve"> [108]</w:t>
      </w:r>
      <w:r w:rsidR="003F4E31">
        <w:t xml:space="preserve"> (Katzmann J)</w:t>
      </w:r>
      <w:r w:rsidRPr="008A77F8">
        <w:t>.</w:t>
      </w:r>
    </w:p>
  </w:footnote>
  <w:footnote w:id="125">
    <w:p w14:paraId="4B63E591" w14:textId="07F5B9E1" w:rsidR="002A17DE" w:rsidRPr="008A77F8" w:rsidRDefault="002A17DE" w:rsidP="000F2F7C">
      <w:pPr>
        <w:pStyle w:val="FootnoteText"/>
      </w:pPr>
      <w:r w:rsidRPr="008A77F8">
        <w:rPr>
          <w:rStyle w:val="FootnoteReference"/>
        </w:rPr>
        <w:footnoteRef/>
      </w:r>
      <w:r w:rsidRPr="008A77F8">
        <w:t xml:space="preserve"> </w:t>
      </w:r>
      <w:r w:rsidR="00F844F2">
        <w:t>Ibid</w:t>
      </w:r>
      <w:r w:rsidR="00F844F2" w:rsidRPr="008A77F8">
        <w:t xml:space="preserve"> </w:t>
      </w:r>
      <w:r w:rsidRPr="008A77F8">
        <w:t>[1] (Collier J) and [138] (Wheelahan J).</w:t>
      </w:r>
    </w:p>
  </w:footnote>
  <w:footnote w:id="126">
    <w:p w14:paraId="04028B93" w14:textId="7B814EA0" w:rsidR="006664D5" w:rsidRDefault="006664D5">
      <w:pPr>
        <w:pStyle w:val="FootnoteText"/>
      </w:pPr>
      <w:r>
        <w:rPr>
          <w:rStyle w:val="FootnoteReference"/>
        </w:rPr>
        <w:footnoteRef/>
      </w:r>
      <w:r>
        <w:t xml:space="preserve"> After the High Court judgment, ENT19 was ultimately granted a visa.</w:t>
      </w:r>
    </w:p>
  </w:footnote>
  <w:footnote w:id="127">
    <w:p w14:paraId="4FCDBA62" w14:textId="50BDB03C" w:rsidR="005708A6" w:rsidRPr="005708A6" w:rsidRDefault="005708A6">
      <w:pPr>
        <w:pStyle w:val="FootnoteText"/>
      </w:pPr>
      <w:r>
        <w:rPr>
          <w:rStyle w:val="FootnoteReference"/>
        </w:rPr>
        <w:footnoteRef/>
      </w:r>
      <w:r>
        <w:t xml:space="preserve"> </w:t>
      </w:r>
      <w:r>
        <w:rPr>
          <w:i/>
          <w:iCs/>
        </w:rPr>
        <w:t xml:space="preserve">ENT19 v Minister for Home Affairs </w:t>
      </w:r>
      <w:r>
        <w:t>(2023) 278 CLR 75 [78].</w:t>
      </w:r>
    </w:p>
  </w:footnote>
  <w:footnote w:id="128">
    <w:p w14:paraId="44EF5E24" w14:textId="105CC3E3" w:rsidR="004F6510" w:rsidRPr="00BE6C7F" w:rsidRDefault="004F6510">
      <w:pPr>
        <w:pStyle w:val="FootnoteText"/>
        <w:rPr>
          <w:i/>
          <w:iCs/>
        </w:rPr>
      </w:pPr>
      <w:r>
        <w:rPr>
          <w:rStyle w:val="FootnoteReference"/>
        </w:rPr>
        <w:footnoteRef/>
      </w:r>
      <w:r>
        <w:t xml:space="preserve"> </w:t>
      </w:r>
      <w:r w:rsidR="00F844F2">
        <w:t>Ibid</w:t>
      </w:r>
      <w:r w:rsidR="00F844F2" w:rsidRPr="008A77F8">
        <w:t xml:space="preserve"> </w:t>
      </w:r>
      <w:r w:rsidRPr="004F6510">
        <w:t>[</w:t>
      </w:r>
      <w:r>
        <w:t>97</w:t>
      </w:r>
      <w:r w:rsidRPr="004F6510">
        <w:t>].</w:t>
      </w:r>
    </w:p>
  </w:footnote>
  <w:footnote w:id="129">
    <w:p w14:paraId="1D2EB5BA" w14:textId="6432369E" w:rsidR="00C92E06" w:rsidRPr="00C92E06" w:rsidRDefault="00C92E06">
      <w:pPr>
        <w:pStyle w:val="FootnoteText"/>
      </w:pPr>
      <w:r>
        <w:rPr>
          <w:rStyle w:val="FootnoteReference"/>
        </w:rPr>
        <w:footnoteRef/>
      </w:r>
      <w:r>
        <w:t xml:space="preserve"> </w:t>
      </w:r>
      <w:r w:rsidR="006664D5">
        <w:t xml:space="preserve">Ibid </w:t>
      </w:r>
      <w:r>
        <w:t>[104].</w:t>
      </w:r>
    </w:p>
  </w:footnote>
  <w:footnote w:id="130">
    <w:p w14:paraId="48579EEE" w14:textId="4B89F8DF" w:rsidR="009C3DDD" w:rsidRPr="008A77F8" w:rsidRDefault="009C3DDD" w:rsidP="000F2F7C">
      <w:pPr>
        <w:pStyle w:val="FootnoteText"/>
        <w:rPr>
          <w:lang w:val="en-US"/>
        </w:rPr>
      </w:pPr>
      <w:r w:rsidRPr="008A77F8">
        <w:rPr>
          <w:rStyle w:val="FootnoteReference"/>
        </w:rPr>
        <w:footnoteRef/>
      </w:r>
      <w:r w:rsidRPr="008A77F8">
        <w:t xml:space="preserve"> </w:t>
      </w:r>
      <w:r w:rsidRPr="00BE6C7F">
        <w:rPr>
          <w:i/>
          <w:iCs/>
        </w:rPr>
        <w:t xml:space="preserve">Plaintiff M1/2021 </w:t>
      </w:r>
      <w:r w:rsidR="006520A4">
        <w:rPr>
          <w:i/>
          <w:iCs/>
        </w:rPr>
        <w:t>v Minister for Home Affairs</w:t>
      </w:r>
      <w:r w:rsidRPr="008A77F8">
        <w:t xml:space="preserve"> </w:t>
      </w:r>
      <w:r w:rsidR="00F83C63" w:rsidRPr="008A77F8">
        <w:t xml:space="preserve">(2022) </w:t>
      </w:r>
      <w:r w:rsidR="00BE4F17">
        <w:t>275 CLR 582</w:t>
      </w:r>
      <w:r w:rsidRPr="008A77F8">
        <w:t>.</w:t>
      </w:r>
    </w:p>
  </w:footnote>
  <w:footnote w:id="131">
    <w:p w14:paraId="08274569" w14:textId="3D5BB6FF" w:rsidR="006D20FE" w:rsidRPr="008A77F8" w:rsidRDefault="006D20FE" w:rsidP="000F2F7C">
      <w:pPr>
        <w:pStyle w:val="FootnoteText"/>
      </w:pPr>
      <w:r w:rsidRPr="008A77F8">
        <w:rPr>
          <w:rStyle w:val="FootnoteReference"/>
        </w:rPr>
        <w:footnoteRef/>
      </w:r>
      <w:r w:rsidRPr="008A77F8">
        <w:t xml:space="preserve"> </w:t>
      </w:r>
      <w:r w:rsidR="00F844F2">
        <w:t>Ibid</w:t>
      </w:r>
      <w:r w:rsidRPr="008A77F8">
        <w:t xml:space="preserve"> [18] (Kiefel CJ, Keane, Gordon and Steward JJ).</w:t>
      </w:r>
    </w:p>
  </w:footnote>
  <w:footnote w:id="132">
    <w:p w14:paraId="659E7BBF" w14:textId="45A5DE3D" w:rsidR="006D20FE" w:rsidRPr="008A77F8" w:rsidRDefault="006D20FE" w:rsidP="000F2F7C">
      <w:pPr>
        <w:pStyle w:val="FootnoteText"/>
      </w:pPr>
      <w:r w:rsidRPr="008A77F8">
        <w:rPr>
          <w:rStyle w:val="FootnoteReference"/>
        </w:rPr>
        <w:footnoteRef/>
      </w:r>
      <w:r w:rsidRPr="008A77F8">
        <w:t xml:space="preserve"> </w:t>
      </w:r>
      <w:r w:rsidR="00F07945">
        <w:t>Ibid</w:t>
      </w:r>
      <w:r w:rsidR="00F07945" w:rsidRPr="008A77F8">
        <w:t xml:space="preserve"> </w:t>
      </w:r>
      <w:r w:rsidRPr="008A77F8">
        <w:t>[34] (Kiefel CJ, Keane, Gordon and Steward JJ).</w:t>
      </w:r>
    </w:p>
  </w:footnote>
  <w:footnote w:id="133">
    <w:p w14:paraId="0BFE4DD8" w14:textId="7C440124" w:rsidR="006D20FE" w:rsidRPr="008A77F8" w:rsidRDefault="006D20FE" w:rsidP="000F2F7C">
      <w:pPr>
        <w:pStyle w:val="FootnoteText"/>
      </w:pPr>
      <w:r w:rsidRPr="008A77F8">
        <w:rPr>
          <w:rStyle w:val="FootnoteReference"/>
        </w:rPr>
        <w:footnoteRef/>
      </w:r>
      <w:r w:rsidRPr="008A77F8">
        <w:t xml:space="preserve"> </w:t>
      </w:r>
      <w:r w:rsidR="00F07945">
        <w:t>Ibid</w:t>
      </w:r>
    </w:p>
  </w:footnote>
  <w:footnote w:id="134">
    <w:p w14:paraId="252E46B8" w14:textId="7D5CD6DF" w:rsidR="007B4287" w:rsidRPr="008A77F8" w:rsidRDefault="007B4287" w:rsidP="000F2F7C">
      <w:pPr>
        <w:pStyle w:val="FootnoteText"/>
      </w:pPr>
      <w:r w:rsidRPr="008A77F8">
        <w:rPr>
          <w:rStyle w:val="FootnoteReference"/>
        </w:rPr>
        <w:footnoteRef/>
      </w:r>
      <w:r w:rsidRPr="008A77F8">
        <w:t xml:space="preserve"> (1995) 183 CLR 273.</w:t>
      </w:r>
    </w:p>
  </w:footnote>
  <w:footnote w:id="135">
    <w:p w14:paraId="73CDFE66" w14:textId="013D0EBA" w:rsidR="00E03B29" w:rsidRPr="008A77F8" w:rsidRDefault="00E03B29" w:rsidP="000F2F7C">
      <w:pPr>
        <w:pStyle w:val="FootnoteText"/>
      </w:pPr>
      <w:r w:rsidRPr="008A77F8">
        <w:rPr>
          <w:rStyle w:val="FootnoteReference"/>
        </w:rPr>
        <w:footnoteRef/>
      </w:r>
      <w:r w:rsidRPr="008A77F8">
        <w:t xml:space="preserve"> </w:t>
      </w:r>
      <w:r w:rsidR="00F61DC6">
        <w:t>Ibid</w:t>
      </w:r>
      <w:r w:rsidR="00F61DC6" w:rsidRPr="008A77F8">
        <w:t xml:space="preserve"> </w:t>
      </w:r>
      <w:r w:rsidRPr="008A77F8">
        <w:t>293.</w:t>
      </w:r>
    </w:p>
  </w:footnote>
  <w:footnote w:id="136">
    <w:p w14:paraId="5CDAED90" w14:textId="0D7B713D" w:rsidR="00B832D6" w:rsidRPr="008A77F8" w:rsidRDefault="00B832D6" w:rsidP="000F2F7C">
      <w:pPr>
        <w:pStyle w:val="FootnoteText"/>
      </w:pPr>
      <w:r w:rsidRPr="008A77F8">
        <w:rPr>
          <w:rStyle w:val="FootnoteReference"/>
        </w:rPr>
        <w:footnoteRef/>
      </w:r>
      <w:r w:rsidRPr="008A77F8">
        <w:t xml:space="preserve"> </w:t>
      </w:r>
      <w:r w:rsidR="00BF33DE">
        <w:rPr>
          <w:i/>
          <w:iCs/>
        </w:rPr>
        <w:t>CWY20 v Minister for Immigration, Citizenship, Migrant Services and Multicultural Affairs</w:t>
      </w:r>
      <w:r w:rsidRPr="008A77F8">
        <w:t xml:space="preserve"> (2020) 282 FCR 1855 [123].</w:t>
      </w:r>
    </w:p>
  </w:footnote>
  <w:footnote w:id="137">
    <w:p w14:paraId="4AF9B4FF" w14:textId="0C099DA1" w:rsidR="00B832D6" w:rsidRPr="008A77F8" w:rsidRDefault="00B832D6" w:rsidP="000F2F7C">
      <w:pPr>
        <w:pStyle w:val="FootnoteText"/>
      </w:pPr>
      <w:r w:rsidRPr="008A77F8">
        <w:rPr>
          <w:rStyle w:val="FootnoteReference"/>
        </w:rPr>
        <w:footnoteRef/>
      </w:r>
      <w:r w:rsidRPr="008A77F8">
        <w:t xml:space="preserve"> </w:t>
      </w:r>
      <w:r w:rsidR="00BF33DE">
        <w:rPr>
          <w:i/>
          <w:iCs/>
        </w:rPr>
        <w:t>Acting Minister for Immigration, Citizenship, Migrant Services and Multicultural Affairs v CWY20</w:t>
      </w:r>
      <w:r w:rsidRPr="008A77F8">
        <w:t xml:space="preserve"> (2021) 288 FCR 565 [168] (Besanko J).</w:t>
      </w:r>
    </w:p>
  </w:footnote>
  <w:footnote w:id="138">
    <w:p w14:paraId="09177BAC" w14:textId="55C477DA" w:rsidR="00C86454" w:rsidRPr="008A77F8" w:rsidRDefault="00C86454" w:rsidP="000F2F7C">
      <w:pPr>
        <w:pStyle w:val="FootnoteText"/>
      </w:pPr>
      <w:r w:rsidRPr="008A77F8">
        <w:rPr>
          <w:rStyle w:val="FootnoteReference"/>
        </w:rPr>
        <w:footnoteRef/>
      </w:r>
      <w:r w:rsidRPr="008A77F8">
        <w:t xml:space="preserve"> </w:t>
      </w:r>
      <w:r w:rsidR="006B38EC" w:rsidRPr="008A77F8">
        <w:rPr>
          <w:i/>
          <w:iCs/>
        </w:rPr>
        <w:t xml:space="preserve">Re </w:t>
      </w:r>
      <w:r w:rsidR="00D26128">
        <w:rPr>
          <w:i/>
          <w:iCs/>
        </w:rPr>
        <w:t>Minister for Immigration and Multicultural Affairs</w:t>
      </w:r>
      <w:r w:rsidR="006B38EC" w:rsidRPr="008A77F8">
        <w:rPr>
          <w:i/>
          <w:iCs/>
        </w:rPr>
        <w:t>; Ex parte Lam</w:t>
      </w:r>
      <w:r w:rsidR="006B38EC" w:rsidRPr="008A77F8">
        <w:t xml:space="preserve"> (2003) 214 CLR 1 [101] (McHugh and Gummow JJ).</w:t>
      </w:r>
    </w:p>
  </w:footnote>
  <w:footnote w:id="139">
    <w:p w14:paraId="694599C8" w14:textId="7EA46EDB" w:rsidR="006B38EC" w:rsidRPr="008A77F8" w:rsidRDefault="006B38EC" w:rsidP="000F2F7C">
      <w:pPr>
        <w:pStyle w:val="FootnoteText"/>
      </w:pPr>
      <w:r w:rsidRPr="008A77F8">
        <w:rPr>
          <w:rStyle w:val="FootnoteReference"/>
        </w:rPr>
        <w:footnoteRef/>
      </w:r>
      <w:r w:rsidRPr="008A77F8">
        <w:t xml:space="preserve"> </w:t>
      </w:r>
      <w:r w:rsidR="00F61DC6">
        <w:t>Ibid</w:t>
      </w:r>
      <w:r w:rsidR="00F61DC6" w:rsidRPr="008A77F8">
        <w:t xml:space="preserve"> </w:t>
      </w:r>
      <w:r w:rsidRPr="008A77F8">
        <w:t>[102] (McHugh and Gummow JJ), [122] (Hayne J) and [152] (Callinan J).</w:t>
      </w:r>
    </w:p>
  </w:footnote>
  <w:footnote w:id="140">
    <w:p w14:paraId="1B70171A" w14:textId="483A8B23" w:rsidR="0032364C" w:rsidRPr="008A77F8" w:rsidRDefault="0032364C" w:rsidP="000F2F7C">
      <w:pPr>
        <w:pStyle w:val="FootnoteText"/>
      </w:pPr>
      <w:r w:rsidRPr="008A77F8">
        <w:rPr>
          <w:rStyle w:val="FootnoteReference"/>
        </w:rPr>
        <w:footnoteRef/>
      </w:r>
      <w:r w:rsidRPr="008A77F8">
        <w:t xml:space="preserve"> </w:t>
      </w:r>
      <w:r w:rsidR="00D26128">
        <w:rPr>
          <w:i/>
          <w:iCs/>
        </w:rPr>
        <w:t>Minister for Immigration and Border Protection</w:t>
      </w:r>
      <w:r w:rsidRPr="008A77F8">
        <w:rPr>
          <w:i/>
          <w:iCs/>
        </w:rPr>
        <w:t xml:space="preserve"> v WZARH</w:t>
      </w:r>
      <w:r w:rsidRPr="008A77F8">
        <w:t xml:space="preserve"> (2015) 256 CLR 326</w:t>
      </w:r>
      <w:r w:rsidR="00FA7287" w:rsidRPr="008A77F8">
        <w:t xml:space="preserve"> [28]-[30] (Kiefel, Bell and Keane JJ) and [61] (Gageler and Gordon JJ).</w:t>
      </w:r>
    </w:p>
  </w:footnote>
  <w:footnote w:id="141">
    <w:p w14:paraId="35FD09D2" w14:textId="0EB62F65" w:rsidR="006D20FE" w:rsidRPr="008A77F8" w:rsidRDefault="006D20FE" w:rsidP="000F2F7C">
      <w:pPr>
        <w:pStyle w:val="FootnoteText"/>
      </w:pPr>
      <w:r w:rsidRPr="008A77F8">
        <w:rPr>
          <w:rStyle w:val="FootnoteReference"/>
        </w:rPr>
        <w:footnoteRef/>
      </w:r>
      <w:r w:rsidRPr="008A77F8">
        <w:t xml:space="preserve"> </w:t>
      </w:r>
      <w:r w:rsidRPr="008A77F8">
        <w:rPr>
          <w:i/>
          <w:iCs/>
        </w:rPr>
        <w:t xml:space="preserve">Plaintiff M1/2021 </w:t>
      </w:r>
      <w:r w:rsidR="006520A4">
        <w:rPr>
          <w:i/>
          <w:iCs/>
        </w:rPr>
        <w:t>v Minister for Home Affairs</w:t>
      </w:r>
      <w:r w:rsidRPr="008A77F8">
        <w:t xml:space="preserve"> </w:t>
      </w:r>
      <w:r w:rsidR="00E03545">
        <w:t xml:space="preserve">(2022) </w:t>
      </w:r>
      <w:r w:rsidR="004844FF" w:rsidRPr="004844FF">
        <w:t>275 CLR 582</w:t>
      </w:r>
      <w:r w:rsidRPr="008A77F8">
        <w:t xml:space="preserve"> [31]-[35] fn 61-69 (Kiefel CJ, Keane, Gordon and Steward JJ).</w:t>
      </w:r>
    </w:p>
  </w:footnote>
  <w:footnote w:id="142">
    <w:p w14:paraId="06ACD8B2" w14:textId="21FEB7B0" w:rsidR="00615834" w:rsidRPr="008A77F8" w:rsidRDefault="00615834" w:rsidP="000F2F7C">
      <w:pPr>
        <w:pStyle w:val="FootnoteText"/>
      </w:pPr>
      <w:r w:rsidRPr="008A77F8">
        <w:rPr>
          <w:rStyle w:val="FootnoteReference"/>
        </w:rPr>
        <w:footnoteRef/>
      </w:r>
      <w:r w:rsidRPr="008A77F8">
        <w:t xml:space="preserve"> </w:t>
      </w:r>
      <w:r w:rsidRPr="008A77F8">
        <w:rPr>
          <w:i/>
          <w:iCs/>
        </w:rPr>
        <w:t xml:space="preserve">WKMZ </w:t>
      </w:r>
      <w:r w:rsidR="006520A4">
        <w:rPr>
          <w:i/>
          <w:iCs/>
        </w:rPr>
        <w:t>v Minister for Immigration, Citizenship, Migrant Services and Multicultural Affairs</w:t>
      </w:r>
      <w:r w:rsidRPr="008A77F8">
        <w:rPr>
          <w:i/>
          <w:iCs/>
        </w:rPr>
        <w:t xml:space="preserve"> </w:t>
      </w:r>
      <w:r w:rsidR="00E03545">
        <w:t>(2021) 285 FCR 463</w:t>
      </w:r>
      <w:r w:rsidRPr="008A77F8">
        <w:t xml:space="preserve"> [136] (Kenny and Mortimer JJ).</w:t>
      </w:r>
    </w:p>
  </w:footnote>
  <w:footnote w:id="143">
    <w:p w14:paraId="07408025" w14:textId="76CAC8E9" w:rsidR="007E3AB0" w:rsidRPr="008A77F8" w:rsidRDefault="007E3AB0" w:rsidP="000F2F7C">
      <w:pPr>
        <w:pStyle w:val="FootnoteText"/>
      </w:pPr>
      <w:r w:rsidRPr="008A77F8">
        <w:rPr>
          <w:rStyle w:val="FootnoteReference"/>
        </w:rPr>
        <w:footnoteRef/>
      </w:r>
      <w:r w:rsidRPr="008A77F8">
        <w:t xml:space="preserve"> </w:t>
      </w:r>
      <w:r w:rsidRPr="008A77F8">
        <w:rPr>
          <w:i/>
          <w:iCs/>
        </w:rPr>
        <w:t xml:space="preserve">BNGP </w:t>
      </w:r>
      <w:r w:rsidR="00CA4571">
        <w:rPr>
          <w:i/>
          <w:iCs/>
        </w:rPr>
        <w:t>v Minister for Immigration, Citizenship and Multicultural Affairs</w:t>
      </w:r>
      <w:r w:rsidRPr="008A77F8">
        <w:t xml:space="preserve"> </w:t>
      </w:r>
      <w:r w:rsidR="006A677D">
        <w:t>(2023) 298 FCR 609</w:t>
      </w:r>
      <w:r w:rsidRPr="008A77F8">
        <w:t xml:space="preserve"> [6].</w:t>
      </w:r>
    </w:p>
  </w:footnote>
  <w:footnote w:id="144">
    <w:p w14:paraId="49048A9A" w14:textId="09FFF737" w:rsidR="000D05EB" w:rsidRPr="008A77F8" w:rsidRDefault="000D05EB" w:rsidP="000F2F7C">
      <w:pPr>
        <w:pStyle w:val="FootnoteText"/>
      </w:pPr>
      <w:r w:rsidRPr="008A77F8">
        <w:rPr>
          <w:rStyle w:val="FootnoteReference"/>
        </w:rPr>
        <w:footnoteRef/>
      </w:r>
      <w:r w:rsidRPr="008A77F8">
        <w:t xml:space="preserve"> Bromwich and Kennett JJ agreed with Perry J’s reasons, except in respect of the Minister’s notice of contention (regarding the continued correctness of </w:t>
      </w:r>
      <w:r w:rsidRPr="008A77F8">
        <w:rPr>
          <w:i/>
          <w:iCs/>
        </w:rPr>
        <w:t>CWY20</w:t>
      </w:r>
      <w:r w:rsidRPr="008A77F8">
        <w:t xml:space="preserve"> and </w:t>
      </w:r>
      <w:r w:rsidRPr="008A77F8">
        <w:rPr>
          <w:i/>
          <w:iCs/>
        </w:rPr>
        <w:t>ENT19</w:t>
      </w:r>
      <w:r w:rsidRPr="008A77F8">
        <w:t xml:space="preserve">): </w:t>
      </w:r>
      <w:r w:rsidRPr="008A77F8">
        <w:rPr>
          <w:i/>
          <w:iCs/>
        </w:rPr>
        <w:t xml:space="preserve">BNGP </w:t>
      </w:r>
      <w:r w:rsidR="00CA4571">
        <w:rPr>
          <w:i/>
          <w:iCs/>
        </w:rPr>
        <w:t>v Minister for Immigration, Citizenship and Multicultural Affairs</w:t>
      </w:r>
      <w:r w:rsidRPr="008A77F8">
        <w:t xml:space="preserve"> </w:t>
      </w:r>
      <w:r w:rsidR="006A677D" w:rsidRPr="006A677D">
        <w:t>(2023) 298 FCR 609</w:t>
      </w:r>
      <w:r w:rsidRPr="008A77F8">
        <w:t xml:space="preserve"> [138] (Bromwich and Kennett JJ). </w:t>
      </w:r>
    </w:p>
  </w:footnote>
  <w:footnote w:id="145">
    <w:p w14:paraId="4AFAA3CF" w14:textId="510DBEEC" w:rsidR="00C73AB0" w:rsidRPr="008A77F8" w:rsidRDefault="00C73AB0" w:rsidP="000F2F7C">
      <w:pPr>
        <w:pStyle w:val="FootnoteText"/>
      </w:pPr>
      <w:r w:rsidRPr="008A77F8">
        <w:rPr>
          <w:rStyle w:val="FootnoteReference"/>
        </w:rPr>
        <w:footnoteRef/>
      </w:r>
      <w:r w:rsidRPr="008A77F8">
        <w:t xml:space="preserve"> </w:t>
      </w:r>
      <w:r w:rsidR="0013698D">
        <w:t>Ibid</w:t>
      </w:r>
      <w:r w:rsidR="00D9692A" w:rsidRPr="008A77F8">
        <w:t xml:space="preserve"> </w:t>
      </w:r>
      <w:r w:rsidRPr="008A77F8">
        <w:t xml:space="preserve">[77]-[80] (Perry J), </w:t>
      </w:r>
    </w:p>
  </w:footnote>
  <w:footnote w:id="146">
    <w:p w14:paraId="7D2F9AAB" w14:textId="2F203F3B" w:rsidR="00900A5D" w:rsidRPr="008A77F8" w:rsidRDefault="00900A5D" w:rsidP="000F2F7C">
      <w:pPr>
        <w:pStyle w:val="FootnoteText"/>
      </w:pPr>
      <w:r w:rsidRPr="008A77F8">
        <w:rPr>
          <w:rStyle w:val="FootnoteReference"/>
        </w:rPr>
        <w:footnoteRef/>
      </w:r>
      <w:r w:rsidRPr="008A77F8">
        <w:t xml:space="preserve"> </w:t>
      </w:r>
      <w:r w:rsidR="0013698D">
        <w:t>Ibid</w:t>
      </w:r>
      <w:r w:rsidR="0013698D" w:rsidRPr="008A77F8">
        <w:t xml:space="preserve"> </w:t>
      </w:r>
      <w:r w:rsidRPr="008A77F8">
        <w:t>[82] (Perry J).</w:t>
      </w:r>
    </w:p>
  </w:footnote>
  <w:footnote w:id="147">
    <w:p w14:paraId="5AE810E0" w14:textId="77EB2BEE" w:rsidR="00670B21" w:rsidRPr="008A77F8" w:rsidRDefault="00670B21" w:rsidP="000F2F7C">
      <w:pPr>
        <w:pStyle w:val="FootnoteText"/>
      </w:pPr>
      <w:r w:rsidRPr="008A77F8">
        <w:rPr>
          <w:rStyle w:val="FootnoteReference"/>
        </w:rPr>
        <w:footnoteRef/>
      </w:r>
      <w:r w:rsidRPr="008A77F8">
        <w:t xml:space="preserve"> </w:t>
      </w:r>
      <w:r w:rsidR="0013698D">
        <w:t>Ibid</w:t>
      </w:r>
      <w:r w:rsidR="0013698D" w:rsidRPr="008A77F8">
        <w:t xml:space="preserve"> </w:t>
      </w:r>
      <w:r w:rsidRPr="008A77F8">
        <w:t>[93]-[94]</w:t>
      </w:r>
      <w:r w:rsidR="0087049D" w:rsidRPr="008A77F8">
        <w:t xml:space="preserve"> and [98]-[99]</w:t>
      </w:r>
      <w:r w:rsidR="004D7EDD" w:rsidRPr="008A77F8">
        <w:t xml:space="preserve"> (Perry J).</w:t>
      </w:r>
    </w:p>
  </w:footnote>
  <w:footnote w:id="148">
    <w:p w14:paraId="6926C714" w14:textId="4CE26788" w:rsidR="005B433D" w:rsidRPr="008A77F8" w:rsidRDefault="005B433D" w:rsidP="000F2F7C">
      <w:pPr>
        <w:pStyle w:val="FootnoteText"/>
      </w:pPr>
      <w:r w:rsidRPr="008A77F8">
        <w:rPr>
          <w:rStyle w:val="FootnoteReference"/>
        </w:rPr>
        <w:footnoteRef/>
      </w:r>
      <w:r w:rsidRPr="008A77F8">
        <w:t xml:space="preserve"> </w:t>
      </w:r>
      <w:r w:rsidR="0013698D">
        <w:t>Ibid</w:t>
      </w:r>
      <w:r w:rsidR="0013698D" w:rsidRPr="008A77F8">
        <w:t xml:space="preserve"> </w:t>
      </w:r>
      <w:r w:rsidRPr="008A77F8">
        <w:t>[100]</w:t>
      </w:r>
      <w:r w:rsidR="00897906">
        <w:t xml:space="preserve"> (Perry J)</w:t>
      </w:r>
      <w:r w:rsidRPr="008A77F8">
        <w:t>.</w:t>
      </w:r>
    </w:p>
  </w:footnote>
  <w:footnote w:id="149">
    <w:p w14:paraId="0D051E2E" w14:textId="1C497035" w:rsidR="000E4EFF" w:rsidRPr="008A77F8" w:rsidRDefault="000E4EFF" w:rsidP="000F2F7C">
      <w:pPr>
        <w:pStyle w:val="FootnoteText"/>
      </w:pPr>
      <w:r w:rsidRPr="008A77F8">
        <w:rPr>
          <w:rStyle w:val="FootnoteReference"/>
        </w:rPr>
        <w:footnoteRef/>
      </w:r>
      <w:r w:rsidRPr="008A77F8">
        <w:t xml:space="preserve"> </w:t>
      </w:r>
      <w:r w:rsidR="0013698D">
        <w:t>Ibid</w:t>
      </w:r>
      <w:r w:rsidR="0013698D" w:rsidRPr="008A77F8">
        <w:t xml:space="preserve"> </w:t>
      </w:r>
      <w:r w:rsidRPr="008A77F8">
        <w:t>[121] (Perry J).</w:t>
      </w:r>
    </w:p>
  </w:footnote>
  <w:footnote w:id="150">
    <w:p w14:paraId="21559331" w14:textId="03FF6612" w:rsidR="009B254F" w:rsidRPr="008A77F8" w:rsidRDefault="009B254F" w:rsidP="000F2F7C">
      <w:pPr>
        <w:pStyle w:val="FootnoteText"/>
      </w:pPr>
      <w:r w:rsidRPr="008A77F8">
        <w:rPr>
          <w:rStyle w:val="FootnoteReference"/>
        </w:rPr>
        <w:footnoteRef/>
      </w:r>
      <w:r w:rsidRPr="008A77F8">
        <w:t xml:space="preserve"> </w:t>
      </w:r>
      <w:r w:rsidR="0013698D">
        <w:t>Ibid</w:t>
      </w:r>
      <w:r w:rsidR="0013698D" w:rsidRPr="008A77F8">
        <w:t xml:space="preserve"> </w:t>
      </w:r>
      <w:r w:rsidRPr="008A77F8">
        <w:t>[139] (Bromwich and Kennett J</w:t>
      </w:r>
      <w:r w:rsidR="00EB4958" w:rsidRPr="008A77F8">
        <w:t>J</w:t>
      </w:r>
      <w:r w:rsidRPr="008A77F8">
        <w:t>).</w:t>
      </w:r>
    </w:p>
  </w:footnote>
  <w:footnote w:id="151">
    <w:p w14:paraId="625893D8" w14:textId="01D5AF34" w:rsidR="00815D4D" w:rsidRPr="008A77F8" w:rsidRDefault="00815D4D" w:rsidP="000F2F7C">
      <w:pPr>
        <w:pStyle w:val="FootnoteText"/>
        <w:rPr>
          <w:i/>
          <w:iCs/>
        </w:rPr>
      </w:pPr>
      <w:r w:rsidRPr="008A77F8">
        <w:rPr>
          <w:rStyle w:val="FootnoteReference"/>
        </w:rPr>
        <w:footnoteRef/>
      </w:r>
      <w:r w:rsidRPr="008A77F8">
        <w:t xml:space="preserve"> </w:t>
      </w:r>
      <w:r w:rsidR="0013698D">
        <w:t>Ibid</w:t>
      </w:r>
      <w:r w:rsidR="0013698D" w:rsidRPr="008A77F8">
        <w:t xml:space="preserve"> </w:t>
      </w:r>
      <w:r w:rsidRPr="008A77F8">
        <w:t>[149]-[150] (Bromwich and Kennett JJ).</w:t>
      </w:r>
    </w:p>
  </w:footnote>
  <w:footnote w:id="152">
    <w:p w14:paraId="2999FBA6" w14:textId="33B213CE" w:rsidR="00C34527" w:rsidRPr="008A77F8" w:rsidRDefault="00C34527" w:rsidP="000F2F7C">
      <w:pPr>
        <w:pStyle w:val="FootnoteText"/>
      </w:pPr>
      <w:r w:rsidRPr="008A77F8">
        <w:rPr>
          <w:rStyle w:val="FootnoteReference"/>
        </w:rPr>
        <w:footnoteRef/>
      </w:r>
      <w:r w:rsidRPr="008A77F8">
        <w:t xml:space="preserve"> </w:t>
      </w:r>
      <w:r w:rsidR="0013698D">
        <w:t>Ibid</w:t>
      </w:r>
      <w:r w:rsidR="0013698D" w:rsidRPr="008A77F8">
        <w:t xml:space="preserve"> </w:t>
      </w:r>
      <w:r w:rsidRPr="008A77F8">
        <w:t>[143]</w:t>
      </w:r>
      <w:r w:rsidR="00D018FB" w:rsidRPr="008A77F8">
        <w:t xml:space="preserve"> (Bromwich and Kennett JJ)</w:t>
      </w:r>
      <w:r w:rsidRPr="008A77F8">
        <w:t xml:space="preserve">, citing </w:t>
      </w:r>
      <w:r w:rsidRPr="008A77F8">
        <w:rPr>
          <w:i/>
          <w:iCs/>
        </w:rPr>
        <w:t xml:space="preserve">Plaintiff M1/2021 </w:t>
      </w:r>
      <w:r w:rsidR="006520A4">
        <w:rPr>
          <w:i/>
          <w:iCs/>
        </w:rPr>
        <w:t>v Minister for Home Affairs</w:t>
      </w:r>
      <w:r w:rsidRPr="008A77F8">
        <w:rPr>
          <w:i/>
          <w:iCs/>
        </w:rPr>
        <w:t xml:space="preserve"> </w:t>
      </w:r>
      <w:r w:rsidR="00E03545">
        <w:t xml:space="preserve">(2022) </w:t>
      </w:r>
      <w:r w:rsidR="009A5D4A" w:rsidRPr="009A5D4A">
        <w:t>275 CLR 582</w:t>
      </w:r>
      <w:r w:rsidRPr="008A77F8">
        <w:t xml:space="preserve"> [20] (Kiefel CJ, Keane, Gordon and Steward JJ).</w:t>
      </w:r>
    </w:p>
  </w:footnote>
  <w:footnote w:id="153">
    <w:p w14:paraId="6E7FCB75" w14:textId="2B8E8243" w:rsidR="00D018FB" w:rsidRPr="008A77F8" w:rsidRDefault="00D018FB" w:rsidP="000F2F7C">
      <w:pPr>
        <w:pStyle w:val="FootnoteText"/>
      </w:pPr>
      <w:r w:rsidRPr="008A77F8">
        <w:rPr>
          <w:rStyle w:val="FootnoteReference"/>
        </w:rPr>
        <w:footnoteRef/>
      </w:r>
      <w:r w:rsidRPr="008A77F8">
        <w:t xml:space="preserve"> </w:t>
      </w:r>
      <w:r w:rsidRPr="008A77F8">
        <w:rPr>
          <w:i/>
          <w:iCs/>
        </w:rPr>
        <w:t xml:space="preserve">BNGP </w:t>
      </w:r>
      <w:r w:rsidR="00CA4571">
        <w:rPr>
          <w:i/>
          <w:iCs/>
        </w:rPr>
        <w:t>v Minister for Immigration, Citizenship and Multicultural Affairs</w:t>
      </w:r>
      <w:r w:rsidRPr="008A77F8">
        <w:t xml:space="preserve"> </w:t>
      </w:r>
      <w:r w:rsidR="009A5D4A" w:rsidRPr="009A5D4A">
        <w:t>(2023) 298 FCR 609</w:t>
      </w:r>
      <w:r w:rsidRPr="008A77F8">
        <w:t xml:space="preserve"> [149] (Bromwich and Kennett JJ).</w:t>
      </w:r>
    </w:p>
  </w:footnote>
  <w:footnote w:id="154">
    <w:p w14:paraId="795C1DBF" w14:textId="08D1B26F" w:rsidR="008A56DF" w:rsidRPr="008A77F8" w:rsidRDefault="008A56DF" w:rsidP="000F2F7C">
      <w:pPr>
        <w:pStyle w:val="FootnoteText"/>
      </w:pPr>
      <w:r w:rsidRPr="008A77F8">
        <w:rPr>
          <w:rStyle w:val="FootnoteReference"/>
        </w:rPr>
        <w:footnoteRef/>
      </w:r>
      <w:r w:rsidRPr="008A77F8">
        <w:t xml:space="preserve"> </w:t>
      </w:r>
      <w:r w:rsidR="00CA4571">
        <w:rPr>
          <w:i/>
          <w:iCs/>
        </w:rPr>
        <w:t>Minister for Immigration and Citizenship</w:t>
      </w:r>
      <w:r w:rsidRPr="008A77F8">
        <w:rPr>
          <w:i/>
          <w:iCs/>
        </w:rPr>
        <w:t xml:space="preserve"> v SZRKT </w:t>
      </w:r>
      <w:r w:rsidRPr="008A77F8">
        <w:t>(2013) 212 FCR 99 [77].</w:t>
      </w:r>
    </w:p>
  </w:footnote>
  <w:footnote w:id="155">
    <w:p w14:paraId="5F1222BF" w14:textId="29208B55" w:rsidR="00D2042B" w:rsidRPr="008A77F8" w:rsidRDefault="00D2042B" w:rsidP="000F2F7C">
      <w:pPr>
        <w:pStyle w:val="FootnoteText"/>
      </w:pPr>
      <w:r w:rsidRPr="008A77F8">
        <w:rPr>
          <w:rStyle w:val="FootnoteReference"/>
        </w:rPr>
        <w:footnoteRef/>
      </w:r>
      <w:r w:rsidRPr="008A77F8">
        <w:t xml:space="preserve"> </w:t>
      </w:r>
      <w:r w:rsidR="00CA4571">
        <w:rPr>
          <w:i/>
          <w:iCs/>
        </w:rPr>
        <w:t>Minister for Immigration and Citizenship</w:t>
      </w:r>
      <w:r w:rsidR="00CA4571" w:rsidRPr="008A77F8">
        <w:rPr>
          <w:i/>
          <w:iCs/>
        </w:rPr>
        <w:t xml:space="preserve"> </w:t>
      </w:r>
      <w:r w:rsidRPr="008A77F8">
        <w:rPr>
          <w:i/>
          <w:iCs/>
        </w:rPr>
        <w:t xml:space="preserve">v Li </w:t>
      </w:r>
      <w:r w:rsidRPr="008A77F8">
        <w:t>(2013) 249 CLR 332 [63] (Hayne, Kiefel and Bell JJ).</w:t>
      </w:r>
    </w:p>
  </w:footnote>
  <w:footnote w:id="156">
    <w:p w14:paraId="68CDE4F2" w14:textId="16694A7A" w:rsidR="00825A1F" w:rsidRPr="00825A1F" w:rsidRDefault="00825A1F">
      <w:pPr>
        <w:pStyle w:val="FootnoteText"/>
      </w:pPr>
      <w:r>
        <w:rPr>
          <w:rStyle w:val="FootnoteReference"/>
        </w:rPr>
        <w:footnoteRef/>
      </w:r>
      <w:r>
        <w:t xml:space="preserve"> That is, a factor which Parliament has expressly or implicitly mandated must </w:t>
      </w:r>
      <w:r>
        <w:rPr>
          <w:i/>
          <w:iCs/>
        </w:rPr>
        <w:t xml:space="preserve">not </w:t>
      </w:r>
      <w:r>
        <w:t>be taken into account.</w:t>
      </w:r>
    </w:p>
  </w:footnote>
  <w:footnote w:id="157">
    <w:p w14:paraId="44EEC203" w14:textId="6C503414" w:rsidR="00030B3B" w:rsidRPr="008A77F8" w:rsidRDefault="00030B3B" w:rsidP="000F2F7C">
      <w:pPr>
        <w:pStyle w:val="FootnoteText"/>
      </w:pPr>
      <w:r w:rsidRPr="008A77F8">
        <w:rPr>
          <w:rStyle w:val="FootnoteReference"/>
        </w:rPr>
        <w:footnoteRef/>
      </w:r>
      <w:r w:rsidRPr="008A77F8">
        <w:t xml:space="preserve"> </w:t>
      </w:r>
      <w:r w:rsidR="00153C98">
        <w:rPr>
          <w:i/>
          <w:iCs/>
        </w:rPr>
        <w:t>Minister for Immigration and Citizenship</w:t>
      </w:r>
      <w:r w:rsidR="00153C98" w:rsidRPr="008A77F8">
        <w:rPr>
          <w:i/>
          <w:iCs/>
        </w:rPr>
        <w:t xml:space="preserve"> v Li </w:t>
      </w:r>
      <w:r w:rsidR="00153C98" w:rsidRPr="008A77F8">
        <w:t>(2013) 249 CLR 332</w:t>
      </w:r>
      <w:r w:rsidR="00304C7B">
        <w:t xml:space="preserve"> </w:t>
      </w:r>
      <w:r w:rsidRPr="008A77F8">
        <w:t>[92] (</w:t>
      </w:r>
      <w:r w:rsidR="00A655EE" w:rsidRPr="008A77F8">
        <w:t>Gageler J</w:t>
      </w:r>
      <w:r w:rsidRPr="008A77F8">
        <w:t>).</w:t>
      </w:r>
    </w:p>
  </w:footnote>
  <w:footnote w:id="158">
    <w:p w14:paraId="3891CDB1" w14:textId="3BEA411D" w:rsidR="00BA1834" w:rsidRPr="008A77F8" w:rsidRDefault="00BA1834" w:rsidP="000F2F7C">
      <w:pPr>
        <w:pStyle w:val="FootnoteText"/>
        <w:rPr>
          <w:lang w:val="en-US"/>
        </w:rPr>
      </w:pPr>
      <w:r w:rsidRPr="008A77F8">
        <w:rPr>
          <w:rStyle w:val="FootnoteReference"/>
        </w:rPr>
        <w:footnoteRef/>
      </w:r>
      <w:r w:rsidRPr="008A77F8">
        <w:t xml:space="preserve"> </w:t>
      </w:r>
      <w:r w:rsidRPr="008A77F8">
        <w:rPr>
          <w:i/>
          <w:iCs/>
          <w:lang w:val="en-US"/>
        </w:rPr>
        <w:t xml:space="preserve">NRFX </w:t>
      </w:r>
      <w:r w:rsidR="00CA4571">
        <w:rPr>
          <w:i/>
          <w:iCs/>
          <w:lang w:val="en-US"/>
        </w:rPr>
        <w:t>v Minister for Immigration, Citizenship and Multicultural Affairs</w:t>
      </w:r>
      <w:r w:rsidRPr="008A77F8">
        <w:rPr>
          <w:lang w:val="en-US"/>
        </w:rPr>
        <w:t xml:space="preserve"> </w:t>
      </w:r>
      <w:r w:rsidR="008855E6">
        <w:rPr>
          <w:lang w:val="en-US"/>
        </w:rPr>
        <w:t>(2023) 300 FCR 582</w:t>
      </w:r>
      <w:r w:rsidRPr="008A77F8">
        <w:rPr>
          <w:lang w:val="en-US"/>
        </w:rPr>
        <w:t>.</w:t>
      </w:r>
    </w:p>
  </w:footnote>
  <w:footnote w:id="159">
    <w:p w14:paraId="379D698D" w14:textId="53F53E7A" w:rsidR="00C57D44" w:rsidRPr="008A77F8" w:rsidRDefault="00C57D44" w:rsidP="000F2F7C">
      <w:pPr>
        <w:pStyle w:val="FootnoteText"/>
        <w:rPr>
          <w:lang w:val="en-US"/>
        </w:rPr>
      </w:pPr>
      <w:r w:rsidRPr="008A77F8">
        <w:rPr>
          <w:rStyle w:val="FootnoteReference"/>
        </w:rPr>
        <w:footnoteRef/>
      </w:r>
      <w:r w:rsidRPr="008A77F8">
        <w:t xml:space="preserve"> </w:t>
      </w:r>
      <w:r w:rsidR="00372BE5">
        <w:t>Ibid</w:t>
      </w:r>
      <w:r w:rsidR="00372BE5" w:rsidRPr="008A77F8">
        <w:t xml:space="preserve"> </w:t>
      </w:r>
      <w:r w:rsidRPr="008A77F8">
        <w:rPr>
          <w:lang w:val="en-US"/>
        </w:rPr>
        <w:t>[3] (Collier J</w:t>
      </w:r>
      <w:r w:rsidR="00261F77" w:rsidRPr="008A77F8">
        <w:rPr>
          <w:lang w:val="en-US"/>
        </w:rPr>
        <w:t>).</w:t>
      </w:r>
    </w:p>
  </w:footnote>
  <w:footnote w:id="160">
    <w:p w14:paraId="72E5A2EB" w14:textId="52688B8E" w:rsidR="00372701" w:rsidRPr="008A77F8" w:rsidRDefault="00372701" w:rsidP="000F2F7C">
      <w:pPr>
        <w:pStyle w:val="FootnoteText"/>
        <w:rPr>
          <w:lang w:val="en-US"/>
        </w:rPr>
      </w:pPr>
      <w:r w:rsidRPr="008A77F8">
        <w:rPr>
          <w:rStyle w:val="FootnoteReference"/>
        </w:rPr>
        <w:footnoteRef/>
      </w:r>
      <w:r w:rsidRPr="008A77F8">
        <w:t xml:space="preserve"> </w:t>
      </w:r>
      <w:r w:rsidR="00372BE5">
        <w:t>Ibid</w:t>
      </w:r>
      <w:r w:rsidR="00372BE5" w:rsidRPr="008A77F8">
        <w:t xml:space="preserve"> </w:t>
      </w:r>
      <w:r w:rsidRPr="008A77F8">
        <w:rPr>
          <w:lang w:val="en-US"/>
        </w:rPr>
        <w:t>[175] (Derrington J).</w:t>
      </w:r>
    </w:p>
  </w:footnote>
  <w:footnote w:id="161">
    <w:p w14:paraId="382EA8A2" w14:textId="203FB136" w:rsidR="00C31B8C" w:rsidRPr="008A77F8" w:rsidRDefault="00C31B8C" w:rsidP="000F2F7C">
      <w:pPr>
        <w:pStyle w:val="FootnoteText"/>
        <w:rPr>
          <w:lang w:val="en-US"/>
        </w:rPr>
      </w:pPr>
      <w:r w:rsidRPr="008A77F8">
        <w:rPr>
          <w:rStyle w:val="FootnoteReference"/>
        </w:rPr>
        <w:footnoteRef/>
      </w:r>
      <w:r w:rsidRPr="008A77F8">
        <w:t xml:space="preserve"> </w:t>
      </w:r>
      <w:r w:rsidR="00372BE5">
        <w:t>Ibid</w:t>
      </w:r>
      <w:r w:rsidR="00372BE5" w:rsidRPr="008A77F8">
        <w:t xml:space="preserve"> </w:t>
      </w:r>
      <w:r w:rsidRPr="008A77F8">
        <w:rPr>
          <w:lang w:val="en-US"/>
        </w:rPr>
        <w:t>[116]-[13</w:t>
      </w:r>
      <w:r w:rsidR="009D4B8A" w:rsidRPr="008A77F8">
        <w:rPr>
          <w:lang w:val="en-US"/>
        </w:rPr>
        <w:t>2</w:t>
      </w:r>
      <w:r w:rsidRPr="008A77F8">
        <w:rPr>
          <w:lang w:val="en-US"/>
        </w:rPr>
        <w:t>]</w:t>
      </w:r>
      <w:r w:rsidR="009D4B8A" w:rsidRPr="008A77F8">
        <w:rPr>
          <w:lang w:val="en-US"/>
        </w:rPr>
        <w:t xml:space="preserve"> (Derrington J)</w:t>
      </w:r>
      <w:r w:rsidRPr="008A77F8">
        <w:rPr>
          <w:lang w:val="en-US"/>
        </w:rPr>
        <w:t>.</w:t>
      </w:r>
    </w:p>
  </w:footnote>
  <w:footnote w:id="162">
    <w:p w14:paraId="4ECDC4D8" w14:textId="739F26A4" w:rsidR="009D35CB" w:rsidRPr="008A77F8" w:rsidRDefault="009D35CB" w:rsidP="000F2F7C">
      <w:pPr>
        <w:pStyle w:val="FootnoteText"/>
        <w:rPr>
          <w:i/>
          <w:iCs/>
          <w:lang w:val="en-US"/>
        </w:rPr>
      </w:pPr>
      <w:r w:rsidRPr="008A77F8">
        <w:rPr>
          <w:rStyle w:val="FootnoteReference"/>
        </w:rPr>
        <w:footnoteRef/>
      </w:r>
      <w:r w:rsidRPr="008A77F8">
        <w:t xml:space="preserve"> </w:t>
      </w:r>
      <w:r w:rsidR="00372BE5">
        <w:t>Ibid</w:t>
      </w:r>
      <w:r w:rsidR="00372BE5" w:rsidRPr="008A77F8">
        <w:t xml:space="preserve"> </w:t>
      </w:r>
      <w:r w:rsidR="009D4B8A" w:rsidRPr="008A77F8">
        <w:rPr>
          <w:lang w:val="en-US"/>
        </w:rPr>
        <w:t>[133] (Derrington J).</w:t>
      </w:r>
    </w:p>
  </w:footnote>
  <w:footnote w:id="163">
    <w:p w14:paraId="101A6838" w14:textId="5C3CB660" w:rsidR="009D4B8A" w:rsidRPr="008A77F8" w:rsidRDefault="009D4B8A" w:rsidP="000F2F7C">
      <w:pPr>
        <w:pStyle w:val="FootnoteText"/>
        <w:rPr>
          <w:lang w:val="en-US"/>
        </w:rPr>
      </w:pPr>
      <w:r w:rsidRPr="008A77F8">
        <w:rPr>
          <w:rStyle w:val="FootnoteReference"/>
        </w:rPr>
        <w:footnoteRef/>
      </w:r>
      <w:r w:rsidRPr="008A77F8">
        <w:t xml:space="preserve"> </w:t>
      </w:r>
      <w:r w:rsidR="00372BE5">
        <w:t>Ibid</w:t>
      </w:r>
      <w:r w:rsidR="00372BE5" w:rsidRPr="008A77F8">
        <w:t xml:space="preserve"> </w:t>
      </w:r>
      <w:r w:rsidRPr="008A77F8">
        <w:rPr>
          <w:lang w:val="en-US"/>
        </w:rPr>
        <w:t>[134]</w:t>
      </w:r>
      <w:r w:rsidR="001012AB">
        <w:rPr>
          <w:lang w:val="en-US"/>
        </w:rPr>
        <w:t xml:space="preserve"> (Derrington J)</w:t>
      </w:r>
      <w:r w:rsidRPr="008A77F8">
        <w:rPr>
          <w:lang w:val="en-US"/>
        </w:rPr>
        <w:t>.</w:t>
      </w:r>
    </w:p>
  </w:footnote>
  <w:footnote w:id="164">
    <w:p w14:paraId="6BD0F3F5" w14:textId="63207B61" w:rsidR="005B3909" w:rsidRPr="008A77F8" w:rsidRDefault="005B3909" w:rsidP="000F2F7C">
      <w:pPr>
        <w:pStyle w:val="FootnoteText"/>
        <w:rPr>
          <w:lang w:val="en-US"/>
        </w:rPr>
      </w:pPr>
      <w:r w:rsidRPr="008A77F8">
        <w:rPr>
          <w:rStyle w:val="FootnoteReference"/>
        </w:rPr>
        <w:footnoteRef/>
      </w:r>
      <w:r w:rsidRPr="008A77F8">
        <w:t xml:space="preserve"> </w:t>
      </w:r>
      <w:r w:rsidR="00372BE5">
        <w:t>Ibid</w:t>
      </w:r>
      <w:r w:rsidR="00372BE5" w:rsidRPr="008A77F8">
        <w:t xml:space="preserve"> </w:t>
      </w:r>
      <w:r w:rsidRPr="008A77F8">
        <w:rPr>
          <w:lang w:val="en-US"/>
        </w:rPr>
        <w:t>[136]</w:t>
      </w:r>
      <w:r w:rsidR="001012AB">
        <w:rPr>
          <w:lang w:val="en-US"/>
        </w:rPr>
        <w:t xml:space="preserve"> (Derrington J)</w:t>
      </w:r>
      <w:r w:rsidRPr="008A77F8">
        <w:rPr>
          <w:lang w:val="en-US"/>
        </w:rPr>
        <w:t>.</w:t>
      </w:r>
    </w:p>
  </w:footnote>
  <w:footnote w:id="165">
    <w:p w14:paraId="38DBE64A" w14:textId="2DD5C1F5" w:rsidR="00A51C6D" w:rsidRPr="008A77F8" w:rsidRDefault="00A51C6D" w:rsidP="000F2F7C">
      <w:pPr>
        <w:pStyle w:val="FootnoteText"/>
        <w:rPr>
          <w:lang w:val="en-US"/>
        </w:rPr>
      </w:pPr>
      <w:r w:rsidRPr="008A77F8">
        <w:rPr>
          <w:rStyle w:val="FootnoteReference"/>
        </w:rPr>
        <w:footnoteRef/>
      </w:r>
      <w:r w:rsidRPr="008A77F8">
        <w:t xml:space="preserve"> </w:t>
      </w:r>
      <w:r w:rsidR="00372BE5">
        <w:t>Ibid</w:t>
      </w:r>
      <w:r w:rsidR="00372BE5" w:rsidRPr="008A77F8">
        <w:t xml:space="preserve"> </w:t>
      </w:r>
      <w:r w:rsidR="007430F9" w:rsidRPr="008A77F8">
        <w:rPr>
          <w:lang w:val="en-US"/>
        </w:rPr>
        <w:t>[136]</w:t>
      </w:r>
      <w:r w:rsidR="001012AB">
        <w:rPr>
          <w:lang w:val="en-US"/>
        </w:rPr>
        <w:t xml:space="preserve"> (Derrington J)</w:t>
      </w:r>
      <w:r w:rsidR="007430F9" w:rsidRPr="008A77F8">
        <w:rPr>
          <w:lang w:val="en-US"/>
        </w:rPr>
        <w:t>.</w:t>
      </w:r>
    </w:p>
  </w:footnote>
  <w:footnote w:id="166">
    <w:p w14:paraId="41AF0EA4" w14:textId="1887FD6B" w:rsidR="000244AB" w:rsidRPr="008A77F8" w:rsidRDefault="000244AB"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007430F9" w:rsidRPr="008A77F8">
        <w:rPr>
          <w:lang w:val="en-US"/>
        </w:rPr>
        <w:t>[136]</w:t>
      </w:r>
      <w:r w:rsidR="001012AB">
        <w:rPr>
          <w:lang w:val="en-US"/>
        </w:rPr>
        <w:t xml:space="preserve"> (Derrington J)</w:t>
      </w:r>
      <w:r w:rsidR="007430F9" w:rsidRPr="008A77F8">
        <w:rPr>
          <w:lang w:val="en-US"/>
        </w:rPr>
        <w:t>.</w:t>
      </w:r>
    </w:p>
  </w:footnote>
  <w:footnote w:id="167">
    <w:p w14:paraId="45300EEC" w14:textId="31747921" w:rsidR="003732BE" w:rsidRPr="008A77F8" w:rsidRDefault="003732BE" w:rsidP="000F2F7C">
      <w:pPr>
        <w:pStyle w:val="FootnoteText"/>
        <w:rPr>
          <w:lang w:val="en-US"/>
        </w:rPr>
      </w:pPr>
      <w:r w:rsidRPr="008A77F8">
        <w:rPr>
          <w:rStyle w:val="FootnoteReference"/>
        </w:rPr>
        <w:footnoteRef/>
      </w:r>
      <w:r w:rsidRPr="008A77F8">
        <w:t xml:space="preserve"> </w:t>
      </w:r>
      <w:r w:rsidR="00824E4B">
        <w:t>Ibid</w:t>
      </w:r>
      <w:r w:rsidRPr="008A77F8">
        <w:rPr>
          <w:lang w:val="en-US"/>
        </w:rPr>
        <w:t xml:space="preserve"> [137]</w:t>
      </w:r>
      <w:r w:rsidR="001012AB">
        <w:rPr>
          <w:lang w:val="en-US"/>
        </w:rPr>
        <w:t xml:space="preserve"> (Derrington J)</w:t>
      </w:r>
      <w:r w:rsidRPr="008A77F8">
        <w:rPr>
          <w:lang w:val="en-US"/>
        </w:rPr>
        <w:t>.</w:t>
      </w:r>
    </w:p>
  </w:footnote>
  <w:footnote w:id="168">
    <w:p w14:paraId="2BB4BFD0" w14:textId="6F9481FC" w:rsidR="000A3433" w:rsidRPr="008A77F8" w:rsidRDefault="000A3433"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[138]</w:t>
      </w:r>
      <w:r w:rsidR="001012AB">
        <w:rPr>
          <w:lang w:val="en-US"/>
        </w:rPr>
        <w:t xml:space="preserve"> (Derrington J)</w:t>
      </w:r>
      <w:r w:rsidRPr="008A77F8">
        <w:rPr>
          <w:lang w:val="en-US"/>
        </w:rPr>
        <w:t>.</w:t>
      </w:r>
    </w:p>
  </w:footnote>
  <w:footnote w:id="169">
    <w:p w14:paraId="12714BCF" w14:textId="730FC46C" w:rsidR="00D36B1A" w:rsidRPr="008A77F8" w:rsidRDefault="00D36B1A"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[139]-[14</w:t>
      </w:r>
      <w:r w:rsidR="001D258E" w:rsidRPr="008A77F8">
        <w:rPr>
          <w:lang w:val="en-US"/>
        </w:rPr>
        <w:t>4</w:t>
      </w:r>
      <w:r w:rsidRPr="008A77F8">
        <w:rPr>
          <w:lang w:val="en-US"/>
        </w:rPr>
        <w:t>]</w:t>
      </w:r>
      <w:r w:rsidR="001012AB">
        <w:rPr>
          <w:lang w:val="en-US"/>
        </w:rPr>
        <w:t xml:space="preserve"> (Derrington J)</w:t>
      </w:r>
      <w:r w:rsidRPr="008A77F8">
        <w:rPr>
          <w:lang w:val="en-US"/>
        </w:rPr>
        <w:t>.</w:t>
      </w:r>
    </w:p>
  </w:footnote>
  <w:footnote w:id="170">
    <w:p w14:paraId="008F831F" w14:textId="1BEBD46A" w:rsidR="00BE447F" w:rsidRPr="008A77F8" w:rsidRDefault="00BE447F"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[145]</w:t>
      </w:r>
      <w:r w:rsidR="001012AB">
        <w:rPr>
          <w:lang w:val="en-US"/>
        </w:rPr>
        <w:t xml:space="preserve"> (Derrington J)</w:t>
      </w:r>
      <w:r w:rsidRPr="008A77F8">
        <w:rPr>
          <w:lang w:val="en-US"/>
        </w:rPr>
        <w:t>.</w:t>
      </w:r>
    </w:p>
  </w:footnote>
  <w:footnote w:id="171">
    <w:p w14:paraId="16246246" w14:textId="7AB74CB0" w:rsidR="00FB31DF" w:rsidRPr="008A77F8" w:rsidRDefault="00FB31DF"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[146]</w:t>
      </w:r>
      <w:r w:rsidR="0077619B">
        <w:rPr>
          <w:lang w:val="en-US"/>
        </w:rPr>
        <w:t xml:space="preserve"> (Derrington J)</w:t>
      </w:r>
      <w:r w:rsidRPr="008A77F8">
        <w:rPr>
          <w:lang w:val="en-US"/>
        </w:rPr>
        <w:t>.</w:t>
      </w:r>
    </w:p>
  </w:footnote>
  <w:footnote w:id="172">
    <w:p w14:paraId="007AA984" w14:textId="0E116084" w:rsidR="00F4392F" w:rsidRPr="008A77F8" w:rsidRDefault="00F4392F"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[147]</w:t>
      </w:r>
      <w:r w:rsidR="0077619B">
        <w:rPr>
          <w:lang w:val="en-US"/>
        </w:rPr>
        <w:t xml:space="preserve"> (Derrington J)</w:t>
      </w:r>
      <w:r w:rsidRPr="008A77F8">
        <w:rPr>
          <w:lang w:val="en-US"/>
        </w:rPr>
        <w:t>.</w:t>
      </w:r>
    </w:p>
  </w:footnote>
  <w:footnote w:id="173">
    <w:p w14:paraId="1C730660" w14:textId="5773A954" w:rsidR="00F4392F" w:rsidRPr="008A77F8" w:rsidRDefault="00F4392F" w:rsidP="000F2F7C">
      <w:pPr>
        <w:pStyle w:val="FootnoteText"/>
        <w:rPr>
          <w:i/>
          <w:iCs/>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[148]-</w:t>
      </w:r>
      <w:r w:rsidR="00BC5470" w:rsidRPr="008A77F8">
        <w:rPr>
          <w:lang w:val="en-US"/>
        </w:rPr>
        <w:t>[166]</w:t>
      </w:r>
      <w:r w:rsidR="0077619B">
        <w:rPr>
          <w:lang w:val="en-US"/>
        </w:rPr>
        <w:t xml:space="preserve"> (Derrington J)</w:t>
      </w:r>
      <w:r w:rsidR="00BC5470" w:rsidRPr="008A77F8">
        <w:rPr>
          <w:lang w:val="en-US"/>
        </w:rPr>
        <w:t>.</w:t>
      </w:r>
    </w:p>
  </w:footnote>
  <w:footnote w:id="174">
    <w:p w14:paraId="7DBBF4CF" w14:textId="134AB45D" w:rsidR="00EB6C1F" w:rsidRPr="008A77F8" w:rsidRDefault="00EB6C1F"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[166]</w:t>
      </w:r>
      <w:r w:rsidR="0077619B">
        <w:rPr>
          <w:lang w:val="en-US"/>
        </w:rPr>
        <w:t xml:space="preserve"> (Derrington J)</w:t>
      </w:r>
      <w:r w:rsidRPr="008A77F8">
        <w:rPr>
          <w:lang w:val="en-US"/>
        </w:rPr>
        <w:t>.</w:t>
      </w:r>
    </w:p>
  </w:footnote>
  <w:footnote w:id="175">
    <w:p w14:paraId="50CF6FD1" w14:textId="11672B94" w:rsidR="0091568B" w:rsidRPr="008A77F8" w:rsidRDefault="0091568B"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[165]</w:t>
      </w:r>
      <w:r w:rsidR="0077619B">
        <w:rPr>
          <w:lang w:val="en-US"/>
        </w:rPr>
        <w:t xml:space="preserve"> (Derrington J)</w:t>
      </w:r>
      <w:r w:rsidRPr="008A77F8">
        <w:rPr>
          <w:lang w:val="en-US"/>
        </w:rPr>
        <w:t>.</w:t>
      </w:r>
    </w:p>
  </w:footnote>
  <w:footnote w:id="176">
    <w:p w14:paraId="3D4298DD" w14:textId="17BFB5F3" w:rsidR="00923BD7" w:rsidRPr="008A77F8" w:rsidRDefault="00923BD7" w:rsidP="000F2F7C">
      <w:pPr>
        <w:pStyle w:val="FootnoteText"/>
        <w:rPr>
          <w:lang w:val="en-US"/>
        </w:rPr>
      </w:pPr>
      <w:r w:rsidRPr="008A77F8">
        <w:rPr>
          <w:rStyle w:val="FootnoteReference"/>
        </w:rPr>
        <w:footnoteRef/>
      </w:r>
      <w:r w:rsidRPr="008A77F8">
        <w:t xml:space="preserve"> </w:t>
      </w:r>
      <w:r w:rsidR="00824E4B">
        <w:t>Ibid</w:t>
      </w:r>
      <w:r w:rsidR="00824E4B" w:rsidRPr="008A77F8">
        <w:t xml:space="preserve"> </w:t>
      </w:r>
      <w:r w:rsidRPr="008A77F8">
        <w:rPr>
          <w:lang w:val="en-US"/>
        </w:rPr>
        <w:t>[157]</w:t>
      </w:r>
      <w:r w:rsidR="0077619B">
        <w:rPr>
          <w:lang w:val="en-US"/>
        </w:rPr>
        <w:t xml:space="preserve"> (Derrington J)</w:t>
      </w:r>
      <w:r w:rsidRPr="008A77F8">
        <w:rPr>
          <w:lang w:val="en-US"/>
        </w:rPr>
        <w:t>.</w:t>
      </w:r>
    </w:p>
  </w:footnote>
  <w:footnote w:id="177">
    <w:p w14:paraId="35F59442" w14:textId="37371A89" w:rsidR="000447B1" w:rsidRPr="008A77F8" w:rsidRDefault="000447B1" w:rsidP="000F2F7C">
      <w:pPr>
        <w:pStyle w:val="FootnoteText"/>
        <w:rPr>
          <w:lang w:val="en-US"/>
        </w:rPr>
      </w:pPr>
      <w:r w:rsidRPr="008A77F8">
        <w:rPr>
          <w:rStyle w:val="FootnoteReference"/>
        </w:rPr>
        <w:footnoteRef/>
      </w:r>
      <w:r w:rsidRPr="008A77F8">
        <w:t xml:space="preserve"> </w:t>
      </w:r>
      <w:r w:rsidR="00643162" w:rsidRPr="008A77F8">
        <w:t>See eg</w:t>
      </w:r>
      <w:r w:rsidR="00616349" w:rsidRPr="008A77F8">
        <w:t xml:space="preserve"> </w:t>
      </w:r>
      <w:r w:rsidR="00DF61EC" w:rsidRPr="008A77F8">
        <w:rPr>
          <w:i/>
          <w:iCs/>
          <w:shd w:val="clear" w:color="auto" w:fill="FFFFFF"/>
        </w:rPr>
        <w:t>Sadiqi v Commonwealth of Australia (No 2)</w:t>
      </w:r>
      <w:r w:rsidR="00DF61EC" w:rsidRPr="008A77F8">
        <w:rPr>
          <w:shd w:val="clear" w:color="auto" w:fill="FFFFFF"/>
        </w:rPr>
        <w:t> </w:t>
      </w:r>
      <w:r w:rsidR="00DF61EC" w:rsidRPr="008A77F8">
        <w:t>[2009] FCA 1117</w:t>
      </w:r>
      <w:r w:rsidR="00705EE8">
        <w:rPr>
          <w:shd w:val="clear" w:color="auto" w:fill="FFFFFF"/>
        </w:rPr>
        <w:t xml:space="preserve"> (</w:t>
      </w:r>
      <w:r w:rsidR="00616349" w:rsidRPr="008A77F8">
        <w:t>McKerracher J</w:t>
      </w:r>
      <w:r w:rsidR="00705EE8">
        <w:t>)</w:t>
      </w:r>
      <w:r w:rsidR="00616349" w:rsidRPr="008A77F8">
        <w:t xml:space="preserve"> where the court</w:t>
      </w:r>
      <w:r w:rsidR="009943E5" w:rsidRPr="008A77F8">
        <w:t xml:space="preserve"> observed that ‘[a]n allegation that a foreign sovereign state has acted unlawfully within its own territory will not be justiciable in an Australian court’ (at [252], citing </w:t>
      </w:r>
      <w:r w:rsidR="00233F00">
        <w:t>PE Nygh</w:t>
      </w:r>
      <w:r w:rsidR="009943E5" w:rsidRPr="008A77F8">
        <w:t xml:space="preserve"> and </w:t>
      </w:r>
      <w:r w:rsidR="00233F00">
        <w:t xml:space="preserve">Martin </w:t>
      </w:r>
      <w:r w:rsidR="009943E5" w:rsidRPr="008A77F8">
        <w:t xml:space="preserve">Davies, </w:t>
      </w:r>
      <w:r w:rsidR="009943E5" w:rsidRPr="008A77F8">
        <w:rPr>
          <w:i/>
          <w:iCs/>
        </w:rPr>
        <w:t xml:space="preserve">Conflict of Laws in Australia </w:t>
      </w:r>
      <w:r w:rsidR="009943E5" w:rsidRPr="008A77F8">
        <w:t>(</w:t>
      </w:r>
      <w:r w:rsidR="00233F00">
        <w:t>LexisNexis</w:t>
      </w:r>
      <w:r w:rsidR="0096799C">
        <w:t xml:space="preserve"> Butterworths</w:t>
      </w:r>
      <w:r w:rsidR="00233F00">
        <w:t xml:space="preserve">, </w:t>
      </w:r>
      <w:r w:rsidR="009943E5" w:rsidRPr="008A77F8">
        <w:t>7</w:t>
      </w:r>
      <w:r w:rsidR="009943E5" w:rsidRPr="008A77F8">
        <w:rPr>
          <w:vertAlign w:val="superscript"/>
        </w:rPr>
        <w:t>th</w:t>
      </w:r>
      <w:r w:rsidR="009943E5" w:rsidRPr="008A77F8">
        <w:t xml:space="preserve"> ed, 2002) 157.</w:t>
      </w:r>
      <w:r w:rsidR="00616349" w:rsidRPr="008A77F8">
        <w:t xml:space="preserve"> </w:t>
      </w:r>
      <w:r w:rsidR="009943E5" w:rsidRPr="008A77F8">
        <w:t>McKerracher J n</w:t>
      </w:r>
      <w:r w:rsidR="003248E1" w:rsidRPr="008A77F8">
        <w:t>oted that courts cannot adjudicate on conditions in other countries unless that is clear from the relevant legislation: ‘It is improbable that Parliament would have intended that Australian courts should without clear legislative imprimatur make judgements with public effect about whether other countries meet relevant human rights standards’ ([223]).</w:t>
      </w:r>
      <w:r w:rsidR="00DF61EC" w:rsidRPr="008A77F8">
        <w:t xml:space="preserve"> Specifically,</w:t>
      </w:r>
      <w:r w:rsidR="004334A4" w:rsidRPr="008A77F8">
        <w:t xml:space="preserve"> McKerracher J held that it </w:t>
      </w:r>
      <w:r w:rsidR="00D4590F" w:rsidRPr="008A77F8">
        <w:t>‘not open to this Court to examine the role or authority of the President of Nauru, the Principal Immigration Officer of Nauru or any other Nauruan official acting on behalf of the sovereign state’</w:t>
      </w:r>
      <w:r w:rsidR="00DF2865" w:rsidRPr="008A77F8">
        <w:t xml:space="preserve"> ( [253])</w:t>
      </w:r>
      <w:r w:rsidR="004334A4" w:rsidRPr="008A77F8">
        <w:t>.</w:t>
      </w:r>
      <w:r w:rsidR="00501C6E" w:rsidRPr="008A77F8">
        <w:t xml:space="preserve"> See also </w:t>
      </w:r>
      <w:r w:rsidR="00501C6E" w:rsidRPr="008A77F8">
        <w:rPr>
          <w:shd w:val="clear" w:color="auto" w:fill="FFFFFF"/>
        </w:rPr>
        <w:t>eg </w:t>
      </w:r>
      <w:r w:rsidR="00501C6E" w:rsidRPr="008A77F8">
        <w:rPr>
          <w:i/>
          <w:iCs/>
          <w:shd w:val="clear" w:color="auto" w:fill="FFFFFF"/>
        </w:rPr>
        <w:t>A-G (UK) v Heinemann Publishers Australia Pty Ltd</w:t>
      </w:r>
      <w:r w:rsidR="00501C6E" w:rsidRPr="008A77F8">
        <w:rPr>
          <w:shd w:val="clear" w:color="auto" w:fill="FFFFFF"/>
        </w:rPr>
        <w:t xml:space="preserve"> ("Spycatcher case") </w:t>
      </w:r>
      <w:r w:rsidR="000B1AF7">
        <w:rPr>
          <w:shd w:val="clear" w:color="auto" w:fill="FFFFFF"/>
        </w:rPr>
        <w:t>(</w:t>
      </w:r>
      <w:r w:rsidR="00A92846">
        <w:rPr>
          <w:shd w:val="clear" w:color="auto" w:fill="FFFFFF"/>
        </w:rPr>
        <w:t>1988) 165 CLR 30.</w:t>
      </w:r>
    </w:p>
  </w:footnote>
  <w:footnote w:id="178">
    <w:p w14:paraId="73EDED43" w14:textId="1EA8F1D1" w:rsidR="00BF7A51" w:rsidRPr="008A77F8" w:rsidRDefault="00BF7A51" w:rsidP="00BB0856">
      <w:pPr>
        <w:autoSpaceDE w:val="0"/>
        <w:autoSpaceDN w:val="0"/>
        <w:adjustRightInd w:val="0"/>
        <w:rPr>
          <w:rFonts w:ascii="Times New Roman" w:hAnsi="Times New Roman" w:cs="Times New Roman"/>
          <w:sz w:val="20"/>
          <w:szCs w:val="20"/>
          <w:lang w:val="en-US"/>
        </w:rPr>
      </w:pPr>
      <w:r w:rsidRPr="008A77F8">
        <w:rPr>
          <w:rStyle w:val="FootnoteReference"/>
          <w:rFonts w:ascii="Times New Roman" w:hAnsi="Times New Roman" w:cs="Times New Roman"/>
          <w:sz w:val="20"/>
          <w:szCs w:val="20"/>
        </w:rPr>
        <w:footnoteRef/>
      </w:r>
      <w:r w:rsidRPr="008A77F8">
        <w:rPr>
          <w:rFonts w:ascii="Times New Roman" w:hAnsi="Times New Roman" w:cs="Times New Roman"/>
          <w:sz w:val="20"/>
          <w:szCs w:val="20"/>
        </w:rPr>
        <w:t xml:space="preserve"> </w:t>
      </w:r>
      <w:r w:rsidR="00BB0856" w:rsidRPr="00BB0856">
        <w:rPr>
          <w:rFonts w:ascii="Times New Roman" w:hAnsi="Times New Roman" w:cs="Times New Roman"/>
          <w:sz w:val="20"/>
          <w:szCs w:val="20"/>
        </w:rPr>
        <w:t>On the importance of state sovereignty in the formulation of border control and refugee policies, see Maria O’Sullivan and Dallal Stevens</w:t>
      </w:r>
      <w:r w:rsidR="00BB0856">
        <w:rPr>
          <w:rFonts w:ascii="Times New Roman" w:hAnsi="Times New Roman" w:cs="Times New Roman"/>
          <w:sz w:val="20"/>
          <w:szCs w:val="20"/>
        </w:rPr>
        <w:t xml:space="preserve">, </w:t>
      </w:r>
      <w:r w:rsidR="00BB0856" w:rsidRPr="00BB0856">
        <w:rPr>
          <w:rFonts w:ascii="Times New Roman" w:hAnsi="Times New Roman" w:cs="Times New Roman"/>
          <w:i/>
          <w:iCs/>
          <w:kern w:val="0"/>
          <w:sz w:val="20"/>
          <w:szCs w:val="20"/>
        </w:rPr>
        <w:t xml:space="preserve">States, The Law </w:t>
      </w:r>
      <w:r w:rsidR="00BB0856">
        <w:rPr>
          <w:rFonts w:ascii="Times New Roman" w:hAnsi="Times New Roman" w:cs="Times New Roman"/>
          <w:i/>
          <w:iCs/>
          <w:kern w:val="0"/>
          <w:sz w:val="20"/>
          <w:szCs w:val="20"/>
        </w:rPr>
        <w:t>a</w:t>
      </w:r>
      <w:r w:rsidR="00BB0856" w:rsidRPr="00BB0856">
        <w:rPr>
          <w:rFonts w:ascii="Times New Roman" w:hAnsi="Times New Roman" w:cs="Times New Roman"/>
          <w:i/>
          <w:iCs/>
          <w:kern w:val="0"/>
          <w:sz w:val="20"/>
          <w:szCs w:val="20"/>
        </w:rPr>
        <w:t xml:space="preserve">nd Access </w:t>
      </w:r>
      <w:r w:rsidR="00BB0856">
        <w:rPr>
          <w:rFonts w:ascii="Times New Roman" w:hAnsi="Times New Roman" w:cs="Times New Roman"/>
          <w:i/>
          <w:iCs/>
          <w:kern w:val="0"/>
          <w:sz w:val="20"/>
          <w:szCs w:val="20"/>
        </w:rPr>
        <w:t>t</w:t>
      </w:r>
      <w:r w:rsidR="00BB0856" w:rsidRPr="00BB0856">
        <w:rPr>
          <w:rFonts w:ascii="Times New Roman" w:hAnsi="Times New Roman" w:cs="Times New Roman"/>
          <w:i/>
          <w:iCs/>
          <w:kern w:val="0"/>
          <w:sz w:val="20"/>
          <w:szCs w:val="20"/>
        </w:rPr>
        <w:t>o Refugee Protection</w:t>
      </w:r>
      <w:r w:rsidR="00BB0856">
        <w:rPr>
          <w:rFonts w:ascii="Times New Roman" w:hAnsi="Times New Roman" w:cs="Times New Roman"/>
          <w:kern w:val="0"/>
          <w:sz w:val="20"/>
          <w:szCs w:val="20"/>
        </w:rPr>
        <w:t xml:space="preserve"> (Hart, 2017) 28-32</w:t>
      </w:r>
      <w:r w:rsidR="0096799C">
        <w:rPr>
          <w:rFonts w:ascii="Times New Roman" w:hAnsi="Times New Roman" w:cs="Times New Roman"/>
          <w:kern w:val="0"/>
          <w:sz w:val="20"/>
          <w:szCs w:val="20"/>
        </w:rPr>
        <w:t xml:space="preserve"> and</w:t>
      </w:r>
      <w:r w:rsidR="00BB0856">
        <w:rPr>
          <w:rFonts w:ascii="Times New Roman" w:hAnsi="Times New Roman" w:cs="Times New Roman"/>
          <w:kern w:val="0"/>
          <w:sz w:val="20"/>
          <w:szCs w:val="20"/>
        </w:rPr>
        <w:t xml:space="preserve"> 70</w:t>
      </w:r>
      <w:r w:rsidR="00BB0856" w:rsidRPr="008A77F8">
        <w:rPr>
          <w:rFonts w:ascii="Times New Roman" w:hAnsi="Times New Roman" w:cs="Times New Roman"/>
          <w:sz w:val="20"/>
          <w:szCs w:val="20"/>
        </w:rPr>
        <w:t>.</w:t>
      </w:r>
    </w:p>
  </w:footnote>
  <w:footnote w:id="179">
    <w:p w14:paraId="3E10F59B" w14:textId="29E383DF" w:rsidR="00C066D5" w:rsidRPr="00B27D75" w:rsidRDefault="00C066D5" w:rsidP="000F2F7C">
      <w:pPr>
        <w:pStyle w:val="FootnoteText"/>
        <w:rPr>
          <w:lang w:val="en-US"/>
        </w:rPr>
      </w:pPr>
      <w:r w:rsidRPr="008A77F8">
        <w:rPr>
          <w:rStyle w:val="FootnoteReference"/>
        </w:rPr>
        <w:footnoteRef/>
      </w:r>
      <w:r w:rsidRPr="008A77F8">
        <w:t xml:space="preserve"> </w:t>
      </w:r>
      <w:r w:rsidR="00B27D75">
        <w:t xml:space="preserve">Douglas McDonald-Norman, ‘The Trump Card: ENT19 v Minister for Home Affairs [2023] HCA 18’, </w:t>
      </w:r>
      <w:r w:rsidR="00B27D75">
        <w:rPr>
          <w:i/>
          <w:iCs/>
        </w:rPr>
        <w:t>Australian Public Law Blog</w:t>
      </w:r>
      <w:r w:rsidR="00B27D75">
        <w:t>, 7 July 2023 &lt;</w:t>
      </w:r>
      <w:r w:rsidR="00B27D75" w:rsidRPr="00B27D75">
        <w:t>https://www.auspublaw.org/blog/2023/7/the-trump-card-ent19-v-minister-for-home-affairs-2023-hca-18</w:t>
      </w:r>
      <w:r w:rsidR="00B27D75">
        <w:t>&gt;.</w:t>
      </w:r>
    </w:p>
  </w:footnote>
  <w:footnote w:id="180">
    <w:p w14:paraId="2BAB208A" w14:textId="77777777" w:rsidR="00C066D5" w:rsidRPr="008A77F8" w:rsidRDefault="00C066D5" w:rsidP="000F2F7C">
      <w:pPr>
        <w:pStyle w:val="FootnoteText"/>
        <w:rPr>
          <w:lang w:val="en-US"/>
        </w:rPr>
      </w:pPr>
      <w:r w:rsidRPr="008A77F8">
        <w:rPr>
          <w:rStyle w:val="FootnoteReference"/>
        </w:rPr>
        <w:footnoteRef/>
      </w:r>
      <w:r w:rsidRPr="008A77F8">
        <w:t xml:space="preserve"> </w:t>
      </w:r>
      <w:r w:rsidRPr="008A77F8">
        <w:rPr>
          <w:lang w:val="en-US"/>
        </w:rPr>
        <w:t>Ibid.</w:t>
      </w:r>
    </w:p>
  </w:footnote>
  <w:footnote w:id="181">
    <w:p w14:paraId="247B1C2F" w14:textId="591CF979" w:rsidR="000B66B1" w:rsidRPr="008A77F8" w:rsidRDefault="000B66B1" w:rsidP="000F2F7C">
      <w:pPr>
        <w:pStyle w:val="FootnoteText"/>
      </w:pPr>
      <w:r w:rsidRPr="008A77F8">
        <w:rPr>
          <w:rStyle w:val="FootnoteReference"/>
        </w:rPr>
        <w:footnoteRef/>
      </w:r>
      <w:r w:rsidRPr="008A77F8">
        <w:t xml:space="preserve"> </w:t>
      </w:r>
      <w:r w:rsidR="00EA2FFF" w:rsidRPr="008A77F8">
        <w:t xml:space="preserve">Appleby and Reilly (n </w:t>
      </w:r>
      <w:r w:rsidR="00831080">
        <w:t>10</w:t>
      </w:r>
      <w:r w:rsidR="00EA2FFF" w:rsidRPr="008A77F8">
        <w:t>) 304-305.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3CA2"/>
    <w:multiLevelType w:val="hybridMultilevel"/>
    <w:tmpl w:val="964209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990D70"/>
    <w:multiLevelType w:val="hybridMultilevel"/>
    <w:tmpl w:val="6B8EC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426562"/>
    <w:multiLevelType w:val="hybridMultilevel"/>
    <w:tmpl w:val="60BA5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8A381E"/>
    <w:multiLevelType w:val="multilevel"/>
    <w:tmpl w:val="1EB68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EA29AE"/>
    <w:multiLevelType w:val="hybridMultilevel"/>
    <w:tmpl w:val="79D43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6F6197"/>
    <w:multiLevelType w:val="hybridMultilevel"/>
    <w:tmpl w:val="EC1A2B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B3E591A"/>
    <w:multiLevelType w:val="hybridMultilevel"/>
    <w:tmpl w:val="0E529A8A"/>
    <w:lvl w:ilvl="0" w:tplc="3878A188">
      <w:start w:val="1"/>
      <w:numFmt w:val="decimal"/>
      <w:lvlText w:val="%1."/>
      <w:lvlJc w:val="left"/>
      <w:pPr>
        <w:ind w:left="1080" w:hanging="360"/>
      </w:pPr>
      <w:rPr>
        <w:rFonts w:hint="default"/>
        <w:b w:val="0"/>
        <w:bCs w:val="0"/>
        <w:i w:val="0"/>
        <w:iCs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54463CE1"/>
    <w:multiLevelType w:val="hybridMultilevel"/>
    <w:tmpl w:val="6B26E8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5F7125"/>
    <w:multiLevelType w:val="multilevel"/>
    <w:tmpl w:val="CDD26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6E7299"/>
    <w:multiLevelType w:val="hybridMultilevel"/>
    <w:tmpl w:val="3FE6BB5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741052493">
    <w:abstractNumId w:val="3"/>
    <w:lvlOverride w:ilvl="0">
      <w:startOverride w:val="51"/>
    </w:lvlOverride>
  </w:num>
  <w:num w:numId="2" w16cid:durableId="1167092804">
    <w:abstractNumId w:val="9"/>
  </w:num>
  <w:num w:numId="3" w16cid:durableId="1059130055">
    <w:abstractNumId w:val="7"/>
  </w:num>
  <w:num w:numId="4" w16cid:durableId="778332984">
    <w:abstractNumId w:val="6"/>
  </w:num>
  <w:num w:numId="5" w16cid:durableId="1683193668">
    <w:abstractNumId w:val="4"/>
  </w:num>
  <w:num w:numId="6" w16cid:durableId="1942452024">
    <w:abstractNumId w:val="0"/>
  </w:num>
  <w:num w:numId="7" w16cid:durableId="1075711628">
    <w:abstractNumId w:val="5"/>
  </w:num>
  <w:num w:numId="8" w16cid:durableId="1051925123">
    <w:abstractNumId w:val="1"/>
  </w:num>
  <w:num w:numId="9" w16cid:durableId="624852550">
    <w:abstractNumId w:val="2"/>
  </w:num>
  <w:num w:numId="10" w16cid:durableId="9568352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83"/>
    <w:rsid w:val="000000D7"/>
    <w:rsid w:val="00000D12"/>
    <w:rsid w:val="00001D0A"/>
    <w:rsid w:val="000020E4"/>
    <w:rsid w:val="00002AE6"/>
    <w:rsid w:val="0000580F"/>
    <w:rsid w:val="00006883"/>
    <w:rsid w:val="00010945"/>
    <w:rsid w:val="00014DAC"/>
    <w:rsid w:val="00015A2D"/>
    <w:rsid w:val="00016A52"/>
    <w:rsid w:val="00017609"/>
    <w:rsid w:val="00017BCD"/>
    <w:rsid w:val="00023F10"/>
    <w:rsid w:val="000240D9"/>
    <w:rsid w:val="000244AB"/>
    <w:rsid w:val="00025311"/>
    <w:rsid w:val="000264C4"/>
    <w:rsid w:val="0002718B"/>
    <w:rsid w:val="00027303"/>
    <w:rsid w:val="00027F53"/>
    <w:rsid w:val="00027F8B"/>
    <w:rsid w:val="00030B3B"/>
    <w:rsid w:val="00031A39"/>
    <w:rsid w:val="00032FF7"/>
    <w:rsid w:val="00033C4B"/>
    <w:rsid w:val="00035549"/>
    <w:rsid w:val="0003620C"/>
    <w:rsid w:val="00036781"/>
    <w:rsid w:val="00036867"/>
    <w:rsid w:val="00037073"/>
    <w:rsid w:val="00037535"/>
    <w:rsid w:val="00043701"/>
    <w:rsid w:val="00043BCC"/>
    <w:rsid w:val="000447B1"/>
    <w:rsid w:val="0005024D"/>
    <w:rsid w:val="0005314B"/>
    <w:rsid w:val="000540E8"/>
    <w:rsid w:val="00054CC8"/>
    <w:rsid w:val="00056365"/>
    <w:rsid w:val="00056DBE"/>
    <w:rsid w:val="000571C2"/>
    <w:rsid w:val="00060631"/>
    <w:rsid w:val="000649FE"/>
    <w:rsid w:val="00065453"/>
    <w:rsid w:val="00065E22"/>
    <w:rsid w:val="0006654D"/>
    <w:rsid w:val="00067F3F"/>
    <w:rsid w:val="00070AA8"/>
    <w:rsid w:val="00071641"/>
    <w:rsid w:val="0007310F"/>
    <w:rsid w:val="00074364"/>
    <w:rsid w:val="00075190"/>
    <w:rsid w:val="00077FA6"/>
    <w:rsid w:val="00080981"/>
    <w:rsid w:val="00082695"/>
    <w:rsid w:val="000828BD"/>
    <w:rsid w:val="00086139"/>
    <w:rsid w:val="00090D3F"/>
    <w:rsid w:val="00090E04"/>
    <w:rsid w:val="00091E94"/>
    <w:rsid w:val="0009510E"/>
    <w:rsid w:val="00095254"/>
    <w:rsid w:val="00097E76"/>
    <w:rsid w:val="000A1D16"/>
    <w:rsid w:val="000A2B01"/>
    <w:rsid w:val="000A3433"/>
    <w:rsid w:val="000A38DD"/>
    <w:rsid w:val="000B0929"/>
    <w:rsid w:val="000B0A95"/>
    <w:rsid w:val="000B0FAF"/>
    <w:rsid w:val="000B1AF7"/>
    <w:rsid w:val="000B2368"/>
    <w:rsid w:val="000B5887"/>
    <w:rsid w:val="000B6415"/>
    <w:rsid w:val="000B66B1"/>
    <w:rsid w:val="000B75C0"/>
    <w:rsid w:val="000C2115"/>
    <w:rsid w:val="000C43A0"/>
    <w:rsid w:val="000D05EB"/>
    <w:rsid w:val="000D0CAD"/>
    <w:rsid w:val="000D3477"/>
    <w:rsid w:val="000D3E7C"/>
    <w:rsid w:val="000D4094"/>
    <w:rsid w:val="000E028D"/>
    <w:rsid w:val="000E054C"/>
    <w:rsid w:val="000E0620"/>
    <w:rsid w:val="000E1724"/>
    <w:rsid w:val="000E3CAD"/>
    <w:rsid w:val="000E4220"/>
    <w:rsid w:val="000E4EFF"/>
    <w:rsid w:val="000E5800"/>
    <w:rsid w:val="000E7E25"/>
    <w:rsid w:val="000F176F"/>
    <w:rsid w:val="000F2F7C"/>
    <w:rsid w:val="000F3C26"/>
    <w:rsid w:val="000F4441"/>
    <w:rsid w:val="000F4702"/>
    <w:rsid w:val="000F5BF9"/>
    <w:rsid w:val="000F6A01"/>
    <w:rsid w:val="00100121"/>
    <w:rsid w:val="0010027A"/>
    <w:rsid w:val="001012AB"/>
    <w:rsid w:val="001024E2"/>
    <w:rsid w:val="001028D9"/>
    <w:rsid w:val="00102D32"/>
    <w:rsid w:val="001041B7"/>
    <w:rsid w:val="001059C0"/>
    <w:rsid w:val="00105A7D"/>
    <w:rsid w:val="00105CCE"/>
    <w:rsid w:val="00110943"/>
    <w:rsid w:val="00113AD8"/>
    <w:rsid w:val="00113D60"/>
    <w:rsid w:val="00115444"/>
    <w:rsid w:val="001154EB"/>
    <w:rsid w:val="00116370"/>
    <w:rsid w:val="00116390"/>
    <w:rsid w:val="00116E36"/>
    <w:rsid w:val="0011725E"/>
    <w:rsid w:val="001173DF"/>
    <w:rsid w:val="00120077"/>
    <w:rsid w:val="0012012C"/>
    <w:rsid w:val="001203D2"/>
    <w:rsid w:val="00120F2C"/>
    <w:rsid w:val="0012143E"/>
    <w:rsid w:val="00121753"/>
    <w:rsid w:val="00121AD3"/>
    <w:rsid w:val="00121EFB"/>
    <w:rsid w:val="001225F4"/>
    <w:rsid w:val="00123512"/>
    <w:rsid w:val="001238C7"/>
    <w:rsid w:val="00124446"/>
    <w:rsid w:val="00124E65"/>
    <w:rsid w:val="0013002A"/>
    <w:rsid w:val="00130CD1"/>
    <w:rsid w:val="001327A7"/>
    <w:rsid w:val="00133353"/>
    <w:rsid w:val="00133F02"/>
    <w:rsid w:val="001342DD"/>
    <w:rsid w:val="0013622F"/>
    <w:rsid w:val="0013698D"/>
    <w:rsid w:val="001375DB"/>
    <w:rsid w:val="00137776"/>
    <w:rsid w:val="00141F69"/>
    <w:rsid w:val="001430E3"/>
    <w:rsid w:val="00143157"/>
    <w:rsid w:val="001447B9"/>
    <w:rsid w:val="00144F27"/>
    <w:rsid w:val="00144FC2"/>
    <w:rsid w:val="001451B7"/>
    <w:rsid w:val="00145911"/>
    <w:rsid w:val="00150DE0"/>
    <w:rsid w:val="001522F2"/>
    <w:rsid w:val="00152315"/>
    <w:rsid w:val="0015354B"/>
    <w:rsid w:val="00153C98"/>
    <w:rsid w:val="00155192"/>
    <w:rsid w:val="00157DE5"/>
    <w:rsid w:val="00161282"/>
    <w:rsid w:val="001625E9"/>
    <w:rsid w:val="00165724"/>
    <w:rsid w:val="0017236B"/>
    <w:rsid w:val="00172432"/>
    <w:rsid w:val="00172FC9"/>
    <w:rsid w:val="00175C62"/>
    <w:rsid w:val="00181660"/>
    <w:rsid w:val="00182D60"/>
    <w:rsid w:val="001830B6"/>
    <w:rsid w:val="00183CED"/>
    <w:rsid w:val="001846E7"/>
    <w:rsid w:val="00184F8F"/>
    <w:rsid w:val="00190AE6"/>
    <w:rsid w:val="001924C1"/>
    <w:rsid w:val="001936FC"/>
    <w:rsid w:val="00193DD0"/>
    <w:rsid w:val="00193FD8"/>
    <w:rsid w:val="00195790"/>
    <w:rsid w:val="00196261"/>
    <w:rsid w:val="00197103"/>
    <w:rsid w:val="001A0C4C"/>
    <w:rsid w:val="001A6087"/>
    <w:rsid w:val="001A70DD"/>
    <w:rsid w:val="001A71B8"/>
    <w:rsid w:val="001B19AC"/>
    <w:rsid w:val="001B5625"/>
    <w:rsid w:val="001B796C"/>
    <w:rsid w:val="001B7F26"/>
    <w:rsid w:val="001C32A5"/>
    <w:rsid w:val="001C3D29"/>
    <w:rsid w:val="001C4F1E"/>
    <w:rsid w:val="001C5B0F"/>
    <w:rsid w:val="001C6DA0"/>
    <w:rsid w:val="001C7AEE"/>
    <w:rsid w:val="001C7F71"/>
    <w:rsid w:val="001D1612"/>
    <w:rsid w:val="001D258E"/>
    <w:rsid w:val="001D31C4"/>
    <w:rsid w:val="001D512A"/>
    <w:rsid w:val="001D5BE7"/>
    <w:rsid w:val="001D5FCE"/>
    <w:rsid w:val="001E0885"/>
    <w:rsid w:val="001E15FD"/>
    <w:rsid w:val="001E26AB"/>
    <w:rsid w:val="001E3C69"/>
    <w:rsid w:val="001E72ED"/>
    <w:rsid w:val="001E74C9"/>
    <w:rsid w:val="001F204E"/>
    <w:rsid w:val="001F4801"/>
    <w:rsid w:val="002014E4"/>
    <w:rsid w:val="0020199C"/>
    <w:rsid w:val="002025BB"/>
    <w:rsid w:val="00205E87"/>
    <w:rsid w:val="00206D21"/>
    <w:rsid w:val="00207454"/>
    <w:rsid w:val="0021077E"/>
    <w:rsid w:val="00211769"/>
    <w:rsid w:val="00212A55"/>
    <w:rsid w:val="00213AA4"/>
    <w:rsid w:val="002160B0"/>
    <w:rsid w:val="002170F0"/>
    <w:rsid w:val="002172EA"/>
    <w:rsid w:val="002217FB"/>
    <w:rsid w:val="002226A2"/>
    <w:rsid w:val="002226B4"/>
    <w:rsid w:val="00222846"/>
    <w:rsid w:val="002303C4"/>
    <w:rsid w:val="00231DDE"/>
    <w:rsid w:val="00233F00"/>
    <w:rsid w:val="00234B44"/>
    <w:rsid w:val="00235497"/>
    <w:rsid w:val="002372F1"/>
    <w:rsid w:val="00237E95"/>
    <w:rsid w:val="002402CC"/>
    <w:rsid w:val="00241048"/>
    <w:rsid w:val="002410F9"/>
    <w:rsid w:val="00241FB8"/>
    <w:rsid w:val="002426E8"/>
    <w:rsid w:val="00242EF1"/>
    <w:rsid w:val="00243550"/>
    <w:rsid w:val="00244BDF"/>
    <w:rsid w:val="00245328"/>
    <w:rsid w:val="00245564"/>
    <w:rsid w:val="002458BA"/>
    <w:rsid w:val="002464AC"/>
    <w:rsid w:val="00250C06"/>
    <w:rsid w:val="0025148C"/>
    <w:rsid w:val="00252B02"/>
    <w:rsid w:val="0025324F"/>
    <w:rsid w:val="00254E21"/>
    <w:rsid w:val="0025522B"/>
    <w:rsid w:val="0025579B"/>
    <w:rsid w:val="00256733"/>
    <w:rsid w:val="00257FBF"/>
    <w:rsid w:val="00261F77"/>
    <w:rsid w:val="0026265A"/>
    <w:rsid w:val="002634C7"/>
    <w:rsid w:val="0026371E"/>
    <w:rsid w:val="002648C2"/>
    <w:rsid w:val="002652E4"/>
    <w:rsid w:val="00266B51"/>
    <w:rsid w:val="00266C2B"/>
    <w:rsid w:val="00267B56"/>
    <w:rsid w:val="0027151E"/>
    <w:rsid w:val="002722D1"/>
    <w:rsid w:val="002728FC"/>
    <w:rsid w:val="0027374C"/>
    <w:rsid w:val="002738E4"/>
    <w:rsid w:val="00275BA5"/>
    <w:rsid w:val="00276052"/>
    <w:rsid w:val="00276A92"/>
    <w:rsid w:val="00277071"/>
    <w:rsid w:val="00281002"/>
    <w:rsid w:val="002833FD"/>
    <w:rsid w:val="00283DB7"/>
    <w:rsid w:val="002848D7"/>
    <w:rsid w:val="00286CE1"/>
    <w:rsid w:val="00287F35"/>
    <w:rsid w:val="00290051"/>
    <w:rsid w:val="00290C6B"/>
    <w:rsid w:val="0029106D"/>
    <w:rsid w:val="002926B5"/>
    <w:rsid w:val="00292B5B"/>
    <w:rsid w:val="002950CA"/>
    <w:rsid w:val="002959F5"/>
    <w:rsid w:val="002966A2"/>
    <w:rsid w:val="00296820"/>
    <w:rsid w:val="00297B05"/>
    <w:rsid w:val="002A17DE"/>
    <w:rsid w:val="002A25AC"/>
    <w:rsid w:val="002A3AF5"/>
    <w:rsid w:val="002A5AA2"/>
    <w:rsid w:val="002A5D4F"/>
    <w:rsid w:val="002A7029"/>
    <w:rsid w:val="002A72F5"/>
    <w:rsid w:val="002A7FD7"/>
    <w:rsid w:val="002B0734"/>
    <w:rsid w:val="002B0DE7"/>
    <w:rsid w:val="002B15DA"/>
    <w:rsid w:val="002B2D9D"/>
    <w:rsid w:val="002B355F"/>
    <w:rsid w:val="002B41CC"/>
    <w:rsid w:val="002B5143"/>
    <w:rsid w:val="002B5959"/>
    <w:rsid w:val="002B5DD7"/>
    <w:rsid w:val="002C0DAC"/>
    <w:rsid w:val="002C0DAE"/>
    <w:rsid w:val="002C425B"/>
    <w:rsid w:val="002C64F5"/>
    <w:rsid w:val="002C6A7B"/>
    <w:rsid w:val="002D1500"/>
    <w:rsid w:val="002D1C3F"/>
    <w:rsid w:val="002D2CD6"/>
    <w:rsid w:val="002D2FFC"/>
    <w:rsid w:val="002D4BBD"/>
    <w:rsid w:val="002D5036"/>
    <w:rsid w:val="002D6440"/>
    <w:rsid w:val="002E0488"/>
    <w:rsid w:val="002E4645"/>
    <w:rsid w:val="002E4DF6"/>
    <w:rsid w:val="002E66F6"/>
    <w:rsid w:val="002E791C"/>
    <w:rsid w:val="002E7964"/>
    <w:rsid w:val="002E7D40"/>
    <w:rsid w:val="002F1242"/>
    <w:rsid w:val="002F2AFB"/>
    <w:rsid w:val="002F2C79"/>
    <w:rsid w:val="002F5136"/>
    <w:rsid w:val="002F55B5"/>
    <w:rsid w:val="002F55E2"/>
    <w:rsid w:val="002F5A83"/>
    <w:rsid w:val="002F6984"/>
    <w:rsid w:val="002F7382"/>
    <w:rsid w:val="002F77A1"/>
    <w:rsid w:val="00301C97"/>
    <w:rsid w:val="00301E26"/>
    <w:rsid w:val="00303655"/>
    <w:rsid w:val="00304C7B"/>
    <w:rsid w:val="00307AE0"/>
    <w:rsid w:val="00307B73"/>
    <w:rsid w:val="00310306"/>
    <w:rsid w:val="003104F1"/>
    <w:rsid w:val="00311BC8"/>
    <w:rsid w:val="00312241"/>
    <w:rsid w:val="00312603"/>
    <w:rsid w:val="003134A1"/>
    <w:rsid w:val="003144FA"/>
    <w:rsid w:val="00314EEC"/>
    <w:rsid w:val="00316CAC"/>
    <w:rsid w:val="00316DA6"/>
    <w:rsid w:val="0032364C"/>
    <w:rsid w:val="00323E48"/>
    <w:rsid w:val="003248E1"/>
    <w:rsid w:val="00325DC7"/>
    <w:rsid w:val="003266DA"/>
    <w:rsid w:val="00326FEA"/>
    <w:rsid w:val="00330E18"/>
    <w:rsid w:val="00330F2C"/>
    <w:rsid w:val="0033154A"/>
    <w:rsid w:val="0033156C"/>
    <w:rsid w:val="00331847"/>
    <w:rsid w:val="00331B31"/>
    <w:rsid w:val="00332419"/>
    <w:rsid w:val="00332F62"/>
    <w:rsid w:val="00333CF9"/>
    <w:rsid w:val="00334FA7"/>
    <w:rsid w:val="0033603E"/>
    <w:rsid w:val="003376E7"/>
    <w:rsid w:val="00340C42"/>
    <w:rsid w:val="00342BCD"/>
    <w:rsid w:val="00345F2E"/>
    <w:rsid w:val="003475E8"/>
    <w:rsid w:val="00347BF3"/>
    <w:rsid w:val="00350667"/>
    <w:rsid w:val="0035076D"/>
    <w:rsid w:val="003532AE"/>
    <w:rsid w:val="00354DA6"/>
    <w:rsid w:val="00355384"/>
    <w:rsid w:val="003574A9"/>
    <w:rsid w:val="00360216"/>
    <w:rsid w:val="003607F4"/>
    <w:rsid w:val="00361B26"/>
    <w:rsid w:val="00362878"/>
    <w:rsid w:val="0036493B"/>
    <w:rsid w:val="0036618E"/>
    <w:rsid w:val="00367330"/>
    <w:rsid w:val="003709E5"/>
    <w:rsid w:val="0037198B"/>
    <w:rsid w:val="00371D05"/>
    <w:rsid w:val="00372701"/>
    <w:rsid w:val="00372BE5"/>
    <w:rsid w:val="003732BE"/>
    <w:rsid w:val="00375966"/>
    <w:rsid w:val="00375DB4"/>
    <w:rsid w:val="003760CD"/>
    <w:rsid w:val="00376C50"/>
    <w:rsid w:val="00380A02"/>
    <w:rsid w:val="00384F44"/>
    <w:rsid w:val="0038512E"/>
    <w:rsid w:val="0038605C"/>
    <w:rsid w:val="00387003"/>
    <w:rsid w:val="0038720B"/>
    <w:rsid w:val="0039120C"/>
    <w:rsid w:val="0039249E"/>
    <w:rsid w:val="0039254A"/>
    <w:rsid w:val="003961F6"/>
    <w:rsid w:val="003962DD"/>
    <w:rsid w:val="003977F4"/>
    <w:rsid w:val="003A19E3"/>
    <w:rsid w:val="003A211F"/>
    <w:rsid w:val="003A51FB"/>
    <w:rsid w:val="003A5234"/>
    <w:rsid w:val="003A5693"/>
    <w:rsid w:val="003A5858"/>
    <w:rsid w:val="003A7BF5"/>
    <w:rsid w:val="003A7C9E"/>
    <w:rsid w:val="003A7D92"/>
    <w:rsid w:val="003B0785"/>
    <w:rsid w:val="003B1B44"/>
    <w:rsid w:val="003B244C"/>
    <w:rsid w:val="003C0BD1"/>
    <w:rsid w:val="003C0F24"/>
    <w:rsid w:val="003C285C"/>
    <w:rsid w:val="003C2D31"/>
    <w:rsid w:val="003C3C11"/>
    <w:rsid w:val="003C45B6"/>
    <w:rsid w:val="003C46E6"/>
    <w:rsid w:val="003C4E25"/>
    <w:rsid w:val="003C5961"/>
    <w:rsid w:val="003C5DBA"/>
    <w:rsid w:val="003C65B0"/>
    <w:rsid w:val="003C6D4D"/>
    <w:rsid w:val="003D0C9C"/>
    <w:rsid w:val="003D0DCB"/>
    <w:rsid w:val="003D40A3"/>
    <w:rsid w:val="003D491E"/>
    <w:rsid w:val="003D53E3"/>
    <w:rsid w:val="003D6796"/>
    <w:rsid w:val="003E092C"/>
    <w:rsid w:val="003E1945"/>
    <w:rsid w:val="003E3584"/>
    <w:rsid w:val="003E4F4F"/>
    <w:rsid w:val="003F0C00"/>
    <w:rsid w:val="003F334A"/>
    <w:rsid w:val="003F377C"/>
    <w:rsid w:val="003F40F5"/>
    <w:rsid w:val="003F4DA3"/>
    <w:rsid w:val="003F4E31"/>
    <w:rsid w:val="004009F7"/>
    <w:rsid w:val="0040128D"/>
    <w:rsid w:val="00401D34"/>
    <w:rsid w:val="00401FD8"/>
    <w:rsid w:val="00403264"/>
    <w:rsid w:val="00404EB2"/>
    <w:rsid w:val="00405A13"/>
    <w:rsid w:val="00406069"/>
    <w:rsid w:val="00406549"/>
    <w:rsid w:val="004067AC"/>
    <w:rsid w:val="0040689F"/>
    <w:rsid w:val="00406B07"/>
    <w:rsid w:val="0040773D"/>
    <w:rsid w:val="004102D5"/>
    <w:rsid w:val="00410402"/>
    <w:rsid w:val="00411383"/>
    <w:rsid w:val="00411AB2"/>
    <w:rsid w:val="004120B9"/>
    <w:rsid w:val="00412B03"/>
    <w:rsid w:val="00413FE8"/>
    <w:rsid w:val="0041400F"/>
    <w:rsid w:val="00414796"/>
    <w:rsid w:val="0041580E"/>
    <w:rsid w:val="00417E02"/>
    <w:rsid w:val="00421FB6"/>
    <w:rsid w:val="00422DD1"/>
    <w:rsid w:val="0042378F"/>
    <w:rsid w:val="0042407A"/>
    <w:rsid w:val="00426FB0"/>
    <w:rsid w:val="00427C32"/>
    <w:rsid w:val="004334A4"/>
    <w:rsid w:val="0043423C"/>
    <w:rsid w:val="004365C8"/>
    <w:rsid w:val="004379CE"/>
    <w:rsid w:val="00440541"/>
    <w:rsid w:val="0044071F"/>
    <w:rsid w:val="0044184E"/>
    <w:rsid w:val="00441871"/>
    <w:rsid w:val="004421CB"/>
    <w:rsid w:val="00442BB9"/>
    <w:rsid w:val="00443AE4"/>
    <w:rsid w:val="00444244"/>
    <w:rsid w:val="0044474D"/>
    <w:rsid w:val="004477AA"/>
    <w:rsid w:val="00447F60"/>
    <w:rsid w:val="00453ADA"/>
    <w:rsid w:val="00453F18"/>
    <w:rsid w:val="00454942"/>
    <w:rsid w:val="00454B38"/>
    <w:rsid w:val="00454E7F"/>
    <w:rsid w:val="004636CF"/>
    <w:rsid w:val="00463B95"/>
    <w:rsid w:val="00464BC8"/>
    <w:rsid w:val="004651F9"/>
    <w:rsid w:val="00466B5C"/>
    <w:rsid w:val="0046798C"/>
    <w:rsid w:val="00467DCD"/>
    <w:rsid w:val="00471DD3"/>
    <w:rsid w:val="004730E4"/>
    <w:rsid w:val="00474AF7"/>
    <w:rsid w:val="004762A6"/>
    <w:rsid w:val="00476798"/>
    <w:rsid w:val="0047711C"/>
    <w:rsid w:val="00480D03"/>
    <w:rsid w:val="00480D14"/>
    <w:rsid w:val="004811EE"/>
    <w:rsid w:val="004841AB"/>
    <w:rsid w:val="004844FF"/>
    <w:rsid w:val="00484BEC"/>
    <w:rsid w:val="00484E56"/>
    <w:rsid w:val="00485062"/>
    <w:rsid w:val="004922AD"/>
    <w:rsid w:val="004939C3"/>
    <w:rsid w:val="00494250"/>
    <w:rsid w:val="00494423"/>
    <w:rsid w:val="0049462C"/>
    <w:rsid w:val="00494CF7"/>
    <w:rsid w:val="00495B42"/>
    <w:rsid w:val="004962B3"/>
    <w:rsid w:val="004A067C"/>
    <w:rsid w:val="004A0F01"/>
    <w:rsid w:val="004A3C84"/>
    <w:rsid w:val="004A42E3"/>
    <w:rsid w:val="004A482A"/>
    <w:rsid w:val="004A671C"/>
    <w:rsid w:val="004B082D"/>
    <w:rsid w:val="004B09B9"/>
    <w:rsid w:val="004B39EE"/>
    <w:rsid w:val="004B4602"/>
    <w:rsid w:val="004C077B"/>
    <w:rsid w:val="004C0B2F"/>
    <w:rsid w:val="004C11FB"/>
    <w:rsid w:val="004C232E"/>
    <w:rsid w:val="004C513E"/>
    <w:rsid w:val="004C7952"/>
    <w:rsid w:val="004D5D3D"/>
    <w:rsid w:val="004D61E8"/>
    <w:rsid w:val="004D7EDD"/>
    <w:rsid w:val="004E4466"/>
    <w:rsid w:val="004F138D"/>
    <w:rsid w:val="004F1483"/>
    <w:rsid w:val="004F2CE3"/>
    <w:rsid w:val="004F3951"/>
    <w:rsid w:val="004F4175"/>
    <w:rsid w:val="004F6510"/>
    <w:rsid w:val="004F7F51"/>
    <w:rsid w:val="005005E2"/>
    <w:rsid w:val="00501C6E"/>
    <w:rsid w:val="00504CA9"/>
    <w:rsid w:val="005076EF"/>
    <w:rsid w:val="005116D7"/>
    <w:rsid w:val="005141E8"/>
    <w:rsid w:val="005143CE"/>
    <w:rsid w:val="005150FF"/>
    <w:rsid w:val="005151F8"/>
    <w:rsid w:val="00515970"/>
    <w:rsid w:val="00521A49"/>
    <w:rsid w:val="00525547"/>
    <w:rsid w:val="0052572C"/>
    <w:rsid w:val="005259B3"/>
    <w:rsid w:val="00525AAF"/>
    <w:rsid w:val="00525AEC"/>
    <w:rsid w:val="005330BD"/>
    <w:rsid w:val="005344AD"/>
    <w:rsid w:val="00534675"/>
    <w:rsid w:val="00537976"/>
    <w:rsid w:val="005404B2"/>
    <w:rsid w:val="00540577"/>
    <w:rsid w:val="00540D0E"/>
    <w:rsid w:val="005415FF"/>
    <w:rsid w:val="00543B87"/>
    <w:rsid w:val="00544141"/>
    <w:rsid w:val="00544543"/>
    <w:rsid w:val="00545934"/>
    <w:rsid w:val="00545FE2"/>
    <w:rsid w:val="00546B90"/>
    <w:rsid w:val="00547988"/>
    <w:rsid w:val="00550966"/>
    <w:rsid w:val="00550D41"/>
    <w:rsid w:val="00550DBE"/>
    <w:rsid w:val="005522C7"/>
    <w:rsid w:val="00552CF3"/>
    <w:rsid w:val="0055399C"/>
    <w:rsid w:val="0055468E"/>
    <w:rsid w:val="0055470C"/>
    <w:rsid w:val="005548A7"/>
    <w:rsid w:val="00555739"/>
    <w:rsid w:val="00555DBB"/>
    <w:rsid w:val="0055608A"/>
    <w:rsid w:val="005565B2"/>
    <w:rsid w:val="00557E89"/>
    <w:rsid w:val="005609CA"/>
    <w:rsid w:val="00561267"/>
    <w:rsid w:val="00561835"/>
    <w:rsid w:val="00561CAC"/>
    <w:rsid w:val="005623F3"/>
    <w:rsid w:val="00562FFE"/>
    <w:rsid w:val="0056385C"/>
    <w:rsid w:val="005638C7"/>
    <w:rsid w:val="005650B3"/>
    <w:rsid w:val="00567869"/>
    <w:rsid w:val="00567B6C"/>
    <w:rsid w:val="005708A6"/>
    <w:rsid w:val="005725ED"/>
    <w:rsid w:val="005752A4"/>
    <w:rsid w:val="00583137"/>
    <w:rsid w:val="00583E96"/>
    <w:rsid w:val="0058539B"/>
    <w:rsid w:val="00586ABC"/>
    <w:rsid w:val="00591DA0"/>
    <w:rsid w:val="00593458"/>
    <w:rsid w:val="005935DF"/>
    <w:rsid w:val="00593647"/>
    <w:rsid w:val="005941C3"/>
    <w:rsid w:val="0059427B"/>
    <w:rsid w:val="00594BFE"/>
    <w:rsid w:val="00594E64"/>
    <w:rsid w:val="005959F0"/>
    <w:rsid w:val="0059683F"/>
    <w:rsid w:val="005972D3"/>
    <w:rsid w:val="005A39B7"/>
    <w:rsid w:val="005A3DAB"/>
    <w:rsid w:val="005A4751"/>
    <w:rsid w:val="005A4A1A"/>
    <w:rsid w:val="005A55AB"/>
    <w:rsid w:val="005A56DA"/>
    <w:rsid w:val="005B0069"/>
    <w:rsid w:val="005B0315"/>
    <w:rsid w:val="005B134F"/>
    <w:rsid w:val="005B3909"/>
    <w:rsid w:val="005B3B49"/>
    <w:rsid w:val="005B4081"/>
    <w:rsid w:val="005B433D"/>
    <w:rsid w:val="005B4D1F"/>
    <w:rsid w:val="005B62DD"/>
    <w:rsid w:val="005C0889"/>
    <w:rsid w:val="005C12E7"/>
    <w:rsid w:val="005C159A"/>
    <w:rsid w:val="005C3537"/>
    <w:rsid w:val="005C4129"/>
    <w:rsid w:val="005C4295"/>
    <w:rsid w:val="005C6DDB"/>
    <w:rsid w:val="005D2AD0"/>
    <w:rsid w:val="005D2D64"/>
    <w:rsid w:val="005D5044"/>
    <w:rsid w:val="005D51D3"/>
    <w:rsid w:val="005D678C"/>
    <w:rsid w:val="005D73A4"/>
    <w:rsid w:val="005E52A3"/>
    <w:rsid w:val="005E5683"/>
    <w:rsid w:val="005E69A4"/>
    <w:rsid w:val="005F0A12"/>
    <w:rsid w:val="005F163A"/>
    <w:rsid w:val="005F1C22"/>
    <w:rsid w:val="005F21BB"/>
    <w:rsid w:val="005F2E65"/>
    <w:rsid w:val="005F2F1D"/>
    <w:rsid w:val="005F31D0"/>
    <w:rsid w:val="005F4DE0"/>
    <w:rsid w:val="005F5F68"/>
    <w:rsid w:val="00605D0A"/>
    <w:rsid w:val="0061121A"/>
    <w:rsid w:val="006112AE"/>
    <w:rsid w:val="0061237A"/>
    <w:rsid w:val="00612B41"/>
    <w:rsid w:val="00613017"/>
    <w:rsid w:val="006133B4"/>
    <w:rsid w:val="006154F8"/>
    <w:rsid w:val="00615834"/>
    <w:rsid w:val="00616349"/>
    <w:rsid w:val="0061711C"/>
    <w:rsid w:val="0061768B"/>
    <w:rsid w:val="00621501"/>
    <w:rsid w:val="006225B1"/>
    <w:rsid w:val="006226D9"/>
    <w:rsid w:val="00624910"/>
    <w:rsid w:val="006268BE"/>
    <w:rsid w:val="00627321"/>
    <w:rsid w:val="00627CCC"/>
    <w:rsid w:val="006300DC"/>
    <w:rsid w:val="0063031B"/>
    <w:rsid w:val="00630561"/>
    <w:rsid w:val="006319FD"/>
    <w:rsid w:val="00634CC1"/>
    <w:rsid w:val="00636191"/>
    <w:rsid w:val="00636979"/>
    <w:rsid w:val="00636FEE"/>
    <w:rsid w:val="00643162"/>
    <w:rsid w:val="006453F5"/>
    <w:rsid w:val="00650399"/>
    <w:rsid w:val="006520A4"/>
    <w:rsid w:val="006540E1"/>
    <w:rsid w:val="006547A2"/>
    <w:rsid w:val="006556E2"/>
    <w:rsid w:val="00656125"/>
    <w:rsid w:val="00656DAA"/>
    <w:rsid w:val="00657220"/>
    <w:rsid w:val="0066092C"/>
    <w:rsid w:val="00660962"/>
    <w:rsid w:val="00660BD2"/>
    <w:rsid w:val="0066156D"/>
    <w:rsid w:val="00661C34"/>
    <w:rsid w:val="006621EF"/>
    <w:rsid w:val="006632DC"/>
    <w:rsid w:val="00663353"/>
    <w:rsid w:val="006664D5"/>
    <w:rsid w:val="00666A98"/>
    <w:rsid w:val="00670B21"/>
    <w:rsid w:val="00670E45"/>
    <w:rsid w:val="00672623"/>
    <w:rsid w:val="006734E5"/>
    <w:rsid w:val="0067408E"/>
    <w:rsid w:val="0067444E"/>
    <w:rsid w:val="00675030"/>
    <w:rsid w:val="00675139"/>
    <w:rsid w:val="00680739"/>
    <w:rsid w:val="006827C7"/>
    <w:rsid w:val="00685141"/>
    <w:rsid w:val="006865CA"/>
    <w:rsid w:val="0068718F"/>
    <w:rsid w:val="00687EFD"/>
    <w:rsid w:val="00693526"/>
    <w:rsid w:val="00693D2F"/>
    <w:rsid w:val="006A02C8"/>
    <w:rsid w:val="006A256B"/>
    <w:rsid w:val="006A4EF3"/>
    <w:rsid w:val="006A677D"/>
    <w:rsid w:val="006A7517"/>
    <w:rsid w:val="006B1D51"/>
    <w:rsid w:val="006B235E"/>
    <w:rsid w:val="006B338E"/>
    <w:rsid w:val="006B38EC"/>
    <w:rsid w:val="006B4584"/>
    <w:rsid w:val="006C0461"/>
    <w:rsid w:val="006C0ADD"/>
    <w:rsid w:val="006C2151"/>
    <w:rsid w:val="006C24CD"/>
    <w:rsid w:val="006C2A00"/>
    <w:rsid w:val="006C5F1B"/>
    <w:rsid w:val="006C6C0C"/>
    <w:rsid w:val="006C7666"/>
    <w:rsid w:val="006C7DA0"/>
    <w:rsid w:val="006C7E90"/>
    <w:rsid w:val="006D20FE"/>
    <w:rsid w:val="006D6735"/>
    <w:rsid w:val="006D74FC"/>
    <w:rsid w:val="006E2D83"/>
    <w:rsid w:val="006E2FD9"/>
    <w:rsid w:val="006E3208"/>
    <w:rsid w:val="006E3E6E"/>
    <w:rsid w:val="006E5939"/>
    <w:rsid w:val="006E627B"/>
    <w:rsid w:val="006E74F8"/>
    <w:rsid w:val="006E7918"/>
    <w:rsid w:val="006F07C6"/>
    <w:rsid w:val="006F483D"/>
    <w:rsid w:val="006F5287"/>
    <w:rsid w:val="00700B44"/>
    <w:rsid w:val="007023C9"/>
    <w:rsid w:val="007028C1"/>
    <w:rsid w:val="00703C94"/>
    <w:rsid w:val="00704206"/>
    <w:rsid w:val="007046B7"/>
    <w:rsid w:val="00704A5B"/>
    <w:rsid w:val="00704B8B"/>
    <w:rsid w:val="00705ECF"/>
    <w:rsid w:val="00705EE8"/>
    <w:rsid w:val="0070662C"/>
    <w:rsid w:val="00707DC4"/>
    <w:rsid w:val="0071016F"/>
    <w:rsid w:val="00710A75"/>
    <w:rsid w:val="00712726"/>
    <w:rsid w:val="00714435"/>
    <w:rsid w:val="00714E3D"/>
    <w:rsid w:val="0071519D"/>
    <w:rsid w:val="00715F60"/>
    <w:rsid w:val="00717381"/>
    <w:rsid w:val="007217C1"/>
    <w:rsid w:val="00723240"/>
    <w:rsid w:val="0072351C"/>
    <w:rsid w:val="00724C20"/>
    <w:rsid w:val="00724CC6"/>
    <w:rsid w:val="0072544F"/>
    <w:rsid w:val="0072738C"/>
    <w:rsid w:val="00732EAB"/>
    <w:rsid w:val="00733404"/>
    <w:rsid w:val="00734B60"/>
    <w:rsid w:val="007401FE"/>
    <w:rsid w:val="007403B2"/>
    <w:rsid w:val="00740862"/>
    <w:rsid w:val="00741D61"/>
    <w:rsid w:val="00742F2B"/>
    <w:rsid w:val="007430F9"/>
    <w:rsid w:val="00744D36"/>
    <w:rsid w:val="0074537F"/>
    <w:rsid w:val="0075171B"/>
    <w:rsid w:val="00751DB5"/>
    <w:rsid w:val="00752094"/>
    <w:rsid w:val="00754DE9"/>
    <w:rsid w:val="007568FD"/>
    <w:rsid w:val="00760906"/>
    <w:rsid w:val="00760D71"/>
    <w:rsid w:val="00760DED"/>
    <w:rsid w:val="00761145"/>
    <w:rsid w:val="00761321"/>
    <w:rsid w:val="0076137F"/>
    <w:rsid w:val="00761838"/>
    <w:rsid w:val="0076366F"/>
    <w:rsid w:val="00766BC9"/>
    <w:rsid w:val="00766E30"/>
    <w:rsid w:val="007750BB"/>
    <w:rsid w:val="0077619B"/>
    <w:rsid w:val="007765E6"/>
    <w:rsid w:val="007767D7"/>
    <w:rsid w:val="00780FE3"/>
    <w:rsid w:val="00782312"/>
    <w:rsid w:val="00782509"/>
    <w:rsid w:val="007833F1"/>
    <w:rsid w:val="0078449F"/>
    <w:rsid w:val="00785FCF"/>
    <w:rsid w:val="00787D1B"/>
    <w:rsid w:val="00787E2D"/>
    <w:rsid w:val="00792DF2"/>
    <w:rsid w:val="00794B1E"/>
    <w:rsid w:val="00794E1F"/>
    <w:rsid w:val="00796AE6"/>
    <w:rsid w:val="007A081B"/>
    <w:rsid w:val="007A0B51"/>
    <w:rsid w:val="007A1E1C"/>
    <w:rsid w:val="007A1EB8"/>
    <w:rsid w:val="007A223A"/>
    <w:rsid w:val="007A2DA8"/>
    <w:rsid w:val="007A3C7D"/>
    <w:rsid w:val="007A4417"/>
    <w:rsid w:val="007A4705"/>
    <w:rsid w:val="007A601C"/>
    <w:rsid w:val="007A6F0C"/>
    <w:rsid w:val="007B0D79"/>
    <w:rsid w:val="007B0ECF"/>
    <w:rsid w:val="007B1259"/>
    <w:rsid w:val="007B21EC"/>
    <w:rsid w:val="007B4192"/>
    <w:rsid w:val="007B4287"/>
    <w:rsid w:val="007B6F2C"/>
    <w:rsid w:val="007B7050"/>
    <w:rsid w:val="007B74A4"/>
    <w:rsid w:val="007C20C8"/>
    <w:rsid w:val="007C3C05"/>
    <w:rsid w:val="007C55A9"/>
    <w:rsid w:val="007D213F"/>
    <w:rsid w:val="007D2DF1"/>
    <w:rsid w:val="007D3BF0"/>
    <w:rsid w:val="007D4860"/>
    <w:rsid w:val="007D48E6"/>
    <w:rsid w:val="007D4FEB"/>
    <w:rsid w:val="007D57E4"/>
    <w:rsid w:val="007D7BA0"/>
    <w:rsid w:val="007E05F4"/>
    <w:rsid w:val="007E2A6F"/>
    <w:rsid w:val="007E3AB0"/>
    <w:rsid w:val="007E4281"/>
    <w:rsid w:val="007E4C23"/>
    <w:rsid w:val="007E631D"/>
    <w:rsid w:val="007F0E98"/>
    <w:rsid w:val="007F1148"/>
    <w:rsid w:val="007F16B0"/>
    <w:rsid w:val="007F3DA1"/>
    <w:rsid w:val="007F5A0B"/>
    <w:rsid w:val="00800124"/>
    <w:rsid w:val="00800851"/>
    <w:rsid w:val="0080230C"/>
    <w:rsid w:val="00804A55"/>
    <w:rsid w:val="00804FD5"/>
    <w:rsid w:val="00805DD4"/>
    <w:rsid w:val="008065E6"/>
    <w:rsid w:val="00806EC3"/>
    <w:rsid w:val="00806ED7"/>
    <w:rsid w:val="00810902"/>
    <w:rsid w:val="00810B64"/>
    <w:rsid w:val="0081134C"/>
    <w:rsid w:val="00812A47"/>
    <w:rsid w:val="008133BD"/>
    <w:rsid w:val="00814D10"/>
    <w:rsid w:val="00815D4D"/>
    <w:rsid w:val="0081705D"/>
    <w:rsid w:val="008206BB"/>
    <w:rsid w:val="00821255"/>
    <w:rsid w:val="008213F2"/>
    <w:rsid w:val="008227A7"/>
    <w:rsid w:val="00824E4B"/>
    <w:rsid w:val="00825A1F"/>
    <w:rsid w:val="008261FC"/>
    <w:rsid w:val="00826297"/>
    <w:rsid w:val="00826656"/>
    <w:rsid w:val="00830777"/>
    <w:rsid w:val="00831080"/>
    <w:rsid w:val="0083282E"/>
    <w:rsid w:val="0083291B"/>
    <w:rsid w:val="00832FD1"/>
    <w:rsid w:val="008330F6"/>
    <w:rsid w:val="00833C29"/>
    <w:rsid w:val="00834619"/>
    <w:rsid w:val="00834C39"/>
    <w:rsid w:val="00835839"/>
    <w:rsid w:val="00835A29"/>
    <w:rsid w:val="00835FE1"/>
    <w:rsid w:val="00836E1B"/>
    <w:rsid w:val="008402BE"/>
    <w:rsid w:val="00842059"/>
    <w:rsid w:val="008439FD"/>
    <w:rsid w:val="0084442E"/>
    <w:rsid w:val="008451F9"/>
    <w:rsid w:val="00847866"/>
    <w:rsid w:val="00847E08"/>
    <w:rsid w:val="008511A9"/>
    <w:rsid w:val="008557DC"/>
    <w:rsid w:val="00856752"/>
    <w:rsid w:val="00856A98"/>
    <w:rsid w:val="008601F9"/>
    <w:rsid w:val="008605E0"/>
    <w:rsid w:val="00861495"/>
    <w:rsid w:val="00864D71"/>
    <w:rsid w:val="00865E6B"/>
    <w:rsid w:val="00866096"/>
    <w:rsid w:val="0087049D"/>
    <w:rsid w:val="00870F4E"/>
    <w:rsid w:val="00871D43"/>
    <w:rsid w:val="0087284F"/>
    <w:rsid w:val="00872AF4"/>
    <w:rsid w:val="00874B26"/>
    <w:rsid w:val="00875C7A"/>
    <w:rsid w:val="00875DC0"/>
    <w:rsid w:val="00877055"/>
    <w:rsid w:val="00877495"/>
    <w:rsid w:val="00877CA8"/>
    <w:rsid w:val="008813AA"/>
    <w:rsid w:val="00882BE7"/>
    <w:rsid w:val="008842DC"/>
    <w:rsid w:val="00885255"/>
    <w:rsid w:val="008855E6"/>
    <w:rsid w:val="00886F0C"/>
    <w:rsid w:val="00890F3B"/>
    <w:rsid w:val="00892023"/>
    <w:rsid w:val="008969ED"/>
    <w:rsid w:val="008978E1"/>
    <w:rsid w:val="00897906"/>
    <w:rsid w:val="008A4D29"/>
    <w:rsid w:val="008A56DF"/>
    <w:rsid w:val="008A77F8"/>
    <w:rsid w:val="008B00EA"/>
    <w:rsid w:val="008B06CB"/>
    <w:rsid w:val="008B0DD4"/>
    <w:rsid w:val="008B283B"/>
    <w:rsid w:val="008B2ADB"/>
    <w:rsid w:val="008B3DD0"/>
    <w:rsid w:val="008C11AE"/>
    <w:rsid w:val="008C4236"/>
    <w:rsid w:val="008C578E"/>
    <w:rsid w:val="008C6D18"/>
    <w:rsid w:val="008D0CAF"/>
    <w:rsid w:val="008D16C6"/>
    <w:rsid w:val="008D36CF"/>
    <w:rsid w:val="008D3C2F"/>
    <w:rsid w:val="008D5193"/>
    <w:rsid w:val="008D5BC6"/>
    <w:rsid w:val="008D73B6"/>
    <w:rsid w:val="008D744D"/>
    <w:rsid w:val="008E127D"/>
    <w:rsid w:val="008E205A"/>
    <w:rsid w:val="008E3A6D"/>
    <w:rsid w:val="008E3DBF"/>
    <w:rsid w:val="008E4A04"/>
    <w:rsid w:val="008E54C4"/>
    <w:rsid w:val="008F1C39"/>
    <w:rsid w:val="008F209C"/>
    <w:rsid w:val="008F3204"/>
    <w:rsid w:val="008F3466"/>
    <w:rsid w:val="008F4C89"/>
    <w:rsid w:val="00900367"/>
    <w:rsid w:val="00900A5D"/>
    <w:rsid w:val="00902346"/>
    <w:rsid w:val="00902FD5"/>
    <w:rsid w:val="00904D17"/>
    <w:rsid w:val="00907A59"/>
    <w:rsid w:val="009117D1"/>
    <w:rsid w:val="0091215C"/>
    <w:rsid w:val="009121C0"/>
    <w:rsid w:val="00912D85"/>
    <w:rsid w:val="0091454C"/>
    <w:rsid w:val="0091568B"/>
    <w:rsid w:val="00915D7B"/>
    <w:rsid w:val="00917687"/>
    <w:rsid w:val="009216FA"/>
    <w:rsid w:val="00922D47"/>
    <w:rsid w:val="00923BD7"/>
    <w:rsid w:val="00924AA9"/>
    <w:rsid w:val="00926C72"/>
    <w:rsid w:val="00927046"/>
    <w:rsid w:val="00934DFF"/>
    <w:rsid w:val="00935E07"/>
    <w:rsid w:val="00936077"/>
    <w:rsid w:val="00937E51"/>
    <w:rsid w:val="009410FA"/>
    <w:rsid w:val="00942CA4"/>
    <w:rsid w:val="0095097A"/>
    <w:rsid w:val="00950BFA"/>
    <w:rsid w:val="00952ABA"/>
    <w:rsid w:val="0095559A"/>
    <w:rsid w:val="00957AC1"/>
    <w:rsid w:val="00960FE8"/>
    <w:rsid w:val="00961BD5"/>
    <w:rsid w:val="009630D8"/>
    <w:rsid w:val="00965620"/>
    <w:rsid w:val="00966562"/>
    <w:rsid w:val="0096691F"/>
    <w:rsid w:val="0096799C"/>
    <w:rsid w:val="00967B99"/>
    <w:rsid w:val="00970158"/>
    <w:rsid w:val="009705BA"/>
    <w:rsid w:val="0097292B"/>
    <w:rsid w:val="00973967"/>
    <w:rsid w:val="0097397D"/>
    <w:rsid w:val="00973EDA"/>
    <w:rsid w:val="00976763"/>
    <w:rsid w:val="00980A10"/>
    <w:rsid w:val="00980A46"/>
    <w:rsid w:val="009812AD"/>
    <w:rsid w:val="00981B0D"/>
    <w:rsid w:val="00982DBF"/>
    <w:rsid w:val="0098470C"/>
    <w:rsid w:val="00984C86"/>
    <w:rsid w:val="00987545"/>
    <w:rsid w:val="00990304"/>
    <w:rsid w:val="0099048E"/>
    <w:rsid w:val="009943E5"/>
    <w:rsid w:val="009964E0"/>
    <w:rsid w:val="00997442"/>
    <w:rsid w:val="009A003C"/>
    <w:rsid w:val="009A08DA"/>
    <w:rsid w:val="009A3645"/>
    <w:rsid w:val="009A3A45"/>
    <w:rsid w:val="009A3EAB"/>
    <w:rsid w:val="009A4158"/>
    <w:rsid w:val="009A4302"/>
    <w:rsid w:val="009A494D"/>
    <w:rsid w:val="009A5B3C"/>
    <w:rsid w:val="009A5D4A"/>
    <w:rsid w:val="009A707E"/>
    <w:rsid w:val="009A72F1"/>
    <w:rsid w:val="009A756A"/>
    <w:rsid w:val="009B13FA"/>
    <w:rsid w:val="009B1B5F"/>
    <w:rsid w:val="009B254F"/>
    <w:rsid w:val="009B2748"/>
    <w:rsid w:val="009B788C"/>
    <w:rsid w:val="009C2E76"/>
    <w:rsid w:val="009C3DDD"/>
    <w:rsid w:val="009C4A94"/>
    <w:rsid w:val="009C50E7"/>
    <w:rsid w:val="009D2FA7"/>
    <w:rsid w:val="009D35CB"/>
    <w:rsid w:val="009D4B8A"/>
    <w:rsid w:val="009E05BC"/>
    <w:rsid w:val="009E0DF6"/>
    <w:rsid w:val="009E0FBF"/>
    <w:rsid w:val="009E3884"/>
    <w:rsid w:val="009E6EE7"/>
    <w:rsid w:val="009E76D1"/>
    <w:rsid w:val="009E7BAF"/>
    <w:rsid w:val="009F1067"/>
    <w:rsid w:val="009F2212"/>
    <w:rsid w:val="009F3468"/>
    <w:rsid w:val="009F4F47"/>
    <w:rsid w:val="009F563C"/>
    <w:rsid w:val="00A00125"/>
    <w:rsid w:val="00A01A0C"/>
    <w:rsid w:val="00A02800"/>
    <w:rsid w:val="00A03801"/>
    <w:rsid w:val="00A050F1"/>
    <w:rsid w:val="00A06741"/>
    <w:rsid w:val="00A06956"/>
    <w:rsid w:val="00A074FA"/>
    <w:rsid w:val="00A07F1D"/>
    <w:rsid w:val="00A07F25"/>
    <w:rsid w:val="00A123F6"/>
    <w:rsid w:val="00A12576"/>
    <w:rsid w:val="00A128B4"/>
    <w:rsid w:val="00A131BA"/>
    <w:rsid w:val="00A1359B"/>
    <w:rsid w:val="00A13867"/>
    <w:rsid w:val="00A14589"/>
    <w:rsid w:val="00A17B07"/>
    <w:rsid w:val="00A24DC5"/>
    <w:rsid w:val="00A269C3"/>
    <w:rsid w:val="00A27568"/>
    <w:rsid w:val="00A339BD"/>
    <w:rsid w:val="00A34DDA"/>
    <w:rsid w:val="00A35F3E"/>
    <w:rsid w:val="00A36748"/>
    <w:rsid w:val="00A37732"/>
    <w:rsid w:val="00A416FB"/>
    <w:rsid w:val="00A43A40"/>
    <w:rsid w:val="00A44E14"/>
    <w:rsid w:val="00A45E14"/>
    <w:rsid w:val="00A46322"/>
    <w:rsid w:val="00A47E1C"/>
    <w:rsid w:val="00A50B62"/>
    <w:rsid w:val="00A51C6D"/>
    <w:rsid w:val="00A54191"/>
    <w:rsid w:val="00A54267"/>
    <w:rsid w:val="00A545A5"/>
    <w:rsid w:val="00A5500A"/>
    <w:rsid w:val="00A566FC"/>
    <w:rsid w:val="00A57FC1"/>
    <w:rsid w:val="00A60DDA"/>
    <w:rsid w:val="00A630CB"/>
    <w:rsid w:val="00A63388"/>
    <w:rsid w:val="00A65544"/>
    <w:rsid w:val="00A655EE"/>
    <w:rsid w:val="00A665DB"/>
    <w:rsid w:val="00A67C71"/>
    <w:rsid w:val="00A70F28"/>
    <w:rsid w:val="00A711BC"/>
    <w:rsid w:val="00A7491F"/>
    <w:rsid w:val="00A7779F"/>
    <w:rsid w:val="00A80E58"/>
    <w:rsid w:val="00A81DC8"/>
    <w:rsid w:val="00A8400E"/>
    <w:rsid w:val="00A84129"/>
    <w:rsid w:val="00A87719"/>
    <w:rsid w:val="00A9059B"/>
    <w:rsid w:val="00A91615"/>
    <w:rsid w:val="00A92846"/>
    <w:rsid w:val="00A94FFC"/>
    <w:rsid w:val="00A9640D"/>
    <w:rsid w:val="00A9671F"/>
    <w:rsid w:val="00A97D5F"/>
    <w:rsid w:val="00AA2263"/>
    <w:rsid w:val="00AA2925"/>
    <w:rsid w:val="00AA30BB"/>
    <w:rsid w:val="00AA449F"/>
    <w:rsid w:val="00AA452F"/>
    <w:rsid w:val="00AA50CA"/>
    <w:rsid w:val="00AA512A"/>
    <w:rsid w:val="00AA5FA6"/>
    <w:rsid w:val="00AA642A"/>
    <w:rsid w:val="00AB037F"/>
    <w:rsid w:val="00AB1096"/>
    <w:rsid w:val="00AB1E3F"/>
    <w:rsid w:val="00AB3A24"/>
    <w:rsid w:val="00AB4B1C"/>
    <w:rsid w:val="00AB69DA"/>
    <w:rsid w:val="00AB727D"/>
    <w:rsid w:val="00AB7B94"/>
    <w:rsid w:val="00AC15EA"/>
    <w:rsid w:val="00AC2AA3"/>
    <w:rsid w:val="00AC3574"/>
    <w:rsid w:val="00AC3F26"/>
    <w:rsid w:val="00AC4961"/>
    <w:rsid w:val="00AC50D7"/>
    <w:rsid w:val="00AC523F"/>
    <w:rsid w:val="00AD027D"/>
    <w:rsid w:val="00AD3A39"/>
    <w:rsid w:val="00AD3C56"/>
    <w:rsid w:val="00AD3EB4"/>
    <w:rsid w:val="00AD4937"/>
    <w:rsid w:val="00AD5B44"/>
    <w:rsid w:val="00AD705F"/>
    <w:rsid w:val="00AE10FA"/>
    <w:rsid w:val="00AE2207"/>
    <w:rsid w:val="00AE6012"/>
    <w:rsid w:val="00AE6A30"/>
    <w:rsid w:val="00AE7629"/>
    <w:rsid w:val="00AF0645"/>
    <w:rsid w:val="00AF2C7C"/>
    <w:rsid w:val="00AF2CAB"/>
    <w:rsid w:val="00AF5780"/>
    <w:rsid w:val="00AF6D68"/>
    <w:rsid w:val="00B020FA"/>
    <w:rsid w:val="00B05453"/>
    <w:rsid w:val="00B10089"/>
    <w:rsid w:val="00B10A18"/>
    <w:rsid w:val="00B10CB5"/>
    <w:rsid w:val="00B11156"/>
    <w:rsid w:val="00B144D0"/>
    <w:rsid w:val="00B153EE"/>
    <w:rsid w:val="00B2155E"/>
    <w:rsid w:val="00B22582"/>
    <w:rsid w:val="00B22AB7"/>
    <w:rsid w:val="00B23020"/>
    <w:rsid w:val="00B2518C"/>
    <w:rsid w:val="00B27012"/>
    <w:rsid w:val="00B27D6C"/>
    <w:rsid w:val="00B27D75"/>
    <w:rsid w:val="00B27E3C"/>
    <w:rsid w:val="00B31C20"/>
    <w:rsid w:val="00B32E30"/>
    <w:rsid w:val="00B3476C"/>
    <w:rsid w:val="00B35AE4"/>
    <w:rsid w:val="00B36EAC"/>
    <w:rsid w:val="00B3707F"/>
    <w:rsid w:val="00B40FA3"/>
    <w:rsid w:val="00B410ED"/>
    <w:rsid w:val="00B4175A"/>
    <w:rsid w:val="00B424EB"/>
    <w:rsid w:val="00B42C50"/>
    <w:rsid w:val="00B43C91"/>
    <w:rsid w:val="00B45044"/>
    <w:rsid w:val="00B452DF"/>
    <w:rsid w:val="00B472A7"/>
    <w:rsid w:val="00B50977"/>
    <w:rsid w:val="00B532DE"/>
    <w:rsid w:val="00B543A5"/>
    <w:rsid w:val="00B553F6"/>
    <w:rsid w:val="00B6037B"/>
    <w:rsid w:val="00B6063C"/>
    <w:rsid w:val="00B61CCF"/>
    <w:rsid w:val="00B6298E"/>
    <w:rsid w:val="00B639BD"/>
    <w:rsid w:val="00B63CF0"/>
    <w:rsid w:val="00B6557C"/>
    <w:rsid w:val="00B6598B"/>
    <w:rsid w:val="00B675BB"/>
    <w:rsid w:val="00B67BEC"/>
    <w:rsid w:val="00B744A5"/>
    <w:rsid w:val="00B74670"/>
    <w:rsid w:val="00B75EF9"/>
    <w:rsid w:val="00B776A9"/>
    <w:rsid w:val="00B81708"/>
    <w:rsid w:val="00B832D6"/>
    <w:rsid w:val="00B83905"/>
    <w:rsid w:val="00B839BB"/>
    <w:rsid w:val="00B86CBE"/>
    <w:rsid w:val="00B86CCB"/>
    <w:rsid w:val="00B877B0"/>
    <w:rsid w:val="00B903B6"/>
    <w:rsid w:val="00B90533"/>
    <w:rsid w:val="00B906CD"/>
    <w:rsid w:val="00B91D4E"/>
    <w:rsid w:val="00B91E9E"/>
    <w:rsid w:val="00B920C3"/>
    <w:rsid w:val="00B95F37"/>
    <w:rsid w:val="00B96D2A"/>
    <w:rsid w:val="00B97CC5"/>
    <w:rsid w:val="00BA1834"/>
    <w:rsid w:val="00BA1BD3"/>
    <w:rsid w:val="00BA4414"/>
    <w:rsid w:val="00BA56EB"/>
    <w:rsid w:val="00BA60BC"/>
    <w:rsid w:val="00BB0856"/>
    <w:rsid w:val="00BB4A56"/>
    <w:rsid w:val="00BB5C04"/>
    <w:rsid w:val="00BC12CD"/>
    <w:rsid w:val="00BC2588"/>
    <w:rsid w:val="00BC3981"/>
    <w:rsid w:val="00BC5470"/>
    <w:rsid w:val="00BC55F8"/>
    <w:rsid w:val="00BC61DB"/>
    <w:rsid w:val="00BC7333"/>
    <w:rsid w:val="00BC7875"/>
    <w:rsid w:val="00BC7AEA"/>
    <w:rsid w:val="00BC7C84"/>
    <w:rsid w:val="00BD0EB1"/>
    <w:rsid w:val="00BD2465"/>
    <w:rsid w:val="00BD6CE9"/>
    <w:rsid w:val="00BD6FCD"/>
    <w:rsid w:val="00BD7AF6"/>
    <w:rsid w:val="00BD7FFA"/>
    <w:rsid w:val="00BE14E8"/>
    <w:rsid w:val="00BE1C09"/>
    <w:rsid w:val="00BE2B9F"/>
    <w:rsid w:val="00BE311B"/>
    <w:rsid w:val="00BE447F"/>
    <w:rsid w:val="00BE48F3"/>
    <w:rsid w:val="00BE4C09"/>
    <w:rsid w:val="00BE4F17"/>
    <w:rsid w:val="00BE667E"/>
    <w:rsid w:val="00BE68AA"/>
    <w:rsid w:val="00BE6C7F"/>
    <w:rsid w:val="00BE7A5C"/>
    <w:rsid w:val="00BF0E13"/>
    <w:rsid w:val="00BF0FAB"/>
    <w:rsid w:val="00BF21FB"/>
    <w:rsid w:val="00BF33DE"/>
    <w:rsid w:val="00BF4DAA"/>
    <w:rsid w:val="00BF4F80"/>
    <w:rsid w:val="00BF5D13"/>
    <w:rsid w:val="00BF64DF"/>
    <w:rsid w:val="00BF672B"/>
    <w:rsid w:val="00BF695A"/>
    <w:rsid w:val="00BF7A51"/>
    <w:rsid w:val="00C02A36"/>
    <w:rsid w:val="00C02F9F"/>
    <w:rsid w:val="00C03A32"/>
    <w:rsid w:val="00C03B83"/>
    <w:rsid w:val="00C042A1"/>
    <w:rsid w:val="00C043ED"/>
    <w:rsid w:val="00C04AE0"/>
    <w:rsid w:val="00C052E4"/>
    <w:rsid w:val="00C06114"/>
    <w:rsid w:val="00C066D5"/>
    <w:rsid w:val="00C06D48"/>
    <w:rsid w:val="00C11C56"/>
    <w:rsid w:val="00C1562A"/>
    <w:rsid w:val="00C15EC3"/>
    <w:rsid w:val="00C165CD"/>
    <w:rsid w:val="00C17920"/>
    <w:rsid w:val="00C17B77"/>
    <w:rsid w:val="00C20801"/>
    <w:rsid w:val="00C21F9B"/>
    <w:rsid w:val="00C26ADF"/>
    <w:rsid w:val="00C31B29"/>
    <w:rsid w:val="00C31B8C"/>
    <w:rsid w:val="00C34197"/>
    <w:rsid w:val="00C34479"/>
    <w:rsid w:val="00C34527"/>
    <w:rsid w:val="00C34E93"/>
    <w:rsid w:val="00C35511"/>
    <w:rsid w:val="00C355FE"/>
    <w:rsid w:val="00C360C3"/>
    <w:rsid w:val="00C37A44"/>
    <w:rsid w:val="00C40880"/>
    <w:rsid w:val="00C411EF"/>
    <w:rsid w:val="00C4222B"/>
    <w:rsid w:val="00C42C06"/>
    <w:rsid w:val="00C44CFC"/>
    <w:rsid w:val="00C44FA4"/>
    <w:rsid w:val="00C45D49"/>
    <w:rsid w:val="00C473EA"/>
    <w:rsid w:val="00C47D0F"/>
    <w:rsid w:val="00C503ED"/>
    <w:rsid w:val="00C53ACF"/>
    <w:rsid w:val="00C57D44"/>
    <w:rsid w:val="00C604D7"/>
    <w:rsid w:val="00C61AD3"/>
    <w:rsid w:val="00C625FC"/>
    <w:rsid w:val="00C63EF8"/>
    <w:rsid w:val="00C7003C"/>
    <w:rsid w:val="00C700B1"/>
    <w:rsid w:val="00C7036A"/>
    <w:rsid w:val="00C71E82"/>
    <w:rsid w:val="00C72F80"/>
    <w:rsid w:val="00C73703"/>
    <w:rsid w:val="00C73AB0"/>
    <w:rsid w:val="00C7504A"/>
    <w:rsid w:val="00C769C7"/>
    <w:rsid w:val="00C776A0"/>
    <w:rsid w:val="00C838C8"/>
    <w:rsid w:val="00C84650"/>
    <w:rsid w:val="00C86454"/>
    <w:rsid w:val="00C86612"/>
    <w:rsid w:val="00C90625"/>
    <w:rsid w:val="00C91FE1"/>
    <w:rsid w:val="00C9284A"/>
    <w:rsid w:val="00C92E06"/>
    <w:rsid w:val="00C93314"/>
    <w:rsid w:val="00C933C1"/>
    <w:rsid w:val="00C96390"/>
    <w:rsid w:val="00CA4571"/>
    <w:rsid w:val="00CA528D"/>
    <w:rsid w:val="00CA666C"/>
    <w:rsid w:val="00CA7A69"/>
    <w:rsid w:val="00CB0E5F"/>
    <w:rsid w:val="00CB6EE8"/>
    <w:rsid w:val="00CC016B"/>
    <w:rsid w:val="00CC0A5C"/>
    <w:rsid w:val="00CC23FD"/>
    <w:rsid w:val="00CC4832"/>
    <w:rsid w:val="00CC4FC2"/>
    <w:rsid w:val="00CC584C"/>
    <w:rsid w:val="00CC75E7"/>
    <w:rsid w:val="00CC7FA6"/>
    <w:rsid w:val="00CD0DF5"/>
    <w:rsid w:val="00CD17CA"/>
    <w:rsid w:val="00CD2E2A"/>
    <w:rsid w:val="00CD325B"/>
    <w:rsid w:val="00CD5754"/>
    <w:rsid w:val="00CD5F0A"/>
    <w:rsid w:val="00CD618B"/>
    <w:rsid w:val="00CD7E74"/>
    <w:rsid w:val="00CE0F33"/>
    <w:rsid w:val="00CE2ACB"/>
    <w:rsid w:val="00CE464B"/>
    <w:rsid w:val="00CE630D"/>
    <w:rsid w:val="00CF2E09"/>
    <w:rsid w:val="00CF3B1E"/>
    <w:rsid w:val="00CF54B6"/>
    <w:rsid w:val="00CF6272"/>
    <w:rsid w:val="00CF64B2"/>
    <w:rsid w:val="00CF6C1B"/>
    <w:rsid w:val="00CF7D62"/>
    <w:rsid w:val="00D0071B"/>
    <w:rsid w:val="00D018FB"/>
    <w:rsid w:val="00D03DF2"/>
    <w:rsid w:val="00D0588B"/>
    <w:rsid w:val="00D102C7"/>
    <w:rsid w:val="00D1095C"/>
    <w:rsid w:val="00D116D6"/>
    <w:rsid w:val="00D146EB"/>
    <w:rsid w:val="00D171D4"/>
    <w:rsid w:val="00D2042B"/>
    <w:rsid w:val="00D22B1B"/>
    <w:rsid w:val="00D2385D"/>
    <w:rsid w:val="00D248A0"/>
    <w:rsid w:val="00D26128"/>
    <w:rsid w:val="00D30BA8"/>
    <w:rsid w:val="00D31A32"/>
    <w:rsid w:val="00D32405"/>
    <w:rsid w:val="00D326E1"/>
    <w:rsid w:val="00D32E9F"/>
    <w:rsid w:val="00D335F7"/>
    <w:rsid w:val="00D34FDC"/>
    <w:rsid w:val="00D35A7A"/>
    <w:rsid w:val="00D35BF7"/>
    <w:rsid w:val="00D35E8E"/>
    <w:rsid w:val="00D36A3A"/>
    <w:rsid w:val="00D36B1A"/>
    <w:rsid w:val="00D3788C"/>
    <w:rsid w:val="00D40893"/>
    <w:rsid w:val="00D41A89"/>
    <w:rsid w:val="00D41D42"/>
    <w:rsid w:val="00D432FF"/>
    <w:rsid w:val="00D435F4"/>
    <w:rsid w:val="00D43B9B"/>
    <w:rsid w:val="00D44925"/>
    <w:rsid w:val="00D44DF3"/>
    <w:rsid w:val="00D4590F"/>
    <w:rsid w:val="00D500CD"/>
    <w:rsid w:val="00D50699"/>
    <w:rsid w:val="00D51554"/>
    <w:rsid w:val="00D551AD"/>
    <w:rsid w:val="00D5616E"/>
    <w:rsid w:val="00D5664C"/>
    <w:rsid w:val="00D57D66"/>
    <w:rsid w:val="00D60050"/>
    <w:rsid w:val="00D60C63"/>
    <w:rsid w:val="00D62929"/>
    <w:rsid w:val="00D63F25"/>
    <w:rsid w:val="00D64186"/>
    <w:rsid w:val="00D65C0B"/>
    <w:rsid w:val="00D65E50"/>
    <w:rsid w:val="00D6632F"/>
    <w:rsid w:val="00D66506"/>
    <w:rsid w:val="00D6683C"/>
    <w:rsid w:val="00D678B4"/>
    <w:rsid w:val="00D71DE7"/>
    <w:rsid w:val="00D73113"/>
    <w:rsid w:val="00D744DA"/>
    <w:rsid w:val="00D759D7"/>
    <w:rsid w:val="00D75DD9"/>
    <w:rsid w:val="00D80B61"/>
    <w:rsid w:val="00D829F7"/>
    <w:rsid w:val="00D86A8B"/>
    <w:rsid w:val="00D86EF0"/>
    <w:rsid w:val="00D92D5B"/>
    <w:rsid w:val="00D92EA5"/>
    <w:rsid w:val="00D94260"/>
    <w:rsid w:val="00D952F3"/>
    <w:rsid w:val="00D95BE2"/>
    <w:rsid w:val="00D9692A"/>
    <w:rsid w:val="00D96E5A"/>
    <w:rsid w:val="00D97BF6"/>
    <w:rsid w:val="00DA01CD"/>
    <w:rsid w:val="00DA069E"/>
    <w:rsid w:val="00DA2543"/>
    <w:rsid w:val="00DA2ADD"/>
    <w:rsid w:val="00DA3A10"/>
    <w:rsid w:val="00DA7358"/>
    <w:rsid w:val="00DA7984"/>
    <w:rsid w:val="00DA7ADB"/>
    <w:rsid w:val="00DB092E"/>
    <w:rsid w:val="00DB0B3D"/>
    <w:rsid w:val="00DB1027"/>
    <w:rsid w:val="00DB10C4"/>
    <w:rsid w:val="00DB1D4B"/>
    <w:rsid w:val="00DB3DB2"/>
    <w:rsid w:val="00DB606B"/>
    <w:rsid w:val="00DB60EA"/>
    <w:rsid w:val="00DB7543"/>
    <w:rsid w:val="00DB78D5"/>
    <w:rsid w:val="00DC005A"/>
    <w:rsid w:val="00DC1FF3"/>
    <w:rsid w:val="00DC24B6"/>
    <w:rsid w:val="00DC5616"/>
    <w:rsid w:val="00DC6EA3"/>
    <w:rsid w:val="00DC7C9D"/>
    <w:rsid w:val="00DC7FE9"/>
    <w:rsid w:val="00DD03CC"/>
    <w:rsid w:val="00DD052B"/>
    <w:rsid w:val="00DD2443"/>
    <w:rsid w:val="00DD3507"/>
    <w:rsid w:val="00DE0772"/>
    <w:rsid w:val="00DE0791"/>
    <w:rsid w:val="00DE0D6B"/>
    <w:rsid w:val="00DE12D4"/>
    <w:rsid w:val="00DE2246"/>
    <w:rsid w:val="00DE34B3"/>
    <w:rsid w:val="00DE49C2"/>
    <w:rsid w:val="00DE6857"/>
    <w:rsid w:val="00DE6E55"/>
    <w:rsid w:val="00DE6FEC"/>
    <w:rsid w:val="00DF09E7"/>
    <w:rsid w:val="00DF0CA3"/>
    <w:rsid w:val="00DF27EA"/>
    <w:rsid w:val="00DF2865"/>
    <w:rsid w:val="00DF3B7C"/>
    <w:rsid w:val="00DF5F09"/>
    <w:rsid w:val="00DF61EC"/>
    <w:rsid w:val="00DF6C2E"/>
    <w:rsid w:val="00DF6F25"/>
    <w:rsid w:val="00DF7293"/>
    <w:rsid w:val="00DF7F89"/>
    <w:rsid w:val="00E01B2F"/>
    <w:rsid w:val="00E0244E"/>
    <w:rsid w:val="00E02796"/>
    <w:rsid w:val="00E027FE"/>
    <w:rsid w:val="00E0325A"/>
    <w:rsid w:val="00E03545"/>
    <w:rsid w:val="00E03B29"/>
    <w:rsid w:val="00E047A5"/>
    <w:rsid w:val="00E04A00"/>
    <w:rsid w:val="00E0633E"/>
    <w:rsid w:val="00E077CE"/>
    <w:rsid w:val="00E10584"/>
    <w:rsid w:val="00E11294"/>
    <w:rsid w:val="00E1254E"/>
    <w:rsid w:val="00E12698"/>
    <w:rsid w:val="00E14A3E"/>
    <w:rsid w:val="00E1633A"/>
    <w:rsid w:val="00E16FAC"/>
    <w:rsid w:val="00E20472"/>
    <w:rsid w:val="00E20E41"/>
    <w:rsid w:val="00E21022"/>
    <w:rsid w:val="00E22F3E"/>
    <w:rsid w:val="00E22FF6"/>
    <w:rsid w:val="00E23FDC"/>
    <w:rsid w:val="00E241B8"/>
    <w:rsid w:val="00E2546F"/>
    <w:rsid w:val="00E26288"/>
    <w:rsid w:val="00E26B12"/>
    <w:rsid w:val="00E333B2"/>
    <w:rsid w:val="00E33953"/>
    <w:rsid w:val="00E33B82"/>
    <w:rsid w:val="00E3441F"/>
    <w:rsid w:val="00E34C2E"/>
    <w:rsid w:val="00E351B3"/>
    <w:rsid w:val="00E426E7"/>
    <w:rsid w:val="00E44C99"/>
    <w:rsid w:val="00E45EEA"/>
    <w:rsid w:val="00E5049C"/>
    <w:rsid w:val="00E504C0"/>
    <w:rsid w:val="00E50DD4"/>
    <w:rsid w:val="00E52167"/>
    <w:rsid w:val="00E52226"/>
    <w:rsid w:val="00E5307A"/>
    <w:rsid w:val="00E55E62"/>
    <w:rsid w:val="00E568A0"/>
    <w:rsid w:val="00E60AED"/>
    <w:rsid w:val="00E62180"/>
    <w:rsid w:val="00E62A7C"/>
    <w:rsid w:val="00E658ED"/>
    <w:rsid w:val="00E72632"/>
    <w:rsid w:val="00E73990"/>
    <w:rsid w:val="00E762DF"/>
    <w:rsid w:val="00E84347"/>
    <w:rsid w:val="00E90F2C"/>
    <w:rsid w:val="00E94ED2"/>
    <w:rsid w:val="00E95B80"/>
    <w:rsid w:val="00E97944"/>
    <w:rsid w:val="00EA0298"/>
    <w:rsid w:val="00EA2FFF"/>
    <w:rsid w:val="00EA4867"/>
    <w:rsid w:val="00EA496F"/>
    <w:rsid w:val="00EA513F"/>
    <w:rsid w:val="00EB020B"/>
    <w:rsid w:val="00EB2E1F"/>
    <w:rsid w:val="00EB2FC6"/>
    <w:rsid w:val="00EB4641"/>
    <w:rsid w:val="00EB4958"/>
    <w:rsid w:val="00EB6C1F"/>
    <w:rsid w:val="00EB74D0"/>
    <w:rsid w:val="00EB7E9A"/>
    <w:rsid w:val="00EC2032"/>
    <w:rsid w:val="00EC2B8B"/>
    <w:rsid w:val="00EC3A94"/>
    <w:rsid w:val="00EC605A"/>
    <w:rsid w:val="00EC6CF9"/>
    <w:rsid w:val="00EC72AE"/>
    <w:rsid w:val="00EC7453"/>
    <w:rsid w:val="00ED11CA"/>
    <w:rsid w:val="00ED1821"/>
    <w:rsid w:val="00ED2D03"/>
    <w:rsid w:val="00ED4039"/>
    <w:rsid w:val="00ED5572"/>
    <w:rsid w:val="00ED70F2"/>
    <w:rsid w:val="00ED7BC4"/>
    <w:rsid w:val="00EE0AB7"/>
    <w:rsid w:val="00EE2812"/>
    <w:rsid w:val="00EE32B2"/>
    <w:rsid w:val="00EE341E"/>
    <w:rsid w:val="00EF1A4E"/>
    <w:rsid w:val="00EF23B3"/>
    <w:rsid w:val="00EF29FA"/>
    <w:rsid w:val="00EF306C"/>
    <w:rsid w:val="00EF39C3"/>
    <w:rsid w:val="00EF48FB"/>
    <w:rsid w:val="00EF6B34"/>
    <w:rsid w:val="00F0041B"/>
    <w:rsid w:val="00F01327"/>
    <w:rsid w:val="00F03843"/>
    <w:rsid w:val="00F06673"/>
    <w:rsid w:val="00F07945"/>
    <w:rsid w:val="00F13979"/>
    <w:rsid w:val="00F14443"/>
    <w:rsid w:val="00F149F6"/>
    <w:rsid w:val="00F14DFC"/>
    <w:rsid w:val="00F16F97"/>
    <w:rsid w:val="00F20147"/>
    <w:rsid w:val="00F20F78"/>
    <w:rsid w:val="00F22852"/>
    <w:rsid w:val="00F24905"/>
    <w:rsid w:val="00F30138"/>
    <w:rsid w:val="00F31185"/>
    <w:rsid w:val="00F31F50"/>
    <w:rsid w:val="00F32CBC"/>
    <w:rsid w:val="00F33BB3"/>
    <w:rsid w:val="00F35B63"/>
    <w:rsid w:val="00F35C62"/>
    <w:rsid w:val="00F37199"/>
    <w:rsid w:val="00F4026A"/>
    <w:rsid w:val="00F4392F"/>
    <w:rsid w:val="00F441FD"/>
    <w:rsid w:val="00F448FD"/>
    <w:rsid w:val="00F44F69"/>
    <w:rsid w:val="00F45CF7"/>
    <w:rsid w:val="00F45DC3"/>
    <w:rsid w:val="00F4688A"/>
    <w:rsid w:val="00F46C6C"/>
    <w:rsid w:val="00F46F21"/>
    <w:rsid w:val="00F5028B"/>
    <w:rsid w:val="00F50868"/>
    <w:rsid w:val="00F521A7"/>
    <w:rsid w:val="00F52AB1"/>
    <w:rsid w:val="00F52B00"/>
    <w:rsid w:val="00F52C1A"/>
    <w:rsid w:val="00F52E16"/>
    <w:rsid w:val="00F52FD5"/>
    <w:rsid w:val="00F53C44"/>
    <w:rsid w:val="00F54FA7"/>
    <w:rsid w:val="00F57201"/>
    <w:rsid w:val="00F601B6"/>
    <w:rsid w:val="00F60D60"/>
    <w:rsid w:val="00F613E0"/>
    <w:rsid w:val="00F6178F"/>
    <w:rsid w:val="00F61DC6"/>
    <w:rsid w:val="00F6274A"/>
    <w:rsid w:val="00F65513"/>
    <w:rsid w:val="00F66A52"/>
    <w:rsid w:val="00F67507"/>
    <w:rsid w:val="00F72FF5"/>
    <w:rsid w:val="00F73DE1"/>
    <w:rsid w:val="00F758B4"/>
    <w:rsid w:val="00F76AAA"/>
    <w:rsid w:val="00F80D84"/>
    <w:rsid w:val="00F816C7"/>
    <w:rsid w:val="00F81F53"/>
    <w:rsid w:val="00F8203A"/>
    <w:rsid w:val="00F82BB1"/>
    <w:rsid w:val="00F837E3"/>
    <w:rsid w:val="00F83C63"/>
    <w:rsid w:val="00F844F2"/>
    <w:rsid w:val="00F85733"/>
    <w:rsid w:val="00F85A9B"/>
    <w:rsid w:val="00F85D8A"/>
    <w:rsid w:val="00F85FD7"/>
    <w:rsid w:val="00F863B2"/>
    <w:rsid w:val="00F871C8"/>
    <w:rsid w:val="00F875AB"/>
    <w:rsid w:val="00F8778E"/>
    <w:rsid w:val="00F93D29"/>
    <w:rsid w:val="00F93D57"/>
    <w:rsid w:val="00F94F34"/>
    <w:rsid w:val="00F95C0C"/>
    <w:rsid w:val="00F96988"/>
    <w:rsid w:val="00F96CD8"/>
    <w:rsid w:val="00F96CF1"/>
    <w:rsid w:val="00F9710D"/>
    <w:rsid w:val="00F979C1"/>
    <w:rsid w:val="00FA32BE"/>
    <w:rsid w:val="00FA6D3E"/>
    <w:rsid w:val="00FA7287"/>
    <w:rsid w:val="00FA7481"/>
    <w:rsid w:val="00FB1E84"/>
    <w:rsid w:val="00FB2432"/>
    <w:rsid w:val="00FB31DF"/>
    <w:rsid w:val="00FB32B3"/>
    <w:rsid w:val="00FB33AD"/>
    <w:rsid w:val="00FB3AE3"/>
    <w:rsid w:val="00FB7173"/>
    <w:rsid w:val="00FB745A"/>
    <w:rsid w:val="00FC0784"/>
    <w:rsid w:val="00FC0C63"/>
    <w:rsid w:val="00FC0F16"/>
    <w:rsid w:val="00FC3801"/>
    <w:rsid w:val="00FC3E15"/>
    <w:rsid w:val="00FC4FAC"/>
    <w:rsid w:val="00FC54B5"/>
    <w:rsid w:val="00FC6B30"/>
    <w:rsid w:val="00FD12CC"/>
    <w:rsid w:val="00FD2159"/>
    <w:rsid w:val="00FD23F5"/>
    <w:rsid w:val="00FD2A6E"/>
    <w:rsid w:val="00FD30E8"/>
    <w:rsid w:val="00FD55ED"/>
    <w:rsid w:val="00FE012C"/>
    <w:rsid w:val="00FE09CD"/>
    <w:rsid w:val="00FE0A4A"/>
    <w:rsid w:val="00FE1183"/>
    <w:rsid w:val="00FE1327"/>
    <w:rsid w:val="00FE3B29"/>
    <w:rsid w:val="00FE54BC"/>
    <w:rsid w:val="00FE5A7C"/>
    <w:rsid w:val="00FE66AE"/>
    <w:rsid w:val="00FE682C"/>
    <w:rsid w:val="00FF0394"/>
    <w:rsid w:val="00FF170C"/>
    <w:rsid w:val="00FF3ABB"/>
    <w:rsid w:val="00FF3C28"/>
    <w:rsid w:val="00FF42AD"/>
    <w:rsid w:val="00FF4947"/>
    <w:rsid w:val="00FF4EBB"/>
    <w:rsid w:val="00FF521B"/>
    <w:rsid w:val="00FF53FC"/>
    <w:rsid w:val="00FF69F9"/>
    <w:rsid w:val="00FF6D3F"/>
    <w:rsid w:val="00FF7C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203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80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75B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3E194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9D7"/>
    <w:pPr>
      <w:ind w:left="720"/>
      <w:contextualSpacing/>
    </w:pPr>
  </w:style>
  <w:style w:type="paragraph" w:styleId="FootnoteText">
    <w:name w:val="footnote text"/>
    <w:aliases w:val="Footnote Text Char1,Footnote Text Char Char,Footnote text 1,Footnote text 1 Char,Kneebone1,Footnote,Text Char Char Char,Text Char,Footnote Text Char Char Char Char Char,Text Char Char Char Char Char,Text,5_G,Footnote Text Char1 Char Char,f"/>
    <w:basedOn w:val="Normal"/>
    <w:link w:val="FootnoteTextChar"/>
    <w:uiPriority w:val="99"/>
    <w:unhideWhenUsed/>
    <w:qFormat/>
    <w:rsid w:val="000F2F7C"/>
    <w:rPr>
      <w:rFonts w:ascii="Times New Roman" w:hAnsi="Times New Roman" w:cs="Times New Roman"/>
      <w:sz w:val="20"/>
      <w:szCs w:val="20"/>
    </w:rPr>
  </w:style>
  <w:style w:type="character" w:customStyle="1" w:styleId="FootnoteTextChar">
    <w:name w:val="Footnote Text Char"/>
    <w:aliases w:val="Footnote Text Char1 Char,Footnote Text Char Char Char,Footnote text 1 Char1,Footnote text 1 Char Char,Kneebone1 Char,Footnote Char,Text Char Char Char Char,Text Char Char,Footnote Text Char Char Char Char Char Char,Text Char1,5_G Char"/>
    <w:basedOn w:val="DefaultParagraphFont"/>
    <w:link w:val="FootnoteText"/>
    <w:uiPriority w:val="99"/>
    <w:rsid w:val="000F2F7C"/>
    <w:rPr>
      <w:rFonts w:ascii="Times New Roman" w:hAnsi="Times New Roman" w:cs="Times New Roman"/>
      <w:sz w:val="20"/>
      <w:szCs w:val="20"/>
    </w:rPr>
  </w:style>
  <w:style w:type="character" w:styleId="FootnoteReference">
    <w:name w:val="footnote reference"/>
    <w:aliases w:val="4_G,Footnote number,Footnotes refss,Texto de nota al pie,Appel note de bas de page,f,Standard + Block,Erste Zeile:  1 cm"/>
    <w:basedOn w:val="DefaultParagraphFont"/>
    <w:uiPriority w:val="99"/>
    <w:unhideWhenUsed/>
    <w:rsid w:val="00BF0E13"/>
    <w:rPr>
      <w:vertAlign w:val="superscript"/>
    </w:rPr>
  </w:style>
  <w:style w:type="character" w:styleId="Hyperlink">
    <w:name w:val="Hyperlink"/>
    <w:basedOn w:val="DefaultParagraphFont"/>
    <w:uiPriority w:val="99"/>
    <w:unhideWhenUsed/>
    <w:rsid w:val="00E22F3E"/>
    <w:rPr>
      <w:color w:val="0563C1" w:themeColor="hyperlink"/>
      <w:u w:val="single"/>
    </w:rPr>
  </w:style>
  <w:style w:type="character" w:styleId="UnresolvedMention">
    <w:name w:val="Unresolved Mention"/>
    <w:basedOn w:val="DefaultParagraphFont"/>
    <w:uiPriority w:val="99"/>
    <w:semiHidden/>
    <w:unhideWhenUsed/>
    <w:rsid w:val="00E22F3E"/>
    <w:rPr>
      <w:color w:val="605E5C"/>
      <w:shd w:val="clear" w:color="auto" w:fill="E1DFDD"/>
    </w:rPr>
  </w:style>
  <w:style w:type="character" w:styleId="Emphasis">
    <w:name w:val="Emphasis"/>
    <w:basedOn w:val="DefaultParagraphFont"/>
    <w:uiPriority w:val="20"/>
    <w:qFormat/>
    <w:rsid w:val="00384F44"/>
    <w:rPr>
      <w:i/>
      <w:iCs/>
    </w:rPr>
  </w:style>
  <w:style w:type="paragraph" w:styleId="Quote">
    <w:name w:val="Quote"/>
    <w:basedOn w:val="Normal"/>
    <w:next w:val="Normal"/>
    <w:link w:val="QuoteChar"/>
    <w:uiPriority w:val="29"/>
    <w:qFormat/>
    <w:rsid w:val="00A02800"/>
    <w:pPr>
      <w:spacing w:before="200" w:after="160"/>
      <w:ind w:left="709" w:right="662"/>
      <w:jc w:val="both"/>
    </w:pPr>
    <w:rPr>
      <w:rFonts w:ascii="Times New Roman" w:hAnsi="Times New Roman" w:cs="Times New Roman"/>
      <w:sz w:val="24"/>
      <w:shd w:val="clear" w:color="auto" w:fill="FFFFFF"/>
    </w:rPr>
  </w:style>
  <w:style w:type="character" w:customStyle="1" w:styleId="QuoteChar">
    <w:name w:val="Quote Char"/>
    <w:basedOn w:val="DefaultParagraphFont"/>
    <w:link w:val="Quote"/>
    <w:uiPriority w:val="29"/>
    <w:rsid w:val="00A02800"/>
    <w:rPr>
      <w:rFonts w:ascii="Times New Roman" w:hAnsi="Times New Roman" w:cs="Times New Roman"/>
      <w:sz w:val="24"/>
    </w:rPr>
  </w:style>
  <w:style w:type="character" w:styleId="CommentReference">
    <w:name w:val="annotation reference"/>
    <w:basedOn w:val="DefaultParagraphFont"/>
    <w:uiPriority w:val="99"/>
    <w:semiHidden/>
    <w:unhideWhenUsed/>
    <w:rsid w:val="00086139"/>
    <w:rPr>
      <w:sz w:val="16"/>
      <w:szCs w:val="16"/>
    </w:rPr>
  </w:style>
  <w:style w:type="paragraph" w:styleId="CommentText">
    <w:name w:val="annotation text"/>
    <w:basedOn w:val="Normal"/>
    <w:link w:val="CommentTextChar"/>
    <w:uiPriority w:val="99"/>
    <w:unhideWhenUsed/>
    <w:rsid w:val="00086139"/>
    <w:rPr>
      <w:sz w:val="20"/>
      <w:szCs w:val="20"/>
    </w:rPr>
  </w:style>
  <w:style w:type="character" w:customStyle="1" w:styleId="CommentTextChar">
    <w:name w:val="Comment Text Char"/>
    <w:basedOn w:val="DefaultParagraphFont"/>
    <w:link w:val="CommentText"/>
    <w:uiPriority w:val="99"/>
    <w:rsid w:val="00086139"/>
    <w:rPr>
      <w:sz w:val="20"/>
      <w:szCs w:val="20"/>
    </w:rPr>
  </w:style>
  <w:style w:type="paragraph" w:styleId="CommentSubject">
    <w:name w:val="annotation subject"/>
    <w:basedOn w:val="CommentText"/>
    <w:next w:val="CommentText"/>
    <w:link w:val="CommentSubjectChar"/>
    <w:uiPriority w:val="99"/>
    <w:semiHidden/>
    <w:unhideWhenUsed/>
    <w:rsid w:val="00086139"/>
    <w:rPr>
      <w:b/>
      <w:bCs/>
    </w:rPr>
  </w:style>
  <w:style w:type="character" w:customStyle="1" w:styleId="CommentSubjectChar">
    <w:name w:val="Comment Subject Char"/>
    <w:basedOn w:val="CommentTextChar"/>
    <w:link w:val="CommentSubject"/>
    <w:uiPriority w:val="99"/>
    <w:semiHidden/>
    <w:rsid w:val="00086139"/>
    <w:rPr>
      <w:b/>
      <w:bCs/>
      <w:sz w:val="20"/>
      <w:szCs w:val="20"/>
    </w:rPr>
  </w:style>
  <w:style w:type="character" w:customStyle="1" w:styleId="QuoteChar1">
    <w:name w:val="Quote Char1"/>
    <w:basedOn w:val="DefaultParagraphFont"/>
    <w:locked/>
    <w:rsid w:val="004379CE"/>
    <w:rPr>
      <w:rFonts w:ascii="Times New Roman" w:eastAsia="Times New Roman" w:hAnsi="Times New Roman" w:cstheme="minorBidi"/>
      <w:bCs/>
      <w:kern w:val="0"/>
      <w:sz w:val="24"/>
      <w:lang w:val="en-GB" w:eastAsia="ar-SA"/>
      <w14:ligatures w14:val="none"/>
    </w:rPr>
  </w:style>
  <w:style w:type="paragraph" w:styleId="NormalWeb">
    <w:name w:val="Normal (Web)"/>
    <w:basedOn w:val="Normal"/>
    <w:uiPriority w:val="99"/>
    <w:semiHidden/>
    <w:unhideWhenUsed/>
    <w:rsid w:val="00E658ED"/>
    <w:rPr>
      <w:rFonts w:ascii="Times New Roman" w:hAnsi="Times New Roman" w:cs="Times New Roman"/>
      <w:sz w:val="24"/>
    </w:rPr>
  </w:style>
  <w:style w:type="character" w:customStyle="1" w:styleId="bnwrappedspan">
    <w:name w:val="bn_wrapped_span"/>
    <w:basedOn w:val="DefaultParagraphFont"/>
    <w:rsid w:val="00C37A44"/>
  </w:style>
  <w:style w:type="paragraph" w:styleId="Header">
    <w:name w:val="header"/>
    <w:basedOn w:val="Normal"/>
    <w:link w:val="HeaderChar"/>
    <w:uiPriority w:val="99"/>
    <w:unhideWhenUsed/>
    <w:rsid w:val="00FC0F16"/>
    <w:pPr>
      <w:tabs>
        <w:tab w:val="center" w:pos="4513"/>
        <w:tab w:val="right" w:pos="9026"/>
      </w:tabs>
    </w:pPr>
  </w:style>
  <w:style w:type="character" w:customStyle="1" w:styleId="HeaderChar">
    <w:name w:val="Header Char"/>
    <w:basedOn w:val="DefaultParagraphFont"/>
    <w:link w:val="Header"/>
    <w:uiPriority w:val="99"/>
    <w:rsid w:val="00FC0F16"/>
  </w:style>
  <w:style w:type="paragraph" w:styleId="Footer">
    <w:name w:val="footer"/>
    <w:basedOn w:val="Normal"/>
    <w:link w:val="FooterChar"/>
    <w:uiPriority w:val="99"/>
    <w:unhideWhenUsed/>
    <w:rsid w:val="00FC0F16"/>
    <w:pPr>
      <w:tabs>
        <w:tab w:val="center" w:pos="4513"/>
        <w:tab w:val="right" w:pos="9026"/>
      </w:tabs>
    </w:pPr>
  </w:style>
  <w:style w:type="character" w:customStyle="1" w:styleId="FooterChar">
    <w:name w:val="Footer Char"/>
    <w:basedOn w:val="DefaultParagraphFont"/>
    <w:link w:val="Footer"/>
    <w:uiPriority w:val="99"/>
    <w:rsid w:val="00FC0F16"/>
  </w:style>
  <w:style w:type="paragraph" w:styleId="Revision">
    <w:name w:val="Revision"/>
    <w:hidden/>
    <w:uiPriority w:val="99"/>
    <w:semiHidden/>
    <w:rsid w:val="00A70F28"/>
  </w:style>
  <w:style w:type="character" w:customStyle="1" w:styleId="Heading1Char">
    <w:name w:val="Heading 1 Char"/>
    <w:basedOn w:val="DefaultParagraphFont"/>
    <w:link w:val="Heading1"/>
    <w:uiPriority w:val="9"/>
    <w:rsid w:val="0000580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75BA5"/>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3E1945"/>
    <w:rPr>
      <w:rFonts w:asciiTheme="majorHAnsi" w:eastAsiaTheme="majorEastAsia" w:hAnsiTheme="majorHAnsi" w:cstheme="majorBidi"/>
      <w:color w:val="2F5496" w:themeColor="accent1" w:themeShade="BF"/>
    </w:rPr>
  </w:style>
  <w:style w:type="paragraph" w:customStyle="1" w:styleId="Default">
    <w:name w:val="Default"/>
    <w:rsid w:val="002C64F5"/>
    <w:pPr>
      <w:autoSpaceDE w:val="0"/>
      <w:autoSpaceDN w:val="0"/>
      <w:adjustRightInd w:val="0"/>
    </w:pPr>
    <w:rPr>
      <w:rFonts w:ascii="Times New Roman" w:hAnsi="Times New Roman" w:cs="Times New Roman"/>
      <w:color w:val="000000"/>
      <w:kern w:val="0"/>
      <w:sz w:val="24"/>
    </w:rPr>
  </w:style>
  <w:style w:type="paragraph" w:styleId="EndnoteText">
    <w:name w:val="endnote text"/>
    <w:basedOn w:val="Normal"/>
    <w:link w:val="EndnoteTextChar"/>
    <w:uiPriority w:val="99"/>
    <w:semiHidden/>
    <w:unhideWhenUsed/>
    <w:rsid w:val="00B27012"/>
    <w:rPr>
      <w:sz w:val="20"/>
      <w:szCs w:val="20"/>
    </w:rPr>
  </w:style>
  <w:style w:type="character" w:customStyle="1" w:styleId="EndnoteTextChar">
    <w:name w:val="Endnote Text Char"/>
    <w:basedOn w:val="DefaultParagraphFont"/>
    <w:link w:val="EndnoteText"/>
    <w:uiPriority w:val="99"/>
    <w:semiHidden/>
    <w:rsid w:val="00B27012"/>
    <w:rPr>
      <w:sz w:val="20"/>
      <w:szCs w:val="20"/>
    </w:rPr>
  </w:style>
  <w:style w:type="character" w:styleId="EndnoteReference">
    <w:name w:val="endnote reference"/>
    <w:basedOn w:val="DefaultParagraphFont"/>
    <w:uiPriority w:val="99"/>
    <w:semiHidden/>
    <w:unhideWhenUsed/>
    <w:rsid w:val="00B270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610">
      <w:bodyDiv w:val="1"/>
      <w:marLeft w:val="0"/>
      <w:marRight w:val="0"/>
      <w:marTop w:val="0"/>
      <w:marBottom w:val="0"/>
      <w:divBdr>
        <w:top w:val="none" w:sz="0" w:space="0" w:color="auto"/>
        <w:left w:val="none" w:sz="0" w:space="0" w:color="auto"/>
        <w:bottom w:val="none" w:sz="0" w:space="0" w:color="auto"/>
        <w:right w:val="none" w:sz="0" w:space="0" w:color="auto"/>
      </w:divBdr>
      <w:divsChild>
        <w:div w:id="790050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369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970643">
      <w:bodyDiv w:val="1"/>
      <w:marLeft w:val="0"/>
      <w:marRight w:val="0"/>
      <w:marTop w:val="0"/>
      <w:marBottom w:val="0"/>
      <w:divBdr>
        <w:top w:val="none" w:sz="0" w:space="0" w:color="auto"/>
        <w:left w:val="none" w:sz="0" w:space="0" w:color="auto"/>
        <w:bottom w:val="none" w:sz="0" w:space="0" w:color="auto"/>
        <w:right w:val="none" w:sz="0" w:space="0" w:color="auto"/>
      </w:divBdr>
    </w:div>
    <w:div w:id="257641539">
      <w:bodyDiv w:val="1"/>
      <w:marLeft w:val="0"/>
      <w:marRight w:val="0"/>
      <w:marTop w:val="0"/>
      <w:marBottom w:val="0"/>
      <w:divBdr>
        <w:top w:val="none" w:sz="0" w:space="0" w:color="auto"/>
        <w:left w:val="none" w:sz="0" w:space="0" w:color="auto"/>
        <w:bottom w:val="none" w:sz="0" w:space="0" w:color="auto"/>
        <w:right w:val="none" w:sz="0" w:space="0" w:color="auto"/>
      </w:divBdr>
    </w:div>
    <w:div w:id="346176850">
      <w:bodyDiv w:val="1"/>
      <w:marLeft w:val="0"/>
      <w:marRight w:val="0"/>
      <w:marTop w:val="0"/>
      <w:marBottom w:val="0"/>
      <w:divBdr>
        <w:top w:val="none" w:sz="0" w:space="0" w:color="auto"/>
        <w:left w:val="none" w:sz="0" w:space="0" w:color="auto"/>
        <w:bottom w:val="none" w:sz="0" w:space="0" w:color="auto"/>
        <w:right w:val="none" w:sz="0" w:space="0" w:color="auto"/>
      </w:divBdr>
    </w:div>
    <w:div w:id="399790897">
      <w:bodyDiv w:val="1"/>
      <w:marLeft w:val="0"/>
      <w:marRight w:val="0"/>
      <w:marTop w:val="0"/>
      <w:marBottom w:val="0"/>
      <w:divBdr>
        <w:top w:val="none" w:sz="0" w:space="0" w:color="auto"/>
        <w:left w:val="none" w:sz="0" w:space="0" w:color="auto"/>
        <w:bottom w:val="none" w:sz="0" w:space="0" w:color="auto"/>
        <w:right w:val="none" w:sz="0" w:space="0" w:color="auto"/>
      </w:divBdr>
    </w:div>
    <w:div w:id="411396170">
      <w:bodyDiv w:val="1"/>
      <w:marLeft w:val="0"/>
      <w:marRight w:val="0"/>
      <w:marTop w:val="0"/>
      <w:marBottom w:val="0"/>
      <w:divBdr>
        <w:top w:val="none" w:sz="0" w:space="0" w:color="auto"/>
        <w:left w:val="none" w:sz="0" w:space="0" w:color="auto"/>
        <w:bottom w:val="none" w:sz="0" w:space="0" w:color="auto"/>
        <w:right w:val="none" w:sz="0" w:space="0" w:color="auto"/>
      </w:divBdr>
    </w:div>
    <w:div w:id="459373740">
      <w:bodyDiv w:val="1"/>
      <w:marLeft w:val="0"/>
      <w:marRight w:val="0"/>
      <w:marTop w:val="0"/>
      <w:marBottom w:val="0"/>
      <w:divBdr>
        <w:top w:val="none" w:sz="0" w:space="0" w:color="auto"/>
        <w:left w:val="none" w:sz="0" w:space="0" w:color="auto"/>
        <w:bottom w:val="none" w:sz="0" w:space="0" w:color="auto"/>
        <w:right w:val="none" w:sz="0" w:space="0" w:color="auto"/>
      </w:divBdr>
    </w:div>
    <w:div w:id="616524145">
      <w:bodyDiv w:val="1"/>
      <w:marLeft w:val="0"/>
      <w:marRight w:val="0"/>
      <w:marTop w:val="0"/>
      <w:marBottom w:val="0"/>
      <w:divBdr>
        <w:top w:val="none" w:sz="0" w:space="0" w:color="auto"/>
        <w:left w:val="none" w:sz="0" w:space="0" w:color="auto"/>
        <w:bottom w:val="none" w:sz="0" w:space="0" w:color="auto"/>
        <w:right w:val="none" w:sz="0" w:space="0" w:color="auto"/>
      </w:divBdr>
    </w:div>
    <w:div w:id="779450095">
      <w:bodyDiv w:val="1"/>
      <w:marLeft w:val="0"/>
      <w:marRight w:val="0"/>
      <w:marTop w:val="0"/>
      <w:marBottom w:val="0"/>
      <w:divBdr>
        <w:top w:val="none" w:sz="0" w:space="0" w:color="auto"/>
        <w:left w:val="none" w:sz="0" w:space="0" w:color="auto"/>
        <w:bottom w:val="none" w:sz="0" w:space="0" w:color="auto"/>
        <w:right w:val="none" w:sz="0" w:space="0" w:color="auto"/>
      </w:divBdr>
    </w:div>
    <w:div w:id="785736484">
      <w:bodyDiv w:val="1"/>
      <w:marLeft w:val="0"/>
      <w:marRight w:val="0"/>
      <w:marTop w:val="0"/>
      <w:marBottom w:val="0"/>
      <w:divBdr>
        <w:top w:val="none" w:sz="0" w:space="0" w:color="auto"/>
        <w:left w:val="none" w:sz="0" w:space="0" w:color="auto"/>
        <w:bottom w:val="none" w:sz="0" w:space="0" w:color="auto"/>
        <w:right w:val="none" w:sz="0" w:space="0" w:color="auto"/>
      </w:divBdr>
    </w:div>
    <w:div w:id="856702226">
      <w:bodyDiv w:val="1"/>
      <w:marLeft w:val="0"/>
      <w:marRight w:val="0"/>
      <w:marTop w:val="0"/>
      <w:marBottom w:val="0"/>
      <w:divBdr>
        <w:top w:val="none" w:sz="0" w:space="0" w:color="auto"/>
        <w:left w:val="none" w:sz="0" w:space="0" w:color="auto"/>
        <w:bottom w:val="none" w:sz="0" w:space="0" w:color="auto"/>
        <w:right w:val="none" w:sz="0" w:space="0" w:color="auto"/>
      </w:divBdr>
    </w:div>
    <w:div w:id="931815344">
      <w:bodyDiv w:val="1"/>
      <w:marLeft w:val="0"/>
      <w:marRight w:val="0"/>
      <w:marTop w:val="0"/>
      <w:marBottom w:val="0"/>
      <w:divBdr>
        <w:top w:val="none" w:sz="0" w:space="0" w:color="auto"/>
        <w:left w:val="none" w:sz="0" w:space="0" w:color="auto"/>
        <w:bottom w:val="none" w:sz="0" w:space="0" w:color="auto"/>
        <w:right w:val="none" w:sz="0" w:space="0" w:color="auto"/>
      </w:divBdr>
    </w:div>
    <w:div w:id="940533486">
      <w:bodyDiv w:val="1"/>
      <w:marLeft w:val="0"/>
      <w:marRight w:val="0"/>
      <w:marTop w:val="0"/>
      <w:marBottom w:val="0"/>
      <w:divBdr>
        <w:top w:val="none" w:sz="0" w:space="0" w:color="auto"/>
        <w:left w:val="none" w:sz="0" w:space="0" w:color="auto"/>
        <w:bottom w:val="none" w:sz="0" w:space="0" w:color="auto"/>
        <w:right w:val="none" w:sz="0" w:space="0" w:color="auto"/>
      </w:divBdr>
    </w:div>
    <w:div w:id="1016805788">
      <w:bodyDiv w:val="1"/>
      <w:marLeft w:val="0"/>
      <w:marRight w:val="0"/>
      <w:marTop w:val="0"/>
      <w:marBottom w:val="0"/>
      <w:divBdr>
        <w:top w:val="none" w:sz="0" w:space="0" w:color="auto"/>
        <w:left w:val="none" w:sz="0" w:space="0" w:color="auto"/>
        <w:bottom w:val="none" w:sz="0" w:space="0" w:color="auto"/>
        <w:right w:val="none" w:sz="0" w:space="0" w:color="auto"/>
      </w:divBdr>
    </w:div>
    <w:div w:id="1022701809">
      <w:bodyDiv w:val="1"/>
      <w:marLeft w:val="0"/>
      <w:marRight w:val="0"/>
      <w:marTop w:val="0"/>
      <w:marBottom w:val="0"/>
      <w:divBdr>
        <w:top w:val="none" w:sz="0" w:space="0" w:color="auto"/>
        <w:left w:val="none" w:sz="0" w:space="0" w:color="auto"/>
        <w:bottom w:val="none" w:sz="0" w:space="0" w:color="auto"/>
        <w:right w:val="none" w:sz="0" w:space="0" w:color="auto"/>
      </w:divBdr>
    </w:div>
    <w:div w:id="1166289319">
      <w:bodyDiv w:val="1"/>
      <w:marLeft w:val="0"/>
      <w:marRight w:val="0"/>
      <w:marTop w:val="0"/>
      <w:marBottom w:val="0"/>
      <w:divBdr>
        <w:top w:val="none" w:sz="0" w:space="0" w:color="auto"/>
        <w:left w:val="none" w:sz="0" w:space="0" w:color="auto"/>
        <w:bottom w:val="none" w:sz="0" w:space="0" w:color="auto"/>
        <w:right w:val="none" w:sz="0" w:space="0" w:color="auto"/>
      </w:divBdr>
    </w:div>
    <w:div w:id="1246573473">
      <w:bodyDiv w:val="1"/>
      <w:marLeft w:val="0"/>
      <w:marRight w:val="0"/>
      <w:marTop w:val="0"/>
      <w:marBottom w:val="0"/>
      <w:divBdr>
        <w:top w:val="none" w:sz="0" w:space="0" w:color="auto"/>
        <w:left w:val="none" w:sz="0" w:space="0" w:color="auto"/>
        <w:bottom w:val="none" w:sz="0" w:space="0" w:color="auto"/>
        <w:right w:val="none" w:sz="0" w:space="0" w:color="auto"/>
      </w:divBdr>
    </w:div>
    <w:div w:id="1288392012">
      <w:bodyDiv w:val="1"/>
      <w:marLeft w:val="0"/>
      <w:marRight w:val="0"/>
      <w:marTop w:val="0"/>
      <w:marBottom w:val="0"/>
      <w:divBdr>
        <w:top w:val="none" w:sz="0" w:space="0" w:color="auto"/>
        <w:left w:val="none" w:sz="0" w:space="0" w:color="auto"/>
        <w:bottom w:val="none" w:sz="0" w:space="0" w:color="auto"/>
        <w:right w:val="none" w:sz="0" w:space="0" w:color="auto"/>
      </w:divBdr>
    </w:div>
    <w:div w:id="1447240187">
      <w:bodyDiv w:val="1"/>
      <w:marLeft w:val="0"/>
      <w:marRight w:val="0"/>
      <w:marTop w:val="0"/>
      <w:marBottom w:val="0"/>
      <w:divBdr>
        <w:top w:val="none" w:sz="0" w:space="0" w:color="auto"/>
        <w:left w:val="none" w:sz="0" w:space="0" w:color="auto"/>
        <w:bottom w:val="none" w:sz="0" w:space="0" w:color="auto"/>
        <w:right w:val="none" w:sz="0" w:space="0" w:color="auto"/>
      </w:divBdr>
    </w:div>
    <w:div w:id="1488328598">
      <w:bodyDiv w:val="1"/>
      <w:marLeft w:val="0"/>
      <w:marRight w:val="0"/>
      <w:marTop w:val="0"/>
      <w:marBottom w:val="0"/>
      <w:divBdr>
        <w:top w:val="none" w:sz="0" w:space="0" w:color="auto"/>
        <w:left w:val="none" w:sz="0" w:space="0" w:color="auto"/>
        <w:bottom w:val="none" w:sz="0" w:space="0" w:color="auto"/>
        <w:right w:val="none" w:sz="0" w:space="0" w:color="auto"/>
      </w:divBdr>
    </w:div>
    <w:div w:id="1535733761">
      <w:bodyDiv w:val="1"/>
      <w:marLeft w:val="0"/>
      <w:marRight w:val="0"/>
      <w:marTop w:val="0"/>
      <w:marBottom w:val="0"/>
      <w:divBdr>
        <w:top w:val="none" w:sz="0" w:space="0" w:color="auto"/>
        <w:left w:val="none" w:sz="0" w:space="0" w:color="auto"/>
        <w:bottom w:val="none" w:sz="0" w:space="0" w:color="auto"/>
        <w:right w:val="none" w:sz="0" w:space="0" w:color="auto"/>
      </w:divBdr>
    </w:div>
    <w:div w:id="1612780908">
      <w:bodyDiv w:val="1"/>
      <w:marLeft w:val="0"/>
      <w:marRight w:val="0"/>
      <w:marTop w:val="0"/>
      <w:marBottom w:val="0"/>
      <w:divBdr>
        <w:top w:val="none" w:sz="0" w:space="0" w:color="auto"/>
        <w:left w:val="none" w:sz="0" w:space="0" w:color="auto"/>
        <w:bottom w:val="none" w:sz="0" w:space="0" w:color="auto"/>
        <w:right w:val="none" w:sz="0" w:space="0" w:color="auto"/>
      </w:divBdr>
    </w:div>
    <w:div w:id="1705131656">
      <w:bodyDiv w:val="1"/>
      <w:marLeft w:val="0"/>
      <w:marRight w:val="0"/>
      <w:marTop w:val="0"/>
      <w:marBottom w:val="0"/>
      <w:divBdr>
        <w:top w:val="none" w:sz="0" w:space="0" w:color="auto"/>
        <w:left w:val="none" w:sz="0" w:space="0" w:color="auto"/>
        <w:bottom w:val="none" w:sz="0" w:space="0" w:color="auto"/>
        <w:right w:val="none" w:sz="0" w:space="0" w:color="auto"/>
      </w:divBdr>
    </w:div>
    <w:div w:id="1789081219">
      <w:bodyDiv w:val="1"/>
      <w:marLeft w:val="0"/>
      <w:marRight w:val="0"/>
      <w:marTop w:val="0"/>
      <w:marBottom w:val="0"/>
      <w:divBdr>
        <w:top w:val="none" w:sz="0" w:space="0" w:color="auto"/>
        <w:left w:val="none" w:sz="0" w:space="0" w:color="auto"/>
        <w:bottom w:val="none" w:sz="0" w:space="0" w:color="auto"/>
        <w:right w:val="none" w:sz="0" w:space="0" w:color="auto"/>
      </w:divBdr>
    </w:div>
    <w:div w:id="1865098322">
      <w:bodyDiv w:val="1"/>
      <w:marLeft w:val="0"/>
      <w:marRight w:val="0"/>
      <w:marTop w:val="0"/>
      <w:marBottom w:val="0"/>
      <w:divBdr>
        <w:top w:val="none" w:sz="0" w:space="0" w:color="auto"/>
        <w:left w:val="none" w:sz="0" w:space="0" w:color="auto"/>
        <w:bottom w:val="none" w:sz="0" w:space="0" w:color="auto"/>
        <w:right w:val="none" w:sz="0" w:space="0" w:color="auto"/>
      </w:divBdr>
    </w:div>
    <w:div w:id="1880971516">
      <w:bodyDiv w:val="1"/>
      <w:marLeft w:val="0"/>
      <w:marRight w:val="0"/>
      <w:marTop w:val="0"/>
      <w:marBottom w:val="0"/>
      <w:divBdr>
        <w:top w:val="none" w:sz="0" w:space="0" w:color="auto"/>
        <w:left w:val="none" w:sz="0" w:space="0" w:color="auto"/>
        <w:bottom w:val="none" w:sz="0" w:space="0" w:color="auto"/>
        <w:right w:val="none" w:sz="0" w:space="0" w:color="auto"/>
      </w:divBdr>
    </w:div>
    <w:div w:id="1908152670">
      <w:bodyDiv w:val="1"/>
      <w:marLeft w:val="0"/>
      <w:marRight w:val="0"/>
      <w:marTop w:val="0"/>
      <w:marBottom w:val="0"/>
      <w:divBdr>
        <w:top w:val="none" w:sz="0" w:space="0" w:color="auto"/>
        <w:left w:val="none" w:sz="0" w:space="0" w:color="auto"/>
        <w:bottom w:val="none" w:sz="0" w:space="0" w:color="auto"/>
        <w:right w:val="none" w:sz="0" w:space="0" w:color="auto"/>
      </w:divBdr>
    </w:div>
    <w:div w:id="1919627585">
      <w:bodyDiv w:val="1"/>
      <w:marLeft w:val="0"/>
      <w:marRight w:val="0"/>
      <w:marTop w:val="0"/>
      <w:marBottom w:val="0"/>
      <w:divBdr>
        <w:top w:val="none" w:sz="0" w:space="0" w:color="auto"/>
        <w:left w:val="none" w:sz="0" w:space="0" w:color="auto"/>
        <w:bottom w:val="none" w:sz="0" w:space="0" w:color="auto"/>
        <w:right w:val="none" w:sz="0" w:space="0" w:color="auto"/>
      </w:divBdr>
      <w:divsChild>
        <w:div w:id="1818254262">
          <w:marLeft w:val="0"/>
          <w:marRight w:val="0"/>
          <w:marTop w:val="0"/>
          <w:marBottom w:val="0"/>
          <w:divBdr>
            <w:top w:val="single" w:sz="6" w:space="0" w:color="E3E3E3"/>
            <w:left w:val="single" w:sz="6" w:space="0" w:color="E3E3E3"/>
            <w:bottom w:val="single" w:sz="6" w:space="0" w:color="E3E3E3"/>
            <w:right w:val="single" w:sz="6" w:space="0" w:color="E3E3E3"/>
          </w:divBdr>
        </w:div>
        <w:div w:id="1844739190">
          <w:marLeft w:val="0"/>
          <w:marRight w:val="0"/>
          <w:marTop w:val="0"/>
          <w:marBottom w:val="0"/>
          <w:divBdr>
            <w:top w:val="none" w:sz="0" w:space="0" w:color="auto"/>
            <w:left w:val="none" w:sz="0" w:space="0" w:color="auto"/>
            <w:bottom w:val="none" w:sz="0" w:space="0" w:color="auto"/>
            <w:right w:val="none" w:sz="0" w:space="0" w:color="auto"/>
          </w:divBdr>
        </w:div>
      </w:divsChild>
    </w:div>
    <w:div w:id="1984307186">
      <w:bodyDiv w:val="1"/>
      <w:marLeft w:val="0"/>
      <w:marRight w:val="0"/>
      <w:marTop w:val="0"/>
      <w:marBottom w:val="0"/>
      <w:divBdr>
        <w:top w:val="none" w:sz="0" w:space="0" w:color="auto"/>
        <w:left w:val="none" w:sz="0" w:space="0" w:color="auto"/>
        <w:bottom w:val="none" w:sz="0" w:space="0" w:color="auto"/>
        <w:right w:val="none" w:sz="0" w:space="0" w:color="auto"/>
      </w:divBdr>
    </w:div>
    <w:div w:id="2000229339">
      <w:bodyDiv w:val="1"/>
      <w:marLeft w:val="0"/>
      <w:marRight w:val="0"/>
      <w:marTop w:val="0"/>
      <w:marBottom w:val="0"/>
      <w:divBdr>
        <w:top w:val="none" w:sz="0" w:space="0" w:color="auto"/>
        <w:left w:val="none" w:sz="0" w:space="0" w:color="auto"/>
        <w:bottom w:val="none" w:sz="0" w:space="0" w:color="auto"/>
        <w:right w:val="none" w:sz="0" w:space="0" w:color="auto"/>
      </w:divBdr>
    </w:div>
    <w:div w:id="2051496571">
      <w:bodyDiv w:val="1"/>
      <w:marLeft w:val="0"/>
      <w:marRight w:val="0"/>
      <w:marTop w:val="0"/>
      <w:marBottom w:val="0"/>
      <w:divBdr>
        <w:top w:val="none" w:sz="0" w:space="0" w:color="auto"/>
        <w:left w:val="none" w:sz="0" w:space="0" w:color="auto"/>
        <w:bottom w:val="none" w:sz="0" w:space="0" w:color="auto"/>
        <w:right w:val="none" w:sz="0" w:space="0" w:color="auto"/>
      </w:divBdr>
    </w:div>
    <w:div w:id="2055346374">
      <w:bodyDiv w:val="1"/>
      <w:marLeft w:val="0"/>
      <w:marRight w:val="0"/>
      <w:marTop w:val="0"/>
      <w:marBottom w:val="0"/>
      <w:divBdr>
        <w:top w:val="none" w:sz="0" w:space="0" w:color="auto"/>
        <w:left w:val="none" w:sz="0" w:space="0" w:color="auto"/>
        <w:bottom w:val="none" w:sz="0" w:space="0" w:color="auto"/>
        <w:right w:val="none" w:sz="0" w:space="0" w:color="auto"/>
      </w:divBdr>
    </w:div>
    <w:div w:id="207716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944-B9C2-344E-AFB2-15CCF31A6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11447</Words>
  <Characters>65253</Characters>
  <Application>Microsoft Office Word</Application>
  <DocSecurity>0</DocSecurity>
  <Lines>543</Lines>
  <Paragraphs>153</Paragraphs>
  <ScaleCrop>false</ScaleCrop>
  <Company/>
  <LinksUpToDate>false</LinksUpToDate>
  <CharactersWithSpaces>76547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2026-08-17T20:22:00Z</dcterms:created>
  <dcterms:modified xsi:type="dcterms:W3CDTF">2026-08-17T20:22:00Z</dcterms:modified>
</cp:coreProperties>
</file>