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331" w:rsidRPr="00CE6331" w:rsidRDefault="00CE6331" w:rsidP="00073B55">
      <w:pPr>
        <w:rPr>
          <w:b/>
        </w:rPr>
      </w:pPr>
      <w:r w:rsidRPr="00CE6331">
        <w:rPr>
          <w:b/>
        </w:rPr>
        <w:t>Title:</w:t>
      </w:r>
      <w:r w:rsidRPr="00CE6331">
        <w:rPr>
          <w:b/>
        </w:rPr>
        <w:tab/>
      </w:r>
    </w:p>
    <w:p w:rsidR="00F1036A" w:rsidRPr="00D45A1B" w:rsidRDefault="00B009CB" w:rsidP="00073B55">
      <w:r w:rsidRPr="00B009CB">
        <w:t>What Keeps Beginning Teachers in the Teaching Profession? The Use of Best-Worst Scaling to Quantify Key Factors</w:t>
      </w:r>
    </w:p>
    <w:p w:rsidR="00CE6331" w:rsidRPr="00CE6331" w:rsidRDefault="00CE6331" w:rsidP="00073B55">
      <w:pPr>
        <w:rPr>
          <w:b/>
        </w:rPr>
      </w:pPr>
      <w:r w:rsidRPr="00CE6331">
        <w:rPr>
          <w:b/>
        </w:rPr>
        <w:t>Author names and affiliations</w:t>
      </w:r>
    </w:p>
    <w:p w:rsidR="00E46833" w:rsidRDefault="00D3368A" w:rsidP="00073B55">
      <w:r>
        <w:t xml:space="preserve">Paul </w:t>
      </w:r>
      <w:r w:rsidR="00CE6331">
        <w:t xml:space="preserve">F. </w:t>
      </w:r>
      <w:r>
        <w:t>Burke</w:t>
      </w:r>
      <w:r w:rsidR="00CE6331">
        <w:t xml:space="preserve">, </w:t>
      </w:r>
      <w:r w:rsidR="00E46833">
        <w:t>Sandra Schuck</w:t>
      </w:r>
      <w:r w:rsidR="00CE6331">
        <w:t>,</w:t>
      </w:r>
      <w:r w:rsidR="00F1036A">
        <w:t xml:space="preserve"> </w:t>
      </w:r>
      <w:r w:rsidR="00E46833">
        <w:t>Peter Aubusson</w:t>
      </w:r>
      <w:r w:rsidR="0059612E">
        <w:t xml:space="preserve">, </w:t>
      </w:r>
      <w:r w:rsidR="005F0DF0">
        <w:t>John Bucha</w:t>
      </w:r>
      <w:r w:rsidR="00E46833">
        <w:t>nan</w:t>
      </w:r>
      <w:r w:rsidR="0059612E">
        <w:t xml:space="preserve">, </w:t>
      </w:r>
      <w:r w:rsidR="00E46833">
        <w:t xml:space="preserve">Jordan </w:t>
      </w:r>
      <w:r w:rsidR="00CE6331">
        <w:t xml:space="preserve">J. </w:t>
      </w:r>
      <w:r w:rsidR="00E46833">
        <w:t>Louviere</w:t>
      </w:r>
      <w:r w:rsidR="005F0DF0">
        <w:t>, Anne Prescott</w:t>
      </w:r>
    </w:p>
    <w:p w:rsidR="00CE6331" w:rsidRDefault="00CE6331" w:rsidP="00073B55">
      <w:r>
        <w:t>University of Technology, Sydney, Australia</w:t>
      </w:r>
    </w:p>
    <w:p w:rsidR="00F1036A" w:rsidRDefault="00F1036A" w:rsidP="00073B55"/>
    <w:p w:rsidR="00CE6331" w:rsidRPr="00CE6331" w:rsidRDefault="00CE6331" w:rsidP="00073B55">
      <w:pPr>
        <w:rPr>
          <w:b/>
        </w:rPr>
      </w:pPr>
      <w:r w:rsidRPr="00CE6331">
        <w:rPr>
          <w:b/>
        </w:rPr>
        <w:t>Corr</w:t>
      </w:r>
      <w:r w:rsidR="00D11E1B">
        <w:rPr>
          <w:b/>
        </w:rPr>
        <w:t>esponding Author</w:t>
      </w:r>
    </w:p>
    <w:p w:rsidR="002036BA" w:rsidRDefault="00D2558A" w:rsidP="00073B55">
      <w:r>
        <w:t>Prof</w:t>
      </w:r>
      <w:r w:rsidR="002036BA">
        <w:t>essor</w:t>
      </w:r>
      <w:r>
        <w:t xml:space="preserve"> Sandy Schuck</w:t>
      </w:r>
    </w:p>
    <w:p w:rsidR="002036BA" w:rsidRDefault="002036BA" w:rsidP="002036BA">
      <w:pPr>
        <w:spacing w:after="0"/>
      </w:pPr>
      <w:r>
        <w:t>Faculty of Arts and Social Sciences</w:t>
      </w:r>
    </w:p>
    <w:p w:rsidR="002036BA" w:rsidRDefault="00105011" w:rsidP="002036BA">
      <w:pPr>
        <w:spacing w:after="0"/>
      </w:pPr>
      <w:r w:rsidRPr="00105011">
        <w:t>University of Technology, Sydney</w:t>
      </w:r>
      <w:r w:rsidRPr="00105011">
        <w:br/>
        <w:t xml:space="preserve">PO Box </w:t>
      </w:r>
      <w:r w:rsidR="002036BA">
        <w:t>222</w:t>
      </w:r>
      <w:r w:rsidRPr="00105011">
        <w:t xml:space="preserve"> </w:t>
      </w:r>
      <w:r w:rsidR="002036BA">
        <w:t>Lindfield</w:t>
      </w:r>
      <w:r w:rsidRPr="00105011">
        <w:t xml:space="preserve"> NSW 207</w:t>
      </w:r>
      <w:r w:rsidR="002036BA">
        <w:t>0</w:t>
      </w:r>
      <w:r w:rsidRPr="00105011">
        <w:t xml:space="preserve"> </w:t>
      </w:r>
    </w:p>
    <w:p w:rsidR="00105011" w:rsidRDefault="00105011" w:rsidP="002036BA">
      <w:pPr>
        <w:spacing w:after="0"/>
      </w:pPr>
      <w:r w:rsidRPr="00105011">
        <w:t>Australia</w:t>
      </w:r>
    </w:p>
    <w:p w:rsidR="002036BA" w:rsidRPr="00105011" w:rsidRDefault="002036BA" w:rsidP="002036BA">
      <w:pPr>
        <w:spacing w:after="0"/>
      </w:pPr>
    </w:p>
    <w:p w:rsidR="00CE6331" w:rsidRDefault="00CE6331" w:rsidP="00073B55">
      <w:r>
        <w:t xml:space="preserve">+61 2 9514 </w:t>
      </w:r>
      <w:r w:rsidR="00D2558A">
        <w:t>5218</w:t>
      </w:r>
    </w:p>
    <w:p w:rsidR="00CE6331" w:rsidRDefault="00FF068D" w:rsidP="00073B55">
      <w:hyperlink r:id="rId8" w:history="1">
        <w:r w:rsidR="00D2558A" w:rsidRPr="00CC48B1">
          <w:rPr>
            <w:rStyle w:val="Hyperlink"/>
          </w:rPr>
          <w:t>Sandy.Schuck@uts.edu.au</w:t>
        </w:r>
      </w:hyperlink>
    </w:p>
    <w:p w:rsidR="00CE6331" w:rsidRDefault="00CE6331" w:rsidP="00073B55"/>
    <w:p w:rsidR="00D2558A" w:rsidRPr="00025FD6" w:rsidRDefault="00D2558A" w:rsidP="00D2558A">
      <w:pPr>
        <w:rPr>
          <w:b/>
        </w:rPr>
      </w:pPr>
      <w:r w:rsidRPr="00025FD6">
        <w:rPr>
          <w:b/>
        </w:rPr>
        <w:t xml:space="preserve">Acknowledgements </w:t>
      </w:r>
    </w:p>
    <w:p w:rsidR="00D2558A" w:rsidRDefault="00D2558A" w:rsidP="00D2558A">
      <w:r>
        <w:t xml:space="preserve">This project was </w:t>
      </w:r>
      <w:r w:rsidR="001E33C5">
        <w:t>financially supported</w:t>
      </w:r>
      <w:r>
        <w:t xml:space="preserve"> by the New South Wales Department of Education and Training</w:t>
      </w:r>
      <w:r w:rsidR="001E33C5">
        <w:t xml:space="preserve"> (NSWDET)</w:t>
      </w:r>
      <w:r>
        <w:t>. Invitations to participate in the B</w:t>
      </w:r>
      <w:r w:rsidR="001E33C5">
        <w:t>est/</w:t>
      </w:r>
      <w:r>
        <w:t>W</w:t>
      </w:r>
      <w:r w:rsidR="001E33C5">
        <w:t>orst surveys</w:t>
      </w:r>
      <w:r>
        <w:t xml:space="preserve"> were </w:t>
      </w:r>
      <w:r w:rsidR="001E33C5">
        <w:t xml:space="preserve">emailed </w:t>
      </w:r>
      <w:r>
        <w:t xml:space="preserve">by the NSW DET </w:t>
      </w:r>
      <w:r w:rsidR="001E33C5">
        <w:t>to</w:t>
      </w:r>
      <w:r>
        <w:t xml:space="preserve"> their database of beginning teachers. </w:t>
      </w:r>
    </w:p>
    <w:p w:rsidR="00D2558A" w:rsidRDefault="00D2558A" w:rsidP="00073B55">
      <w:bookmarkStart w:id="3" w:name="_GoBack"/>
      <w:bookmarkEnd w:id="3"/>
    </w:p>
    <w:p w:rsidR="00D2558A" w:rsidRDefault="00D2558A" w:rsidP="00073B55"/>
    <w:p w:rsidR="001E33C5" w:rsidRPr="00CE6331" w:rsidRDefault="001E33C5"/>
    <w:p w:rsidR="00CE6331" w:rsidRDefault="00CE6331"/>
    <w:p w:rsidR="002658C6" w:rsidRDefault="002658C6">
      <w:pPr>
        <w:rPr>
          <w:b/>
        </w:rPr>
      </w:pPr>
      <w:r>
        <w:rPr>
          <w:b/>
        </w:rPr>
        <w:br w:type="page"/>
      </w:r>
    </w:p>
    <w:p w:rsidR="00CE6331" w:rsidRPr="00CE6331" w:rsidRDefault="00CE6331">
      <w:pPr>
        <w:rPr>
          <w:b/>
        </w:rPr>
      </w:pPr>
      <w:r w:rsidRPr="00CE6331">
        <w:rPr>
          <w:b/>
        </w:rPr>
        <w:lastRenderedPageBreak/>
        <w:t>Abstract</w:t>
      </w:r>
    </w:p>
    <w:p w:rsidR="00EA57BC" w:rsidRDefault="00D11E1B" w:rsidP="00EA57BC">
      <w:r>
        <w:t>Many countries report high attrition rates among beginning teachers.</w:t>
      </w:r>
      <w:r w:rsidR="00EA57BC">
        <w:t xml:space="preserve"> </w:t>
      </w:r>
      <w:r w:rsidR="002658C6">
        <w:t>T</w:t>
      </w:r>
      <w:r w:rsidR="00EA57BC">
        <w:t xml:space="preserve">he literature </w:t>
      </w:r>
      <w:r w:rsidR="00BD620B">
        <w:t>cite</w:t>
      </w:r>
      <w:r w:rsidR="000F4BD9">
        <w:t>s</w:t>
      </w:r>
      <w:r w:rsidR="00BD620B">
        <w:t xml:space="preserve"> </w:t>
      </w:r>
      <w:r w:rsidR="002658C6">
        <w:t xml:space="preserve">many factors </w:t>
      </w:r>
      <w:r w:rsidR="00EA57BC">
        <w:t>that influence a teacher</w:t>
      </w:r>
      <w:r w:rsidR="00BD620B">
        <w:t>’</w:t>
      </w:r>
      <w:r w:rsidR="002658C6">
        <w:t xml:space="preserve">s decision to </w:t>
      </w:r>
      <w:r w:rsidR="00EA57BC">
        <w:t xml:space="preserve">remain </w:t>
      </w:r>
      <w:r w:rsidR="005F0DF0">
        <w:t>in</w:t>
      </w:r>
      <w:r w:rsidR="00EA57BC">
        <w:t xml:space="preserve"> the profession. These </w:t>
      </w:r>
      <w:r w:rsidR="002658C6">
        <w:t xml:space="preserve">include </w:t>
      </w:r>
      <w:r w:rsidR="00EA57BC">
        <w:t xml:space="preserve">remuneration, workload, </w:t>
      </w:r>
      <w:r w:rsidR="005F0DF0">
        <w:t>support</w:t>
      </w:r>
      <w:r w:rsidR="00EA57BC">
        <w:t>, administration and parents. It is unclear, however, which factors matter most to teachers</w:t>
      </w:r>
      <w:r w:rsidR="000F4BD9">
        <w:t xml:space="preserve"> and, consequently, where best to direct limited resources</w:t>
      </w:r>
      <w:r w:rsidR="00EA57BC">
        <w:t xml:space="preserve">. </w:t>
      </w:r>
      <w:r w:rsidR="005F0DF0">
        <w:t>This study</w:t>
      </w:r>
      <w:r w:rsidR="00EA57BC">
        <w:t xml:space="preserve"> uses Bes</w:t>
      </w:r>
      <w:r w:rsidR="005F0DF0">
        <w:t>t-Worst Scaling (BWS) and comple</w:t>
      </w:r>
      <w:r w:rsidR="00EA57BC">
        <w:t>mentary experimental design methods to quantify the relative importance of these</w:t>
      </w:r>
      <w:r w:rsidR="005F0DF0">
        <w:t xml:space="preserve"> factors</w:t>
      </w:r>
      <w:r w:rsidR="00EA57BC">
        <w:t xml:space="preserve">. The results suggest that </w:t>
      </w:r>
      <w:r w:rsidR="002658C6">
        <w:t xml:space="preserve">improving </w:t>
      </w:r>
      <w:r w:rsidR="00EA57BC">
        <w:t xml:space="preserve">student engagement, </w:t>
      </w:r>
      <w:r w:rsidR="005F0DF0">
        <w:t xml:space="preserve">experiencing </w:t>
      </w:r>
      <w:r w:rsidR="002658C6">
        <w:t>professional challenge</w:t>
      </w:r>
      <w:r w:rsidR="005F0DF0">
        <w:t xml:space="preserve">s </w:t>
      </w:r>
      <w:r w:rsidR="002658C6">
        <w:t xml:space="preserve">and </w:t>
      </w:r>
      <w:r w:rsidR="005F0DF0">
        <w:t>enjoying</w:t>
      </w:r>
      <w:r w:rsidR="00BD620B">
        <w:t xml:space="preserve"> </w:t>
      </w:r>
      <w:r w:rsidR="002658C6">
        <w:t>collegial support are</w:t>
      </w:r>
      <w:r w:rsidR="000F4BD9">
        <w:t xml:space="preserve"> the most</w:t>
      </w:r>
      <w:r w:rsidR="002658C6">
        <w:t xml:space="preserve"> </w:t>
      </w:r>
      <w:r w:rsidR="005F0DF0">
        <w:t xml:space="preserve">important factors influencing teacher decisions </w:t>
      </w:r>
      <w:r w:rsidR="000F4BD9">
        <w:t>to stay in the profession</w:t>
      </w:r>
      <w:r w:rsidR="002658C6">
        <w:t xml:space="preserve">. Beginning teachers nominate remuneration, recognition, </w:t>
      </w:r>
      <w:r w:rsidR="000F4BD9">
        <w:t>and external</w:t>
      </w:r>
      <w:r w:rsidR="002658C6">
        <w:t xml:space="preserve"> </w:t>
      </w:r>
      <w:r w:rsidR="000F4BD9">
        <w:t>factors</w:t>
      </w:r>
      <w:r w:rsidR="00BD620B">
        <w:t xml:space="preserve"> (e.g., </w:t>
      </w:r>
      <w:r w:rsidR="002658C6">
        <w:t>class size</w:t>
      </w:r>
      <w:r w:rsidR="00BD620B">
        <w:t>; location)</w:t>
      </w:r>
      <w:r w:rsidR="002658C6">
        <w:t xml:space="preserve"> </w:t>
      </w:r>
      <w:r w:rsidR="00BD620B">
        <w:t xml:space="preserve">as </w:t>
      </w:r>
      <w:r w:rsidR="002658C6">
        <w:t>play</w:t>
      </w:r>
      <w:r w:rsidR="00BD620B">
        <w:t xml:space="preserve">ing </w:t>
      </w:r>
      <w:r w:rsidR="002658C6">
        <w:t xml:space="preserve">a </w:t>
      </w:r>
      <w:r w:rsidR="00BD620B">
        <w:t xml:space="preserve">lesser </w:t>
      </w:r>
      <w:r w:rsidR="002658C6">
        <w:t xml:space="preserve">role in their decision to remain </w:t>
      </w:r>
      <w:r>
        <w:t>teachers</w:t>
      </w:r>
      <w:r w:rsidR="002658C6">
        <w:t>.</w:t>
      </w:r>
    </w:p>
    <w:p w:rsidR="00CE6331" w:rsidRDefault="00CE6331"/>
    <w:p w:rsidR="00D11E1B" w:rsidRDefault="00D11E1B">
      <w:pPr>
        <w:rPr>
          <w:b/>
        </w:rPr>
      </w:pPr>
      <w:r>
        <w:rPr>
          <w:b/>
        </w:rPr>
        <w:t>Highlights</w:t>
      </w:r>
    </w:p>
    <w:p w:rsidR="00D11E1B" w:rsidRPr="00D11E1B" w:rsidRDefault="00D11E1B" w:rsidP="00D11E1B">
      <w:pPr>
        <w:pStyle w:val="ListParagraph"/>
        <w:numPr>
          <w:ilvl w:val="0"/>
          <w:numId w:val="7"/>
        </w:numPr>
      </w:pPr>
      <w:r w:rsidRPr="00D11E1B">
        <w:t>Attrition rates of beginning teachers are alarmingly high</w:t>
      </w:r>
      <w:r w:rsidR="00B5206C">
        <w:t>,</w:t>
      </w:r>
      <w:r w:rsidRPr="00D11E1B">
        <w:t xml:space="preserve"> driven by many factors</w:t>
      </w:r>
    </w:p>
    <w:p w:rsidR="00D11E1B" w:rsidRDefault="00D11E1B" w:rsidP="00D11E1B">
      <w:pPr>
        <w:pStyle w:val="ListParagraph"/>
        <w:numPr>
          <w:ilvl w:val="0"/>
          <w:numId w:val="7"/>
        </w:numPr>
      </w:pPr>
      <w:r w:rsidRPr="00D11E1B">
        <w:t>Best-worst scaling is a method to quantify and rank factors on importance</w:t>
      </w:r>
    </w:p>
    <w:p w:rsidR="000F4BD9" w:rsidRPr="00D11E1B" w:rsidRDefault="000F4BD9" w:rsidP="00D11E1B">
      <w:pPr>
        <w:pStyle w:val="ListParagraph"/>
        <w:numPr>
          <w:ilvl w:val="0"/>
          <w:numId w:val="7"/>
        </w:numPr>
      </w:pPr>
      <w:r>
        <w:t>Best-worst scaling is used for the first time in an education context in this study</w:t>
      </w:r>
    </w:p>
    <w:p w:rsidR="00D11E1B" w:rsidRPr="00D11E1B" w:rsidRDefault="00B5206C" w:rsidP="00D11E1B">
      <w:pPr>
        <w:pStyle w:val="ListParagraph"/>
        <w:numPr>
          <w:ilvl w:val="0"/>
          <w:numId w:val="7"/>
        </w:numPr>
      </w:pPr>
      <w:r>
        <w:t>S</w:t>
      </w:r>
      <w:r w:rsidR="00D11E1B" w:rsidRPr="00D11E1B">
        <w:t>tudent engagement, professional challenge and support</w:t>
      </w:r>
      <w:r>
        <w:t xml:space="preserve"> identified as most important</w:t>
      </w:r>
    </w:p>
    <w:p w:rsidR="00D11E1B" w:rsidRDefault="00D11E1B" w:rsidP="00D11E1B">
      <w:pPr>
        <w:rPr>
          <w:b/>
        </w:rPr>
      </w:pPr>
    </w:p>
    <w:p w:rsidR="00D11E1B" w:rsidRDefault="00D11E1B" w:rsidP="00D11E1B">
      <w:pPr>
        <w:rPr>
          <w:b/>
        </w:rPr>
      </w:pPr>
      <w:r>
        <w:rPr>
          <w:b/>
        </w:rPr>
        <w:t>Keywords</w:t>
      </w:r>
    </w:p>
    <w:p w:rsidR="00581EC8" w:rsidRDefault="00D11E1B" w:rsidP="00D11E1B">
      <w:r w:rsidRPr="00581EC8">
        <w:t>Retention</w:t>
      </w:r>
    </w:p>
    <w:p w:rsidR="00D11E1B" w:rsidRPr="00581EC8" w:rsidRDefault="00D11E1B" w:rsidP="00D11E1B">
      <w:r w:rsidRPr="00581EC8">
        <w:t>Attrition</w:t>
      </w:r>
    </w:p>
    <w:p w:rsidR="00D11E1B" w:rsidRPr="00581EC8" w:rsidRDefault="00D11E1B" w:rsidP="00D11E1B">
      <w:r w:rsidRPr="00581EC8">
        <w:t>Best-worst scaling</w:t>
      </w:r>
    </w:p>
    <w:p w:rsidR="00D11E1B" w:rsidRPr="00581EC8" w:rsidRDefault="00D11E1B" w:rsidP="00D11E1B">
      <w:r w:rsidRPr="00581EC8">
        <w:t>Beginning teachers</w:t>
      </w:r>
    </w:p>
    <w:p w:rsidR="00D11E1B" w:rsidRPr="00581EC8" w:rsidRDefault="00D11E1B" w:rsidP="00D11E1B">
      <w:r w:rsidRPr="00581EC8">
        <w:t>Teacher support</w:t>
      </w:r>
    </w:p>
    <w:p w:rsidR="00EA57BC" w:rsidRPr="00D11E1B" w:rsidRDefault="00EA57BC" w:rsidP="00D11E1B">
      <w:pPr>
        <w:rPr>
          <w:b/>
        </w:rPr>
      </w:pPr>
      <w:r w:rsidRPr="00D11E1B">
        <w:rPr>
          <w:b/>
        </w:rPr>
        <w:br w:type="page"/>
      </w:r>
    </w:p>
    <w:p w:rsidR="00CE6331" w:rsidRPr="00CE6331" w:rsidRDefault="00CE6331" w:rsidP="00CE6331">
      <w:pPr>
        <w:rPr>
          <w:b/>
        </w:rPr>
      </w:pPr>
      <w:r w:rsidRPr="00CE6331">
        <w:rPr>
          <w:b/>
        </w:rPr>
        <w:lastRenderedPageBreak/>
        <w:t>Why Do Early Career Teachers Choose to Remain in the Profession? The Use of Best-Worst Scaling to Quantify Key Factors</w:t>
      </w:r>
    </w:p>
    <w:p w:rsidR="00E46833" w:rsidRPr="007D739E" w:rsidRDefault="00760DD9" w:rsidP="007D739E">
      <w:pPr>
        <w:pStyle w:val="ListParagraph"/>
        <w:numPr>
          <w:ilvl w:val="0"/>
          <w:numId w:val="3"/>
        </w:numPr>
        <w:rPr>
          <w:b/>
        </w:rPr>
      </w:pPr>
      <w:r w:rsidRPr="007D739E">
        <w:rPr>
          <w:b/>
        </w:rPr>
        <w:t>Introduction</w:t>
      </w:r>
    </w:p>
    <w:p w:rsidR="00601145" w:rsidRDefault="00BD371A">
      <w:r>
        <w:t xml:space="preserve">Recruitment and retention of beginning teachers </w:t>
      </w:r>
      <w:r w:rsidR="00791AE7">
        <w:t xml:space="preserve">are </w:t>
      </w:r>
      <w:r>
        <w:t>important and</w:t>
      </w:r>
      <w:r w:rsidR="004B121D">
        <w:t xml:space="preserve"> challenging </w:t>
      </w:r>
      <w:r>
        <w:t>issue</w:t>
      </w:r>
      <w:r w:rsidR="00791AE7">
        <w:t>s</w:t>
      </w:r>
      <w:r>
        <w:t xml:space="preserve"> for </w:t>
      </w:r>
      <w:r w:rsidR="00791AE7">
        <w:t xml:space="preserve">the management of </w:t>
      </w:r>
      <w:r w:rsidR="004B121D">
        <w:t xml:space="preserve">the education sector </w:t>
      </w:r>
      <w:r w:rsidR="00791AE7">
        <w:t>in</w:t>
      </w:r>
      <w:r w:rsidR="005A6D1D">
        <w:t xml:space="preserve"> </w:t>
      </w:r>
      <w:r w:rsidR="004B121D">
        <w:t>many countries.</w:t>
      </w:r>
      <w:r w:rsidR="000D582E">
        <w:t xml:space="preserve"> </w:t>
      </w:r>
      <w:r w:rsidR="00813EDE">
        <w:t xml:space="preserve">It is an accepted wisdom </w:t>
      </w:r>
      <w:r w:rsidR="00771CAD" w:rsidRPr="00771CAD">
        <w:t xml:space="preserve">that it is insufficient to focus on recruitment of new teachers; </w:t>
      </w:r>
      <w:r w:rsidR="00F75F7D">
        <w:t>attention must be paid to</w:t>
      </w:r>
      <w:r w:rsidR="00771CAD" w:rsidRPr="00771CAD">
        <w:t xml:space="preserve"> retention and attrition </w:t>
      </w:r>
      <w:r w:rsidR="00F75F7D">
        <w:t>as well</w:t>
      </w:r>
      <w:r w:rsidR="00601145">
        <w:t xml:space="preserve"> </w:t>
      </w:r>
      <w:r w:rsidR="00601145" w:rsidRPr="00771CAD">
        <w:t>(Schuck et al., 2012)</w:t>
      </w:r>
      <w:r w:rsidR="00771CAD" w:rsidRPr="00771CAD">
        <w:t>.</w:t>
      </w:r>
      <w:r w:rsidR="001D1E21">
        <w:t xml:space="preserve"> Retention figures in a number of countries cause concern. </w:t>
      </w:r>
      <w:proofErr w:type="spellStart"/>
      <w:r w:rsidR="001D1E21">
        <w:t>Abdallah</w:t>
      </w:r>
      <w:proofErr w:type="spellEnd"/>
      <w:r w:rsidR="001D1E21">
        <w:t xml:space="preserve"> (20</w:t>
      </w:r>
      <w:r w:rsidR="00C503F7">
        <w:t>09</w:t>
      </w:r>
      <w:r w:rsidR="001D1E21">
        <w:t>) notes that 50% of teachers in the United States are likely to leave the profession within five years.</w:t>
      </w:r>
      <w:r w:rsidR="0077645B">
        <w:t xml:space="preserve"> </w:t>
      </w:r>
      <w:r w:rsidR="001D1E21">
        <w:t>Beginning teachers</w:t>
      </w:r>
      <w:r w:rsidR="000D582E">
        <w:t xml:space="preserve"> appear to be overrepresented in </w:t>
      </w:r>
      <w:r w:rsidR="003F79DC">
        <w:t xml:space="preserve">general </w:t>
      </w:r>
      <w:r w:rsidR="000D582E">
        <w:t>figures relating to attrition, with Ingersoll</w:t>
      </w:r>
      <w:r w:rsidR="00AA6837">
        <w:t xml:space="preserve"> and Smith</w:t>
      </w:r>
      <w:r w:rsidR="00AB6448">
        <w:t xml:space="preserve"> </w:t>
      </w:r>
      <w:r w:rsidR="000D582E">
        <w:t xml:space="preserve">(2003) reporting an attrition rate of 16% among the </w:t>
      </w:r>
      <w:r w:rsidR="00D45A1B">
        <w:t xml:space="preserve">entire </w:t>
      </w:r>
      <w:r w:rsidR="000D582E">
        <w:t>US sector based on National Centre of Education Statistics collected between 2000 and 2001.</w:t>
      </w:r>
      <w:r w:rsidR="0003735E">
        <w:t xml:space="preserve"> </w:t>
      </w:r>
      <w:r w:rsidR="006F4F53">
        <w:t>In the United Kingdom, figures suggest attrition rates higher than 50% (House of Commons Edu</w:t>
      </w:r>
      <w:r w:rsidR="0010448E">
        <w:t>cation and Skills Committee 2004</w:t>
      </w:r>
      <w:r w:rsidR="005F5CFB">
        <w:t>, Fenwick &amp; Weir, 2010</w:t>
      </w:r>
      <w:r w:rsidR="006F4F53">
        <w:t>).</w:t>
      </w:r>
      <w:r w:rsidR="005F5CFB">
        <w:t xml:space="preserve"> Fenwick and Weir (2010) note how complex it is to track teacher movements, and suggest that international comparisons are difficult to make in the light of variations in interpretations of teacher workforce data. </w:t>
      </w:r>
      <w:r w:rsidR="006F4F53">
        <w:t xml:space="preserve"> </w:t>
      </w:r>
      <w:r w:rsidR="000D582E">
        <w:t xml:space="preserve">In Australia, </w:t>
      </w:r>
      <w:r w:rsidR="00F63502">
        <w:t xml:space="preserve">current </w:t>
      </w:r>
      <w:r w:rsidR="00E106D4">
        <w:t>information on attrition rates is ambiguous</w:t>
      </w:r>
      <w:r w:rsidR="004C0CE0">
        <w:t xml:space="preserve"> and not well documented</w:t>
      </w:r>
      <w:r w:rsidR="00E106D4">
        <w:t>. A</w:t>
      </w:r>
      <w:r w:rsidR="001D1E21">
        <w:t xml:space="preserve"> </w:t>
      </w:r>
      <w:r w:rsidR="00B21BEF">
        <w:t>government report (DEST, 2003, 87)</w:t>
      </w:r>
      <w:r w:rsidR="00FE6E30">
        <w:t xml:space="preserve"> </w:t>
      </w:r>
      <w:r w:rsidR="00B21BEF">
        <w:t>noted</w:t>
      </w:r>
      <w:r w:rsidR="003F79DC">
        <w:t xml:space="preserve"> </w:t>
      </w:r>
      <w:r w:rsidR="00B21BEF">
        <w:t xml:space="preserve">that </w:t>
      </w:r>
      <w:r w:rsidR="003F79DC">
        <w:t>attrition rates</w:t>
      </w:r>
      <w:r w:rsidR="00B21BEF">
        <w:t xml:space="preserve"> of 25% among early career teachers</w:t>
      </w:r>
      <w:r w:rsidR="003F79DC">
        <w:t xml:space="preserve"> </w:t>
      </w:r>
      <w:r w:rsidR="00B21BEF">
        <w:t>were cause for concern.</w:t>
      </w:r>
      <w:r w:rsidR="0077645B">
        <w:t xml:space="preserve"> </w:t>
      </w:r>
    </w:p>
    <w:p w:rsidR="000B72E5" w:rsidRDefault="00E14CB8">
      <w:r>
        <w:t>S</w:t>
      </w:r>
      <w:r w:rsidR="005A32B7">
        <w:t xml:space="preserve">tudies </w:t>
      </w:r>
      <w:r w:rsidR="005A32B7" w:rsidRPr="005A6D1D">
        <w:t>examining the stated intention</w:t>
      </w:r>
      <w:r w:rsidR="0003735E" w:rsidRPr="005A6D1D">
        <w:t>s</w:t>
      </w:r>
      <w:r w:rsidR="005A32B7" w:rsidRPr="005A6D1D">
        <w:t xml:space="preserve"> of </w:t>
      </w:r>
      <w:r w:rsidR="003F79DC" w:rsidRPr="005A6D1D">
        <w:t>beginning</w:t>
      </w:r>
      <w:r w:rsidR="005A32B7" w:rsidRPr="005A6D1D">
        <w:t xml:space="preserve"> teachers to leave the profession in the future </w:t>
      </w:r>
      <w:r w:rsidR="00AB5541" w:rsidRPr="005A6D1D">
        <w:t>suggest dissatisfaction</w:t>
      </w:r>
      <w:r w:rsidR="00AB5541">
        <w:t xml:space="preserve"> in the profession and the potential for higher attrition in future</w:t>
      </w:r>
      <w:r w:rsidR="00E106D4">
        <w:t xml:space="preserve"> and indicate that</w:t>
      </w:r>
      <w:r>
        <w:t xml:space="preserve"> high </w:t>
      </w:r>
      <w:r w:rsidR="006B420F">
        <w:t>attrition rates</w:t>
      </w:r>
      <w:r w:rsidR="00E106D4">
        <w:t xml:space="preserve"> are likely to continue</w:t>
      </w:r>
      <w:r w:rsidR="006B420F">
        <w:t xml:space="preserve">. </w:t>
      </w:r>
      <w:r w:rsidR="005A32B7">
        <w:t>For example, a survey of 1351 beginning teacher</w:t>
      </w:r>
      <w:r w:rsidR="00DF0B27">
        <w:t>s</w:t>
      </w:r>
      <w:r w:rsidR="005A32B7">
        <w:t xml:space="preserve"> </w:t>
      </w:r>
      <w:r w:rsidR="00DF0B27">
        <w:t xml:space="preserve">reported that </w:t>
      </w:r>
      <w:r w:rsidR="005A32B7">
        <w:t xml:space="preserve">24% </w:t>
      </w:r>
      <w:r w:rsidR="00DF0B27">
        <w:t xml:space="preserve">stated an intention to </w:t>
      </w:r>
      <w:r w:rsidR="005A32B7">
        <w:t>leave the profession within five years (Australian Primary Principal</w:t>
      </w:r>
      <w:r w:rsidR="00354068">
        <w:t>s’</w:t>
      </w:r>
      <w:r w:rsidR="005A32B7">
        <w:t xml:space="preserve"> Association, 2007). </w:t>
      </w:r>
      <w:r w:rsidR="006B420F">
        <w:t xml:space="preserve">In another </w:t>
      </w:r>
      <w:r w:rsidR="005A32B7">
        <w:t>study</w:t>
      </w:r>
      <w:r w:rsidR="006B420F">
        <w:t xml:space="preserve">, </w:t>
      </w:r>
      <w:r w:rsidR="005A32B7">
        <w:t xml:space="preserve">1200 </w:t>
      </w:r>
      <w:r w:rsidR="003F79DC">
        <w:t>beginning teachers</w:t>
      </w:r>
      <w:r w:rsidR="005A32B7">
        <w:t xml:space="preserve"> </w:t>
      </w:r>
      <w:r w:rsidR="006B420F">
        <w:t xml:space="preserve">were </w:t>
      </w:r>
      <w:r w:rsidR="00354068">
        <w:t xml:space="preserve">asked about intentions to leave within </w:t>
      </w:r>
      <w:r w:rsidR="006B420F">
        <w:t>10 years;</w:t>
      </w:r>
      <w:r w:rsidR="005A32B7">
        <w:t xml:space="preserve"> </w:t>
      </w:r>
      <w:r w:rsidR="006B420F">
        <w:t xml:space="preserve">this figure almost doubled to 45% (Australian Education Union 2006). </w:t>
      </w:r>
    </w:p>
    <w:p w:rsidR="00F51841" w:rsidRDefault="003F79DC" w:rsidP="00073B55">
      <w:r>
        <w:t>In contrast, Canada does not suffer from high attrition rates of beginning teachers. This situation is claimed to be a result of attention</w:t>
      </w:r>
      <w:r w:rsidR="00F51841">
        <w:t xml:space="preserve"> to</w:t>
      </w:r>
      <w:r>
        <w:t xml:space="preserve"> and resourcing of induction into the profession (</w:t>
      </w:r>
      <w:proofErr w:type="spellStart"/>
      <w:r>
        <w:t>Gambhir</w:t>
      </w:r>
      <w:proofErr w:type="spellEnd"/>
      <w:r>
        <w:t xml:space="preserve"> et al., 2008). </w:t>
      </w:r>
      <w:r w:rsidR="002A6508">
        <w:t>This suggests</w:t>
      </w:r>
      <w:r>
        <w:t xml:space="preserve"> that if factors that encourage retention</w:t>
      </w:r>
      <w:r w:rsidR="00683A97">
        <w:t xml:space="preserve"> are </w:t>
      </w:r>
      <w:r w:rsidR="008E16C5">
        <w:t>used to direct resources</w:t>
      </w:r>
      <w:r w:rsidR="005A6D1D">
        <w:t>,</w:t>
      </w:r>
      <w:r w:rsidR="008E16C5">
        <w:t xml:space="preserve"> </w:t>
      </w:r>
      <w:r w:rsidR="00683A97">
        <w:t xml:space="preserve">attrition rates </w:t>
      </w:r>
      <w:r w:rsidR="001447BF">
        <w:t>will</w:t>
      </w:r>
      <w:r w:rsidR="00683A97">
        <w:t xml:space="preserve"> </w:t>
      </w:r>
      <w:r w:rsidR="001447BF">
        <w:t>decline</w:t>
      </w:r>
      <w:r w:rsidR="00683A97">
        <w:t xml:space="preserve">. </w:t>
      </w:r>
      <w:r w:rsidR="00F51841">
        <w:t xml:space="preserve">However, while the factors that encourage retention are generally known and articulated in the literature on teacher retention, the relative importance of these factors has not been studied, and knowledge of these factors does not appear to have stemmed the tide of departures from teaching in many countries. The figures noted above provide ample evidence of </w:t>
      </w:r>
      <w:r w:rsidR="005E636F">
        <w:t>the need to</w:t>
      </w:r>
      <w:r w:rsidR="00DB5621">
        <w:t xml:space="preserve"> further</w:t>
      </w:r>
      <w:r w:rsidR="005E636F">
        <w:t xml:space="preserve"> investigate teacher retention and </w:t>
      </w:r>
      <w:r w:rsidR="00DB5621">
        <w:t xml:space="preserve">the relative importance of </w:t>
      </w:r>
      <w:r w:rsidR="005E636F">
        <w:t>the conditions and action</w:t>
      </w:r>
      <w:r w:rsidR="00DB5621">
        <w:t>s</w:t>
      </w:r>
      <w:r w:rsidR="005E636F">
        <w:t xml:space="preserve"> that may improve it.</w:t>
      </w:r>
    </w:p>
    <w:p w:rsidR="005F2D57" w:rsidRDefault="005F2D57" w:rsidP="00073B55">
      <w:pPr>
        <w:rPr>
          <w:i/>
        </w:rPr>
      </w:pPr>
      <w:r>
        <w:t xml:space="preserve">This paper discusses a project which was developed in response to the need to further investigate teacher retention and attrition. </w:t>
      </w:r>
      <w:r w:rsidR="002B3994">
        <w:t>The project was undertaken in New South Wales in Australia</w:t>
      </w:r>
      <w:r w:rsidR="00EF3780">
        <w:t xml:space="preserve"> 2006-2010</w:t>
      </w:r>
      <w:r w:rsidR="002B3994">
        <w:t xml:space="preserve">. </w:t>
      </w:r>
      <w:r>
        <w:t xml:space="preserve">The </w:t>
      </w:r>
      <w:r w:rsidR="004C3E79">
        <w:t>project’s overarching</w:t>
      </w:r>
      <w:r>
        <w:t xml:space="preserve"> research question was </w:t>
      </w:r>
      <w:r w:rsidR="004C3E79">
        <w:t>‘</w:t>
      </w:r>
      <w:r w:rsidR="002B3994">
        <w:rPr>
          <w:i/>
        </w:rPr>
        <w:t>Why do some beginning teachers choose to leave the profession and why do others choose to remain?</w:t>
      </w:r>
      <w:r w:rsidR="004C3E79">
        <w:rPr>
          <w:i/>
        </w:rPr>
        <w:t>’</w:t>
      </w:r>
    </w:p>
    <w:p w:rsidR="002B3994" w:rsidRPr="004C3E79" w:rsidRDefault="00F7025F" w:rsidP="00073B55">
      <w:r w:rsidRPr="00F7025F">
        <w:t>The subsidiary research questions were:</w:t>
      </w:r>
    </w:p>
    <w:p w:rsidR="003B55BA" w:rsidRDefault="002B3994">
      <w:pPr>
        <w:pStyle w:val="ListParagraph"/>
        <w:numPr>
          <w:ilvl w:val="0"/>
          <w:numId w:val="8"/>
        </w:numPr>
        <w:rPr>
          <w:i/>
        </w:rPr>
      </w:pPr>
      <w:r>
        <w:rPr>
          <w:i/>
        </w:rPr>
        <w:t>What are the relevant experiences of beginning teachers in their first four years of teaching?</w:t>
      </w:r>
    </w:p>
    <w:p w:rsidR="003B55BA" w:rsidRDefault="002B3994">
      <w:pPr>
        <w:pStyle w:val="ListParagraph"/>
        <w:numPr>
          <w:ilvl w:val="0"/>
          <w:numId w:val="8"/>
        </w:numPr>
        <w:rPr>
          <w:i/>
        </w:rPr>
      </w:pPr>
      <w:r>
        <w:rPr>
          <w:i/>
        </w:rPr>
        <w:t>What influences beginning teachers to remain in the profession?</w:t>
      </w:r>
    </w:p>
    <w:p w:rsidR="003B55BA" w:rsidRDefault="002B3994">
      <w:pPr>
        <w:pStyle w:val="ListParagraph"/>
        <w:numPr>
          <w:ilvl w:val="0"/>
          <w:numId w:val="8"/>
        </w:numPr>
        <w:rPr>
          <w:i/>
        </w:rPr>
      </w:pPr>
      <w:r>
        <w:rPr>
          <w:i/>
        </w:rPr>
        <w:lastRenderedPageBreak/>
        <w:t>What influences beginning teachers to leave the profession?</w:t>
      </w:r>
    </w:p>
    <w:p w:rsidR="003B55BA" w:rsidRDefault="002B3994">
      <w:pPr>
        <w:pStyle w:val="ListParagraph"/>
        <w:numPr>
          <w:ilvl w:val="0"/>
          <w:numId w:val="8"/>
        </w:numPr>
        <w:rPr>
          <w:i/>
        </w:rPr>
      </w:pPr>
      <w:r>
        <w:rPr>
          <w:i/>
        </w:rPr>
        <w:t>What strategies might assist in the retention of effective beginning teachers?</w:t>
      </w:r>
    </w:p>
    <w:p w:rsidR="002B3994" w:rsidRPr="004C3E79" w:rsidRDefault="00F7025F" w:rsidP="002B3994">
      <w:r w:rsidRPr="00F7025F">
        <w:t xml:space="preserve">Accordingly, the focus of the research was on identifying </w:t>
      </w:r>
      <w:r w:rsidR="00FC541F">
        <w:t>the factors that led to teacher</w:t>
      </w:r>
      <w:r w:rsidRPr="00F7025F">
        <w:t>s’ decisions about staying in or leaving the profession.</w:t>
      </w:r>
    </w:p>
    <w:p w:rsidR="003B55BA" w:rsidRDefault="00F7025F">
      <w:pPr>
        <w:pStyle w:val="ListParagraph"/>
        <w:numPr>
          <w:ilvl w:val="0"/>
          <w:numId w:val="3"/>
        </w:numPr>
        <w:rPr>
          <w:b/>
        </w:rPr>
      </w:pPr>
      <w:r w:rsidRPr="00F7025F">
        <w:rPr>
          <w:b/>
        </w:rPr>
        <w:t>Literature Review</w:t>
      </w:r>
    </w:p>
    <w:p w:rsidR="00D42E62" w:rsidRDefault="002B3994" w:rsidP="002B3994">
      <w:r>
        <w:t xml:space="preserve">There is a substantial literature </w:t>
      </w:r>
      <w:r w:rsidR="004C3E79">
        <w:t xml:space="preserve">that </w:t>
      </w:r>
      <w:r w:rsidR="00210420">
        <w:t>discusses</w:t>
      </w:r>
      <w:r>
        <w:t xml:space="preserve"> the factors that underpin teachers’ satisfaction</w:t>
      </w:r>
      <w:r w:rsidR="00210420">
        <w:t xml:space="preserve"> or dissatisfaction</w:t>
      </w:r>
      <w:r>
        <w:t xml:space="preserve"> with teaching</w:t>
      </w:r>
      <w:r w:rsidR="00210420">
        <w:t>. For example, t</w:t>
      </w:r>
      <w:r w:rsidR="00A00839">
        <w:t xml:space="preserve">he </w:t>
      </w:r>
      <w:r w:rsidR="00683A97">
        <w:t>lit</w:t>
      </w:r>
      <w:r w:rsidR="000141E5">
        <w:t>erature</w:t>
      </w:r>
      <w:r w:rsidR="00A00839">
        <w:t xml:space="preserve"> on teacher retention and attrition </w:t>
      </w:r>
      <w:r w:rsidR="000141E5">
        <w:t>articulat</w:t>
      </w:r>
      <w:r w:rsidR="00A00839">
        <w:t>es</w:t>
      </w:r>
      <w:r w:rsidR="000141E5">
        <w:t xml:space="preserve"> the range </w:t>
      </w:r>
      <w:r w:rsidR="000141E5" w:rsidRPr="005A6D1D">
        <w:t xml:space="preserve">of </w:t>
      </w:r>
      <w:r w:rsidR="00B63951" w:rsidRPr="005A6D1D">
        <w:t xml:space="preserve">factors that can be better managed to support </w:t>
      </w:r>
      <w:r w:rsidR="00683A97" w:rsidRPr="005A6D1D">
        <w:t>beginning teachers</w:t>
      </w:r>
      <w:r w:rsidR="00B63951" w:rsidRPr="005A6D1D">
        <w:t xml:space="preserve"> in their decision to remain in the</w:t>
      </w:r>
      <w:r w:rsidR="00B63951">
        <w:t xml:space="preserve"> profession. These factors are in addition to those that explain </w:t>
      </w:r>
      <w:r w:rsidR="00E14CB8">
        <w:t xml:space="preserve">departures by </w:t>
      </w:r>
      <w:r w:rsidR="000141E5">
        <w:t xml:space="preserve">beginning teachers </w:t>
      </w:r>
      <w:r w:rsidR="00093269">
        <w:t xml:space="preserve">as a result </w:t>
      </w:r>
      <w:r w:rsidR="00E14CB8">
        <w:t xml:space="preserve">of various </w:t>
      </w:r>
      <w:r w:rsidR="001C71CB">
        <w:t xml:space="preserve">personal </w:t>
      </w:r>
      <w:r w:rsidR="00E14CB8">
        <w:t>circumstances beyond the control of school administrators (e.g., child-rearing; sickness; opportunities of partner)</w:t>
      </w:r>
      <w:r w:rsidR="00A250F9">
        <w:t>.</w:t>
      </w:r>
      <w:r w:rsidR="00E14CB8">
        <w:t xml:space="preserve"> </w:t>
      </w:r>
      <w:r w:rsidR="002305C7">
        <w:t xml:space="preserve">For example, several studies highlight the value of formal support such as mentoring programs (e.g., </w:t>
      </w:r>
      <w:proofErr w:type="spellStart"/>
      <w:r w:rsidR="002305C7">
        <w:t>Marable</w:t>
      </w:r>
      <w:proofErr w:type="spellEnd"/>
      <w:r w:rsidR="002305C7">
        <w:t xml:space="preserve"> </w:t>
      </w:r>
      <w:r w:rsidR="00F1036A">
        <w:t xml:space="preserve">&amp; </w:t>
      </w:r>
      <w:r w:rsidR="002305C7">
        <w:t>Raimondi</w:t>
      </w:r>
      <w:r w:rsidR="00894539">
        <w:t>,</w:t>
      </w:r>
      <w:r w:rsidR="002305C7">
        <w:t xml:space="preserve"> 2007; Manuel</w:t>
      </w:r>
      <w:r w:rsidR="00DB5621">
        <w:t>,</w:t>
      </w:r>
      <w:r w:rsidR="002305C7">
        <w:t xml:space="preserve"> 2003) and induction programs (Patterson </w:t>
      </w:r>
      <w:r w:rsidR="00F1036A">
        <w:t xml:space="preserve">&amp; </w:t>
      </w:r>
      <w:proofErr w:type="spellStart"/>
      <w:r w:rsidR="002305C7">
        <w:t>Luft</w:t>
      </w:r>
      <w:proofErr w:type="spellEnd"/>
      <w:r w:rsidR="00894539">
        <w:t>,</w:t>
      </w:r>
      <w:r w:rsidR="002305C7">
        <w:t xml:space="preserve"> 200</w:t>
      </w:r>
      <w:r w:rsidR="00FC541F">
        <w:t>2</w:t>
      </w:r>
      <w:r w:rsidR="002305C7">
        <w:t xml:space="preserve">). </w:t>
      </w:r>
      <w:r w:rsidR="000141E5">
        <w:t>Other</w:t>
      </w:r>
      <w:r w:rsidR="00D42E62">
        <w:t xml:space="preserve">s note that stress, frustration, </w:t>
      </w:r>
      <w:r w:rsidR="000141E5">
        <w:t xml:space="preserve">fatigue </w:t>
      </w:r>
      <w:r w:rsidR="00D42E62">
        <w:t xml:space="preserve">and high workloads </w:t>
      </w:r>
      <w:r w:rsidR="000141E5">
        <w:t xml:space="preserve">are factors that contribute to high attrition rates (Stevens et al., 2007). </w:t>
      </w:r>
      <w:r w:rsidR="00D42E62">
        <w:t xml:space="preserve">Liu and </w:t>
      </w:r>
      <w:proofErr w:type="spellStart"/>
      <w:r w:rsidR="00D42E62">
        <w:t>Onwuegbuzie</w:t>
      </w:r>
      <w:proofErr w:type="spellEnd"/>
      <w:r w:rsidR="00D42E62">
        <w:t xml:space="preserve"> (2012)</w:t>
      </w:r>
      <w:r w:rsidR="00730CFB">
        <w:t xml:space="preserve"> found that 38.2% of the </w:t>
      </w:r>
      <w:r w:rsidR="00D42E62">
        <w:t xml:space="preserve">Chinese teachers </w:t>
      </w:r>
      <w:r w:rsidR="00730CFB">
        <w:t xml:space="preserve">surveyed were stressed and that 40.4% would consider leaving the profession if the opportunity arose. Whilst their study of 510 teachers was not isolated to beginning teachers, the study points to issues with </w:t>
      </w:r>
      <w:r w:rsidR="00730CFB" w:rsidRPr="00730CFB">
        <w:t>salar</w:t>
      </w:r>
      <w:r w:rsidR="00730CFB">
        <w:t>ies</w:t>
      </w:r>
      <w:r w:rsidR="00730CFB" w:rsidRPr="00730CFB">
        <w:t xml:space="preserve">, breaks and holidays, workload, and student </w:t>
      </w:r>
      <w:r w:rsidR="00730CFB">
        <w:t>behaviour as being reasons for high levels of turnover experienced in this country.</w:t>
      </w:r>
    </w:p>
    <w:p w:rsidR="001C71CB" w:rsidRDefault="00FB3FAC" w:rsidP="00073B55">
      <w:r>
        <w:t xml:space="preserve">A UK study of reasons for teacher attrition indicated </w:t>
      </w:r>
      <w:r w:rsidR="00AA6837">
        <w:t xml:space="preserve">several </w:t>
      </w:r>
      <w:r>
        <w:t>causes for unhappiness with teaching (Hancock</w:t>
      </w:r>
      <w:r w:rsidR="00AA6837">
        <w:t xml:space="preserve"> &amp; </w:t>
      </w:r>
      <w:proofErr w:type="spellStart"/>
      <w:r w:rsidR="00AA6837">
        <w:t>Scherff</w:t>
      </w:r>
      <w:proofErr w:type="spellEnd"/>
      <w:r w:rsidR="00AA6837">
        <w:t>, 2010).</w:t>
      </w:r>
      <w:r w:rsidR="000141E5">
        <w:t>The</w:t>
      </w:r>
      <w:r w:rsidR="00AA6837">
        <w:t xml:space="preserve"> UK</w:t>
      </w:r>
      <w:r w:rsidR="000141E5">
        <w:t xml:space="preserve"> findings </w:t>
      </w:r>
      <w:r w:rsidR="00AA6837">
        <w:t xml:space="preserve">agreed with </w:t>
      </w:r>
      <w:r w:rsidR="00EA3BAD">
        <w:t>those</w:t>
      </w:r>
      <w:r w:rsidR="00AA6837">
        <w:t xml:space="preserve"> from </w:t>
      </w:r>
      <w:r w:rsidR="000141E5">
        <w:t>the survey by the Australian Education Union (2006)</w:t>
      </w:r>
      <w:r w:rsidR="00AA6837">
        <w:t>, which</w:t>
      </w:r>
      <w:r w:rsidR="000141E5">
        <w:t xml:space="preserve"> indicated concerns about</w:t>
      </w:r>
      <w:r w:rsidR="00F51841">
        <w:t xml:space="preserve"> workload, behaviour management</w:t>
      </w:r>
      <w:r w:rsidR="000141E5">
        <w:t xml:space="preserve">, pay and class sizes. </w:t>
      </w:r>
      <w:r w:rsidR="00210420">
        <w:t xml:space="preserve">These studies and others have identified factors that seem to be common across teaching contexts that are quite diverse, such as those in Australia, United States, Portugal and United Kingdom (for example, Australian Education Union, 2006; Darling-Hammond, 2003; Flores, 2006; Hancock &amp; </w:t>
      </w:r>
      <w:proofErr w:type="spellStart"/>
      <w:r w:rsidR="00210420">
        <w:t>Scherff</w:t>
      </w:r>
      <w:proofErr w:type="spellEnd"/>
      <w:r w:rsidR="00210420">
        <w:t xml:space="preserve">, 2010). </w:t>
      </w:r>
      <w:r w:rsidR="000141E5">
        <w:t xml:space="preserve">Teacher pay </w:t>
      </w:r>
      <w:r w:rsidR="001C71CB">
        <w:t xml:space="preserve">is often cited as </w:t>
      </w:r>
      <w:r w:rsidR="00621103">
        <w:t xml:space="preserve">a </w:t>
      </w:r>
      <w:r w:rsidR="001C71CB">
        <w:t xml:space="preserve">potential </w:t>
      </w:r>
      <w:r w:rsidR="00621103">
        <w:t xml:space="preserve">barrier </w:t>
      </w:r>
      <w:r w:rsidR="001C71CB">
        <w:t>to enter</w:t>
      </w:r>
      <w:r w:rsidR="002A6508">
        <w:t>ing</w:t>
      </w:r>
      <w:r w:rsidR="001C71CB">
        <w:t xml:space="preserve"> the profession among </w:t>
      </w:r>
      <w:r w:rsidR="00621103">
        <w:t>school leavers (Liu et al</w:t>
      </w:r>
      <w:r w:rsidR="005A6D1D">
        <w:t xml:space="preserve">., </w:t>
      </w:r>
      <w:r w:rsidR="00621103">
        <w:t xml:space="preserve">2000; Richardson </w:t>
      </w:r>
      <w:r w:rsidR="00F1036A">
        <w:t xml:space="preserve">&amp; </w:t>
      </w:r>
      <w:r w:rsidR="00621103">
        <w:t>Watt</w:t>
      </w:r>
      <w:r w:rsidR="00894539">
        <w:t>,</w:t>
      </w:r>
      <w:r w:rsidR="00621103">
        <w:t xml:space="preserve"> 2006). </w:t>
      </w:r>
      <w:r w:rsidR="0059612E">
        <w:t>E</w:t>
      </w:r>
      <w:r w:rsidR="00621103">
        <w:t xml:space="preserve">ven </w:t>
      </w:r>
      <w:r w:rsidR="0059612E">
        <w:t>in the context where salaries</w:t>
      </w:r>
      <w:r w:rsidR="00621103">
        <w:t xml:space="preserve"> </w:t>
      </w:r>
      <w:r w:rsidR="0059612E">
        <w:t xml:space="preserve">are </w:t>
      </w:r>
      <w:r w:rsidR="00621103">
        <w:t>less of a concern</w:t>
      </w:r>
      <w:r w:rsidR="0059612E">
        <w:t>,</w:t>
      </w:r>
      <w:r w:rsidR="00621103">
        <w:t xml:space="preserve"> the impact of principals, other teachers and support </w:t>
      </w:r>
      <w:r w:rsidR="0059612E">
        <w:t xml:space="preserve">is substantial in determining the overall </w:t>
      </w:r>
      <w:r w:rsidR="00621103">
        <w:t>job satisfaction</w:t>
      </w:r>
      <w:r w:rsidR="0059612E">
        <w:t xml:space="preserve"> of </w:t>
      </w:r>
      <w:r w:rsidR="000141E5">
        <w:t>beginning teachers</w:t>
      </w:r>
      <w:r w:rsidR="00621103">
        <w:t xml:space="preserve">. For example, Lam and </w:t>
      </w:r>
      <w:r w:rsidR="002B4FB4">
        <w:t>Yan</w:t>
      </w:r>
      <w:r w:rsidR="00621103">
        <w:t xml:space="preserve"> (2011) examine the experiences of teachers </w:t>
      </w:r>
      <w:r w:rsidR="0059612E">
        <w:t xml:space="preserve">in </w:t>
      </w:r>
      <w:r w:rsidR="00621103">
        <w:t>Hong Kong where salaries are significantly higher than the median income</w:t>
      </w:r>
      <w:r w:rsidR="001C71CB">
        <w:t xml:space="preserve">. The authors </w:t>
      </w:r>
      <w:r w:rsidR="00621103">
        <w:t xml:space="preserve">find that the </w:t>
      </w:r>
      <w:r w:rsidR="00E14CB8">
        <w:t xml:space="preserve">satisfaction </w:t>
      </w:r>
      <w:r w:rsidR="001C71CB">
        <w:t xml:space="preserve">levels of </w:t>
      </w:r>
      <w:r w:rsidR="00E14CB8">
        <w:t xml:space="preserve">teachers </w:t>
      </w:r>
      <w:r w:rsidR="00621103">
        <w:t xml:space="preserve">is attributable </w:t>
      </w:r>
      <w:r w:rsidR="00E14CB8">
        <w:t xml:space="preserve">to factors </w:t>
      </w:r>
      <w:r w:rsidR="001C71CB">
        <w:t xml:space="preserve">directly controllable by </w:t>
      </w:r>
      <w:r w:rsidR="00E14CB8">
        <w:t>school</w:t>
      </w:r>
      <w:r w:rsidR="001C71CB">
        <w:t>s</w:t>
      </w:r>
      <w:r w:rsidR="00E14CB8">
        <w:t xml:space="preserve"> including volume of non-teaching workload, equity in the </w:t>
      </w:r>
      <w:r w:rsidR="00621103">
        <w:t xml:space="preserve">distribution </w:t>
      </w:r>
      <w:r w:rsidR="00E14CB8">
        <w:t xml:space="preserve">of work and professional autonomy (Lam </w:t>
      </w:r>
      <w:r w:rsidR="00F1036A">
        <w:t xml:space="preserve">&amp; </w:t>
      </w:r>
      <w:r w:rsidR="002B4FB4">
        <w:t>Yan</w:t>
      </w:r>
      <w:r w:rsidR="00DB5621">
        <w:t>,</w:t>
      </w:r>
      <w:r w:rsidR="00E14CB8">
        <w:t xml:space="preserve"> 2011).</w:t>
      </w:r>
      <w:r w:rsidR="00621103">
        <w:t xml:space="preserve"> </w:t>
      </w:r>
      <w:r w:rsidR="00A250F9">
        <w:t xml:space="preserve">Other researchers point to the isolation of teachers from their colleagues, even in programs where formal mentoring is in place (Ingersoll </w:t>
      </w:r>
      <w:r w:rsidR="00F1036A">
        <w:t xml:space="preserve">&amp; </w:t>
      </w:r>
      <w:r w:rsidR="00A250F9">
        <w:t>Smith</w:t>
      </w:r>
      <w:r w:rsidR="00894539">
        <w:t>,</w:t>
      </w:r>
      <w:r w:rsidR="00A250F9">
        <w:t xml:space="preserve"> 200</w:t>
      </w:r>
      <w:r w:rsidR="00AA6837">
        <w:t>3</w:t>
      </w:r>
      <w:r w:rsidR="00A250F9">
        <w:t xml:space="preserve">; </w:t>
      </w:r>
      <w:proofErr w:type="spellStart"/>
      <w:r w:rsidR="00A250F9">
        <w:t>Mara</w:t>
      </w:r>
      <w:r w:rsidR="002B4FB4">
        <w:t>ble</w:t>
      </w:r>
      <w:proofErr w:type="spellEnd"/>
      <w:r w:rsidR="00A250F9">
        <w:t xml:space="preserve"> </w:t>
      </w:r>
      <w:r w:rsidR="00F1036A">
        <w:t xml:space="preserve">&amp; </w:t>
      </w:r>
      <w:r w:rsidR="00A250F9">
        <w:t>Raimondi</w:t>
      </w:r>
      <w:r w:rsidR="00894539">
        <w:t>,</w:t>
      </w:r>
      <w:r w:rsidR="00A250F9">
        <w:t xml:space="preserve"> 2007).</w:t>
      </w:r>
      <w:r w:rsidR="001C71CB">
        <w:t xml:space="preserve"> </w:t>
      </w:r>
      <w:r w:rsidR="002305C7">
        <w:t xml:space="preserve">McCoy (2003) </w:t>
      </w:r>
      <w:r w:rsidR="00AC3F94">
        <w:t xml:space="preserve">interviewed 105 teachers in their first three years of teaching to establish that </w:t>
      </w:r>
      <w:r w:rsidR="00655385">
        <w:t xml:space="preserve">teachers have various needs </w:t>
      </w:r>
      <w:r w:rsidR="005A6D1D">
        <w:t xml:space="preserve">and </w:t>
      </w:r>
      <w:r w:rsidR="00655385">
        <w:t xml:space="preserve">wants that, if properly managed or introduced, will improve their experience. </w:t>
      </w:r>
      <w:r w:rsidR="003C5CF3">
        <w:t xml:space="preserve">Factors highlighted </w:t>
      </w:r>
      <w:r w:rsidR="00655385">
        <w:t xml:space="preserve">include: higher pay, smaller classes, support personnel, release from teaching, adequate supplies, active mentors, </w:t>
      </w:r>
      <w:r w:rsidR="002A6508">
        <w:t xml:space="preserve">a </w:t>
      </w:r>
      <w:r w:rsidR="00655385">
        <w:t>supporti</w:t>
      </w:r>
      <w:r w:rsidR="002A6508">
        <w:t>ve</w:t>
      </w:r>
      <w:r w:rsidR="00655385">
        <w:t xml:space="preserve"> administration and </w:t>
      </w:r>
      <w:r w:rsidR="003C5CF3">
        <w:t xml:space="preserve">the </w:t>
      </w:r>
      <w:r w:rsidR="00655385">
        <w:t xml:space="preserve">involvement of parents. </w:t>
      </w:r>
    </w:p>
    <w:p w:rsidR="00BA0E49" w:rsidRDefault="00B63951" w:rsidP="00073B55">
      <w:r>
        <w:t xml:space="preserve">In general, </w:t>
      </w:r>
      <w:r w:rsidR="00655385">
        <w:t xml:space="preserve">McCoy’s research findings </w:t>
      </w:r>
      <w:r w:rsidR="00E72198" w:rsidRPr="005A6D1D">
        <w:t xml:space="preserve">exemplify </w:t>
      </w:r>
      <w:r w:rsidR="00655385" w:rsidRPr="005A6D1D">
        <w:t>the literature</w:t>
      </w:r>
      <w:r w:rsidR="00655385">
        <w:t xml:space="preserve"> on teaching attrition and retention; the factors that influence teachers to </w:t>
      </w:r>
      <w:r w:rsidR="00E72198">
        <w:t xml:space="preserve">see </w:t>
      </w:r>
      <w:r w:rsidR="00655385">
        <w:t xml:space="preserve">value in their roles and remain in their chosen profession </w:t>
      </w:r>
      <w:r w:rsidR="003C5CF3" w:rsidRPr="00093269">
        <w:t xml:space="preserve">are </w:t>
      </w:r>
      <w:r w:rsidR="00655385" w:rsidRPr="00093269">
        <w:t>extensive and stretch</w:t>
      </w:r>
      <w:r w:rsidR="00655385">
        <w:t xml:space="preserve"> across a number of themes. </w:t>
      </w:r>
      <w:r w:rsidR="00BA0E49">
        <w:t xml:space="preserve">They also appear to be common to teaching </w:t>
      </w:r>
      <w:r w:rsidR="00BA0E49">
        <w:lastRenderedPageBreak/>
        <w:t xml:space="preserve">contexts across the world. A critical </w:t>
      </w:r>
      <w:r w:rsidR="0062354A">
        <w:t xml:space="preserve">question therefore arises: if understanding of the factors that influence teachers to stay in teaching is so extensive, why does attrition continue to be such a vexed issue? </w:t>
      </w:r>
    </w:p>
    <w:p w:rsidR="003C5CF3" w:rsidRDefault="0062354A" w:rsidP="00073B55">
      <w:r>
        <w:t xml:space="preserve">The answer seems to </w:t>
      </w:r>
      <w:proofErr w:type="gramStart"/>
      <w:r w:rsidR="005A6D1D">
        <w:t>l</w:t>
      </w:r>
      <w:r w:rsidR="00683CE5">
        <w:t>ie</w:t>
      </w:r>
      <w:proofErr w:type="gramEnd"/>
      <w:r>
        <w:t xml:space="preserve"> in the ability to resource the management of these factors. </w:t>
      </w:r>
      <w:r w:rsidR="003C5CF3">
        <w:t xml:space="preserve">From an administrative point of view, the extensiveness of this list becomes problematic. There is little value in knowing that “everything matters” to teachers when, given a limited scope of influence or resources, the ability to address “everything” is </w:t>
      </w:r>
      <w:r w:rsidR="001C71CB">
        <w:t>unrealistic</w:t>
      </w:r>
      <w:r w:rsidR="003C5CF3">
        <w:t xml:space="preserve">. Instead, there is a need to consider how some elements deserve greater attention </w:t>
      </w:r>
      <w:r w:rsidR="00E80BAA">
        <w:t>to help focus and develop strategies that will offer greater benefit relative to other areas. Such insight</w:t>
      </w:r>
      <w:r w:rsidR="00093269">
        <w:t>s</w:t>
      </w:r>
      <w:r w:rsidR="00E80BAA">
        <w:t xml:space="preserve"> may in</w:t>
      </w:r>
      <w:r w:rsidR="003C5CF3">
        <w:t xml:space="preserve">form </w:t>
      </w:r>
      <w:r w:rsidR="00E80BAA">
        <w:t xml:space="preserve">decisions about </w:t>
      </w:r>
      <w:r w:rsidR="003C5CF3">
        <w:t>funding by administrating organisations</w:t>
      </w:r>
      <w:r w:rsidR="00E80BAA">
        <w:t xml:space="preserve">. </w:t>
      </w:r>
      <w:r w:rsidR="00093269" w:rsidRPr="0062354A">
        <w:t>They</w:t>
      </w:r>
      <w:r w:rsidR="00E80BAA" w:rsidRPr="0062354A">
        <w:t xml:space="preserve"> may offer direction </w:t>
      </w:r>
      <w:r w:rsidR="00093269" w:rsidRPr="0062354A">
        <w:t>regarding</w:t>
      </w:r>
      <w:r w:rsidR="00E80BAA" w:rsidRPr="0062354A">
        <w:t xml:space="preserve"> where inquiry, evaluation and ongoing follow-up should occur </w:t>
      </w:r>
      <w:r w:rsidR="003C5CF3" w:rsidRPr="0062354A">
        <w:t xml:space="preserve">by those involved in </w:t>
      </w:r>
      <w:r w:rsidR="00E80BAA" w:rsidRPr="0062354A">
        <w:t xml:space="preserve">the </w:t>
      </w:r>
      <w:r w:rsidR="003C5CF3" w:rsidRPr="0062354A">
        <w:t xml:space="preserve">management </w:t>
      </w:r>
      <w:r w:rsidR="00E80BAA" w:rsidRPr="0062354A">
        <w:t xml:space="preserve">of </w:t>
      </w:r>
      <w:r w:rsidR="00A00839">
        <w:t xml:space="preserve">beginning teachers </w:t>
      </w:r>
      <w:r w:rsidR="003C5CF3" w:rsidRPr="0062354A">
        <w:t xml:space="preserve">(including principals and colleagues) </w:t>
      </w:r>
      <w:r w:rsidR="00E80BAA" w:rsidRPr="0062354A">
        <w:t xml:space="preserve">and suggest which </w:t>
      </w:r>
      <w:r w:rsidR="003C5CF3" w:rsidRPr="0062354A">
        <w:t xml:space="preserve">programs or areas of administration are </w:t>
      </w:r>
      <w:r w:rsidR="00073B55">
        <w:t xml:space="preserve">most effective in </w:t>
      </w:r>
      <w:r w:rsidR="003C5CF3" w:rsidRPr="0062354A">
        <w:t xml:space="preserve">impacting the decision of </w:t>
      </w:r>
      <w:r w:rsidR="002A6508">
        <w:t>beginning teachers</w:t>
      </w:r>
      <w:r w:rsidR="003C5CF3" w:rsidRPr="0062354A">
        <w:t xml:space="preserve"> to remain in the profession.</w:t>
      </w:r>
      <w:r w:rsidR="00BA0E49">
        <w:t xml:space="preserve"> Such insights should help to direct limited resources to the places where they have the greatest effect.</w:t>
      </w:r>
    </w:p>
    <w:p w:rsidR="00D2558A" w:rsidRDefault="0062354A">
      <w:r>
        <w:t>Th</w:t>
      </w:r>
      <w:r w:rsidR="00060338">
        <w:t>e</w:t>
      </w:r>
      <w:r>
        <w:t xml:space="preserve"> </w:t>
      </w:r>
      <w:r w:rsidR="005A6D1D">
        <w:t xml:space="preserve">research </w:t>
      </w:r>
      <w:r w:rsidR="00E72198">
        <w:t xml:space="preserve">discussed here </w:t>
      </w:r>
      <w:r w:rsidR="00073B55">
        <w:t xml:space="preserve">employs </w:t>
      </w:r>
      <w:r w:rsidR="00E72198">
        <w:t xml:space="preserve">a methodology aimed at </w:t>
      </w:r>
      <w:r w:rsidR="00060338">
        <w:t>investigating</w:t>
      </w:r>
      <w:r w:rsidR="00E80BAA">
        <w:t xml:space="preserve"> which set of factors </w:t>
      </w:r>
      <w:r w:rsidR="00014CA4">
        <w:t>is</w:t>
      </w:r>
      <w:r w:rsidR="00E80BAA">
        <w:t xml:space="preserve"> most important in determining the decision of beginning teachers to remain in the profession. The research highlights the advantage of approaching the question of value by considering the relative importance that teachers place on each factor that may impact their experience and decision to remain in the profession. The research method involves a</w:t>
      </w:r>
      <w:r w:rsidR="00EF3780">
        <w:t>n innovative</w:t>
      </w:r>
      <w:r w:rsidR="00E80BAA">
        <w:t xml:space="preserve"> combination of qualitative and quantitative methods to identify these factors. </w:t>
      </w:r>
      <w:r>
        <w:t xml:space="preserve">The rationale for using such a methodology </w:t>
      </w:r>
      <w:r w:rsidR="002A6508">
        <w:t>is</w:t>
      </w:r>
      <w:r>
        <w:t xml:space="preserve"> that it allows employing authorities to decide what factors to devote limited resources to in order to get the best outcomes in retention.</w:t>
      </w:r>
      <w:r w:rsidR="003B55BA">
        <w:t xml:space="preserve"> </w:t>
      </w:r>
      <w:r w:rsidR="00EF3780">
        <w:t>As noted earlier, there</w:t>
      </w:r>
      <w:r w:rsidR="00EF3780" w:rsidRPr="009F28F0">
        <w:t xml:space="preserve"> have been numerous studies on teacher retention, and they have overwhelmingly used the traditional data gathering methods of survey, focus group and interview.</w:t>
      </w:r>
      <w:r w:rsidR="00EF3780">
        <w:t xml:space="preserve"> This study introduces the use of a quantitative methodology, know</w:t>
      </w:r>
      <w:r w:rsidR="003B55BA">
        <w:t>n</w:t>
      </w:r>
      <w:r w:rsidR="00EF3780">
        <w:t xml:space="preserve"> as Best-Worst Scaling (BWS) into research on teacher retention.</w:t>
      </w:r>
      <w:r w:rsidR="00EF3780" w:rsidRPr="00EF3780">
        <w:t xml:space="preserve"> </w:t>
      </w:r>
      <w:r w:rsidR="00EF3780">
        <w:t>The paper discusses the rationale for the use of BWS, how it was developed and used in this study, and the findings arising from its use.</w:t>
      </w:r>
      <w:r w:rsidR="003B55BA">
        <w:t xml:space="preserve"> </w:t>
      </w:r>
      <w:r w:rsidR="00601145" w:rsidRPr="00F75F7D">
        <w:t>BWS is a method that allows researchers to quantify how important an issue is to an individual or group of individuals relative to other issues under consideration. BWS is a relatively straightforward measurement task that asks people to choose the single object from a listing of several objects that best matches a given criterion, and then choose the single object from the remaining objects that least matches that criterion.</w:t>
      </w:r>
      <w:r w:rsidR="00D2558A" w:rsidRPr="00F75F7D">
        <w:t xml:space="preserve"> As will be explained, beginning teachers were asked to choose which factor mattered most and which mattered </w:t>
      </w:r>
      <w:r w:rsidR="00F75F7D" w:rsidRPr="00F75F7D">
        <w:t>least</w:t>
      </w:r>
      <w:r w:rsidR="00D2558A" w:rsidRPr="00F75F7D">
        <w:t xml:space="preserve"> in their decision to remain in the profession.</w:t>
      </w:r>
      <w:r w:rsidR="00601145" w:rsidRPr="00F75F7D">
        <w:t xml:space="preserve"> </w:t>
      </w:r>
      <w:r w:rsidR="009557CA" w:rsidRPr="00F75F7D">
        <w:t xml:space="preserve">This study </w:t>
      </w:r>
      <w:r w:rsidR="00C7499C" w:rsidRPr="00F75F7D">
        <w:t xml:space="preserve">is </w:t>
      </w:r>
      <w:r w:rsidR="009557CA" w:rsidRPr="00F75F7D">
        <w:t xml:space="preserve">the first in which BWS </w:t>
      </w:r>
      <w:r w:rsidR="00C7499C" w:rsidRPr="00F75F7D">
        <w:t xml:space="preserve">is </w:t>
      </w:r>
      <w:r w:rsidR="009557CA" w:rsidRPr="00F75F7D">
        <w:t>used in the context of research relating to the decision</w:t>
      </w:r>
      <w:r w:rsidR="00304C30" w:rsidRPr="00F75F7D">
        <w:t>-</w:t>
      </w:r>
      <w:r w:rsidR="009557CA" w:rsidRPr="00F75F7D">
        <w:t>making of teachers. BWS, however, is useful in any context where human decision</w:t>
      </w:r>
      <w:r w:rsidR="00863226" w:rsidRPr="00F75F7D">
        <w:t>-</w:t>
      </w:r>
      <w:r w:rsidR="009557CA" w:rsidRPr="00F75F7D">
        <w:t>making is of interest</w:t>
      </w:r>
      <w:r w:rsidR="004C3E79">
        <w:t>, as is reviewed below</w:t>
      </w:r>
      <w:r w:rsidR="009557CA" w:rsidRPr="00F75F7D">
        <w:t xml:space="preserve">. </w:t>
      </w:r>
    </w:p>
    <w:p w:rsidR="007B6C7B" w:rsidRPr="00025FD6" w:rsidRDefault="006C727B" w:rsidP="007B6C7B">
      <w:pPr>
        <w:rPr>
          <w:i/>
        </w:rPr>
      </w:pPr>
      <w:r>
        <w:rPr>
          <w:i/>
        </w:rPr>
        <w:t xml:space="preserve">2.2.1 </w:t>
      </w:r>
      <w:r w:rsidR="007B6C7B" w:rsidRPr="00025FD6">
        <w:rPr>
          <w:i/>
        </w:rPr>
        <w:t>Best Worst Scaling: A Summary of the Technique and Application to Beginning Teacher Retention</w:t>
      </w:r>
    </w:p>
    <w:p w:rsidR="007B6C7B" w:rsidRPr="00707A91" w:rsidRDefault="007B6C7B" w:rsidP="007B6C7B">
      <w:r w:rsidRPr="00707A91">
        <w:t xml:space="preserve">As noted above, BWS is a method that permits the quantification of how important a particular issue is to an individual or group of individuals relative to other issues under </w:t>
      </w:r>
      <w:r w:rsidRPr="00707A91">
        <w:rPr>
          <w:color w:val="000000" w:themeColor="text1"/>
        </w:rPr>
        <w:t>consideration. BWS was developed and introduced by Finn and Louviere (1992) in their article on how to appropriately assess the concern for food safety relative to other areas of public concern. BW</w:t>
      </w:r>
      <w:r w:rsidRPr="00707A91">
        <w:t xml:space="preserve">S has been applied in various contexts, particularly those relating to consumer behaviour (e.g., Auger, Devinney &amp; </w:t>
      </w:r>
      <w:r w:rsidRPr="00707A91">
        <w:lastRenderedPageBreak/>
        <w:t>Louviere, 2007 ; Cohen 2009; Louviere &amp; Islam 2008), personality research (Lee et al., 2007; Lee et al., 2008) and health economics (</w:t>
      </w:r>
      <w:r w:rsidR="004C3E79">
        <w:t xml:space="preserve">Flynn et al. 2007; </w:t>
      </w:r>
      <w:proofErr w:type="spellStart"/>
      <w:r w:rsidRPr="00707A91">
        <w:t>Lancsar</w:t>
      </w:r>
      <w:proofErr w:type="spellEnd"/>
      <w:r w:rsidRPr="00707A91">
        <w:t xml:space="preserve"> et al., 2007). </w:t>
      </w:r>
    </w:p>
    <w:p w:rsidR="007B6C7B" w:rsidRDefault="007B6C7B" w:rsidP="007B6C7B">
      <w:r w:rsidRPr="00707A91">
        <w:t>Rather than evaluate factors in isolation, BWS experiments involve asking people to consider several factors at once and nominate which factor best matches some criterion of interest to the researcher and, from the remaining factors, nominate the single factor that least matches that criterion. People then see a different set of objects and complete the task a number of times. The researchers count the number of times an item is chosen as best and the number of times it is chosen as worst: items that are viewed more favourably by respondents on a given criterion will be chosen more often as best, and chosen less often as the worst in any one set. Sets may consist of different overarching items like brands or products (the items), whereby individuals indicate which option performs best and worst on a particular latent dimension (</w:t>
      </w:r>
      <w:r w:rsidRPr="00FC2FA1">
        <w:t>e.g.</w:t>
      </w:r>
      <w:r>
        <w:t>, a particular computer brand is best on usability</w:t>
      </w:r>
      <w:r w:rsidRPr="00FC2FA1">
        <w:t xml:space="preserve">). Alternatively, sets may consist of factors, whereby individuals select the factors that matters most/least to them (e.g., </w:t>
      </w:r>
      <w:r>
        <w:t xml:space="preserve">usability </w:t>
      </w:r>
      <w:r w:rsidRPr="00FC2FA1">
        <w:t xml:space="preserve">vs. </w:t>
      </w:r>
      <w:r>
        <w:t>value for money</w:t>
      </w:r>
      <w:r w:rsidRPr="00FC2FA1">
        <w:t xml:space="preserve">). In </w:t>
      </w:r>
      <w:r>
        <w:t xml:space="preserve">essence, a </w:t>
      </w:r>
      <w:r w:rsidRPr="00FC2FA1">
        <w:t>BWS experiment</w:t>
      </w:r>
      <w:r>
        <w:t xml:space="preserve"> allows respondents to </w:t>
      </w:r>
      <w:r w:rsidRPr="00FC2FA1">
        <w:t xml:space="preserve">simply indicate the best and worst options in a </w:t>
      </w:r>
      <w:r>
        <w:t xml:space="preserve">given </w:t>
      </w:r>
      <w:r w:rsidRPr="00FC2FA1">
        <w:t xml:space="preserve">set. </w:t>
      </w:r>
    </w:p>
    <w:p w:rsidR="007B6C7B" w:rsidRPr="00707A91" w:rsidRDefault="007B6C7B" w:rsidP="007B6C7B">
      <w:r>
        <w:t xml:space="preserve">Whilst the advantage of BWS is in that it involves a fairly simple task for respondents, its attraction to the present research context is in that it also provides rich information to the researcher – indeed the information is </w:t>
      </w:r>
      <w:r w:rsidRPr="003C76CD">
        <w:t>arguably even</w:t>
      </w:r>
      <w:r>
        <w:t xml:space="preserve"> richer because the respondent must make trade-offs with other items (Louviere and Islam 2008</w:t>
      </w:r>
      <w:r w:rsidRPr="00707A91">
        <w:t xml:space="preserve">). The BWS method in this study uses theoretical measurement models and ways to implement them that generalize </w:t>
      </w:r>
      <w:proofErr w:type="spellStart"/>
      <w:r w:rsidRPr="00707A91">
        <w:t>Thurstone’s</w:t>
      </w:r>
      <w:proofErr w:type="spellEnd"/>
      <w:r w:rsidRPr="00707A91">
        <w:t xml:space="preserve"> (1927) Method of Paired Comparisons to multiple comparisons, with the benefit that a) multiple comparisons are much more statistically efficient and b) that the number of comparison sets increases only linearly, not geometrically as in paired comparisons (e.g., see Louviere &amp; Woodworth 1983; Marley &amp; Louviere 2005). So, rather than consider each item in isolation, one can learn relative importance. </w:t>
      </w:r>
    </w:p>
    <w:p w:rsidR="007B6C7B" w:rsidRDefault="007B6C7B" w:rsidP="007B6C7B">
      <w:r w:rsidRPr="00707A91">
        <w:t>This method is in contrast to aski</w:t>
      </w:r>
      <w:r>
        <w:t xml:space="preserve">ng respondents to rate items one at a time, which means that respondents </w:t>
      </w:r>
      <w:r w:rsidRPr="00FC2FA1">
        <w:t>have no disincentive to make any trade-offs when asked about items in isolation and</w:t>
      </w:r>
      <w:r>
        <w:t xml:space="preserve"> may</w:t>
      </w:r>
      <w:r w:rsidRPr="00FC2FA1">
        <w:t xml:space="preserve"> simply indicate that everything matters (Carson et al., 2000).</w:t>
      </w:r>
      <w:r>
        <w:t xml:space="preserve"> </w:t>
      </w:r>
      <w:r w:rsidRPr="00A53186">
        <w:t xml:space="preserve">Knowing that “everything matters” to participants does not help organisations understand where to focus their strategic efforts </w:t>
      </w:r>
      <w:r>
        <w:t>and resources</w:t>
      </w:r>
      <w:r w:rsidRPr="00A53186">
        <w:t>. Indeed, organisations</w:t>
      </w:r>
      <w:r>
        <w:t xml:space="preserve">, </w:t>
      </w:r>
      <w:r w:rsidRPr="00A53186">
        <w:t>like consumers, must make trade-offs</w:t>
      </w:r>
      <w:r>
        <w:t>,</w:t>
      </w:r>
      <w:r w:rsidRPr="00A53186">
        <w:t xml:space="preserve"> and they must choose to focus on one factor over another (</w:t>
      </w:r>
      <w:proofErr w:type="spellStart"/>
      <w:r w:rsidRPr="00A53186">
        <w:t>Sheth</w:t>
      </w:r>
      <w:proofErr w:type="spellEnd"/>
      <w:r w:rsidRPr="00A53186">
        <w:t xml:space="preserve"> et al., 1991). Even asking about multiple factors one at a time is </w:t>
      </w:r>
      <w:r>
        <w:t xml:space="preserve">of </w:t>
      </w:r>
      <w:r w:rsidRPr="00A53186">
        <w:t>questionable</w:t>
      </w:r>
      <w:r>
        <w:t xml:space="preserve"> value,</w:t>
      </w:r>
      <w:r w:rsidRPr="00A53186">
        <w:t xml:space="preserve"> with no knowledge about those respondents who may have looked at the set of scale items in isolation versus those who viewed items as a collective and reflected their implicit trade-offs.</w:t>
      </w:r>
      <w:r>
        <w:t xml:space="preserve"> BWS is also advantageous because it is cognitively easy: there is no allocating of points or percentages to items, or a need to rank a lengthy list of items simultaneously (Louviere &amp; Islam, 2008).</w:t>
      </w:r>
    </w:p>
    <w:p w:rsidR="007B6C7B" w:rsidRDefault="007B6C7B" w:rsidP="007B6C7B">
      <w:r>
        <w:t xml:space="preserve">The outcome of a </w:t>
      </w:r>
      <w:r w:rsidRPr="00FC2FA1">
        <w:t xml:space="preserve">BWS </w:t>
      </w:r>
      <w:r>
        <w:t xml:space="preserve">experiment is that it provides researchers a measure of </w:t>
      </w:r>
      <w:r w:rsidRPr="00FC2FA1">
        <w:t xml:space="preserve">factor importance </w:t>
      </w:r>
      <w:r>
        <w:t xml:space="preserve">for each object that has been evaluated </w:t>
      </w:r>
      <w:r w:rsidRPr="00FC2FA1">
        <w:t>on a comparable ratio scale (</w:t>
      </w:r>
      <w:proofErr w:type="spellStart"/>
      <w:r w:rsidRPr="00FC2FA1">
        <w:t>Lancsar</w:t>
      </w:r>
      <w:proofErr w:type="spellEnd"/>
      <w:r w:rsidRPr="00FC2FA1">
        <w:t xml:space="preserve"> et al., 2007), as discussed by Marley and Louviere (2005), who provide formal proofs of measurement and model properties. </w:t>
      </w:r>
      <w:r>
        <w:t>I</w:t>
      </w:r>
      <w:r w:rsidRPr="00FC2FA1">
        <w:t>n commercial research</w:t>
      </w:r>
      <w:r>
        <w:t>, BWS</w:t>
      </w:r>
      <w:r w:rsidRPr="00FC2FA1">
        <w:t xml:space="preserve"> is </w:t>
      </w:r>
      <w:r>
        <w:t xml:space="preserve">often </w:t>
      </w:r>
      <w:r w:rsidRPr="00FC2FA1">
        <w:t xml:space="preserve">referred to as ‘maximum difference scaling,’ as the items chosen best and worst are the two items that are furthest apart on each consumer’s latent scale. </w:t>
      </w:r>
      <w:r>
        <w:t>This is the first time it has been applied in a study of education to investigate the factors that influence whether beginning teachers will remain in the teaching profession.</w:t>
      </w:r>
    </w:p>
    <w:p w:rsidR="007B6C7B" w:rsidRDefault="007B6C7B"/>
    <w:p w:rsidR="003B55BA" w:rsidRDefault="00F7025F">
      <w:pPr>
        <w:pStyle w:val="ListParagraph"/>
        <w:numPr>
          <w:ilvl w:val="0"/>
          <w:numId w:val="3"/>
        </w:numPr>
        <w:rPr>
          <w:b/>
        </w:rPr>
      </w:pPr>
      <w:r w:rsidRPr="00F7025F">
        <w:rPr>
          <w:b/>
        </w:rPr>
        <w:lastRenderedPageBreak/>
        <w:t>Research Design and Methods</w:t>
      </w:r>
    </w:p>
    <w:p w:rsidR="00EF3780" w:rsidRPr="00F75F7D" w:rsidRDefault="007B6C7B">
      <w:r>
        <w:t xml:space="preserve">The research </w:t>
      </w:r>
      <w:r w:rsidR="00014CA4">
        <w:t>employed</w:t>
      </w:r>
      <w:r w:rsidR="00284D3B">
        <w:t xml:space="preserve"> mixed methods </w:t>
      </w:r>
      <w:r w:rsidR="00284D3B" w:rsidRPr="00284D3B">
        <w:t>(</w:t>
      </w:r>
      <w:r w:rsidR="00F7025F" w:rsidRPr="00F7025F">
        <w:rPr>
          <w:rFonts w:cs="Times"/>
          <w:color w:val="002800"/>
          <w:lang w:val="en-US"/>
        </w:rPr>
        <w:t xml:space="preserve">Johnson &amp; </w:t>
      </w:r>
      <w:proofErr w:type="spellStart"/>
      <w:r w:rsidR="00F7025F" w:rsidRPr="00F7025F">
        <w:rPr>
          <w:rFonts w:cs="Times"/>
          <w:color w:val="002800"/>
          <w:lang w:val="en-US"/>
        </w:rPr>
        <w:t>Onwuegbuzie</w:t>
      </w:r>
      <w:proofErr w:type="spellEnd"/>
      <w:r w:rsidR="00F7025F" w:rsidRPr="00F7025F">
        <w:rPr>
          <w:rFonts w:cs="Times"/>
          <w:color w:val="002800"/>
          <w:lang w:val="en-US"/>
        </w:rPr>
        <w:t>, 2004)</w:t>
      </w:r>
      <w:r w:rsidR="00284D3B">
        <w:t xml:space="preserve"> drawing on complementary</w:t>
      </w:r>
      <w:r>
        <w:t xml:space="preserve"> qualitative and a quantitative </w:t>
      </w:r>
      <w:r w:rsidR="00284D3B">
        <w:t>data gathering and analysis</w:t>
      </w:r>
      <w:r>
        <w:t xml:space="preserve"> to investigate the question of </w:t>
      </w:r>
      <w:r w:rsidR="006C727B">
        <w:t>why some</w:t>
      </w:r>
      <w:r>
        <w:t xml:space="preserve"> teachers stay in the profession and why some leave. The qualitative component identified factors underpinning teachers’ decisions about staying or leaving the profession through interviews. This component then informed the second component of the study, the use of BWS. This aspect of the research identified the relative importance of the articulated factors in teachers’ decision-making. </w:t>
      </w:r>
    </w:p>
    <w:p w:rsidR="000B72E5" w:rsidRDefault="009557CA">
      <w:r w:rsidRPr="00707A91">
        <w:t xml:space="preserve">The use of BWS </w:t>
      </w:r>
      <w:r w:rsidR="005E3E8D">
        <w:t xml:space="preserve">was </w:t>
      </w:r>
      <w:r w:rsidRPr="00707A91">
        <w:t>complemented by the employment of efficient experimental design methods called Balanced Incomplete Block Designs (BIBDs</w:t>
      </w:r>
      <w:r w:rsidR="000B72E5" w:rsidRPr="00707A91">
        <w:t>)</w:t>
      </w:r>
      <w:r w:rsidR="00C73465" w:rsidRPr="00707A91">
        <w:t xml:space="preserve"> </w:t>
      </w:r>
      <w:r w:rsidR="00A923E0" w:rsidRPr="00707A91">
        <w:t>(</w:t>
      </w:r>
      <w:r w:rsidR="00C73465" w:rsidRPr="00707A91">
        <w:rPr>
          <w:rStyle w:val="citation"/>
        </w:rPr>
        <w:t xml:space="preserve">Street </w:t>
      </w:r>
      <w:r w:rsidR="00A923E0" w:rsidRPr="00707A91">
        <w:rPr>
          <w:rStyle w:val="citation"/>
        </w:rPr>
        <w:t xml:space="preserve">&amp; </w:t>
      </w:r>
      <w:r w:rsidR="00C73465" w:rsidRPr="00707A91">
        <w:rPr>
          <w:rStyle w:val="citation"/>
        </w:rPr>
        <w:t xml:space="preserve">Street, 1987). </w:t>
      </w:r>
      <w:r w:rsidR="002036BA">
        <w:t>BIBDs were useful in determining which subset of factors a teacher would need to evaluate to obtain a greater amount of statistical information in a more efficient and balanced manner than if subsets of factors were simply displayed at random</w:t>
      </w:r>
      <w:r w:rsidR="002036BA" w:rsidRPr="00707A91">
        <w:t>.</w:t>
      </w:r>
      <w:r w:rsidRPr="00707A91">
        <w:t xml:space="preserve"> Thereby, the use of BIBDs was to minimise design</w:t>
      </w:r>
      <w:r w:rsidR="002A6508" w:rsidRPr="00707A91">
        <w:t>-</w:t>
      </w:r>
      <w:r w:rsidRPr="00707A91">
        <w:t>induced bias from a statistical point of view.</w:t>
      </w:r>
    </w:p>
    <w:p w:rsidR="003B55BA" w:rsidRDefault="007B6C7B">
      <w:pPr>
        <w:rPr>
          <w:i/>
        </w:rPr>
      </w:pPr>
      <w:r>
        <w:rPr>
          <w:i/>
        </w:rPr>
        <w:t xml:space="preserve">3.1 </w:t>
      </w:r>
      <w:r w:rsidR="00F7025F" w:rsidRPr="00F7025F">
        <w:rPr>
          <w:i/>
        </w:rPr>
        <w:t>Qualitative research to identify possible factors</w:t>
      </w:r>
    </w:p>
    <w:p w:rsidR="00601145" w:rsidRDefault="004F794C">
      <w:r w:rsidRPr="00760DD9">
        <w:t xml:space="preserve">In the current context, a listing of 31 factors that may impact teachers’ decisions to remain in the profession </w:t>
      </w:r>
      <w:r w:rsidR="007B6C7B" w:rsidRPr="00760DD9">
        <w:t>w</w:t>
      </w:r>
      <w:r w:rsidR="007B6C7B">
        <w:t>as</w:t>
      </w:r>
      <w:r w:rsidR="007B6C7B" w:rsidRPr="00760DD9">
        <w:t xml:space="preserve"> </w:t>
      </w:r>
      <w:r w:rsidRPr="00760DD9">
        <w:t xml:space="preserve">identified through the qualitative research component of the study </w:t>
      </w:r>
      <w:r w:rsidR="00601145">
        <w:t xml:space="preserve">which is briefly outlined below. </w:t>
      </w:r>
      <w:r w:rsidRPr="00760DD9">
        <w:t xml:space="preserve"> </w:t>
      </w:r>
      <w:r w:rsidR="00601145">
        <w:t>These factors were supported by</w:t>
      </w:r>
      <w:r w:rsidRPr="00760DD9">
        <w:t xml:space="preserve"> the literature on teacher retention. </w:t>
      </w:r>
    </w:p>
    <w:p w:rsidR="000B72E5" w:rsidRDefault="00642463">
      <w:r>
        <w:t>The set of factors deemed to be influential on teachers’ decisions w</w:t>
      </w:r>
      <w:r w:rsidR="00014CA4">
        <w:t>as</w:t>
      </w:r>
      <w:r>
        <w:t xml:space="preserve"> gathered through qualitative methods</w:t>
      </w:r>
      <w:r w:rsidR="008D2153">
        <w:t xml:space="preserve"> involving phone-mediated journals and interviews. </w:t>
      </w:r>
      <w:r w:rsidR="002A6508" w:rsidRPr="00760DD9">
        <w:t>The</w:t>
      </w:r>
      <w:r w:rsidR="002A6508">
        <w:t xml:space="preserve"> application of BWS and use of BIBDs then allowed the list of 31 factors to be sorted on the basis of which factors are most important to teachers in their decision to remain in the profession.</w:t>
      </w:r>
    </w:p>
    <w:p w:rsidR="00A923E0" w:rsidRDefault="008D2153" w:rsidP="00A923E0">
      <w:r>
        <w:t>The qualitative research involved a</w:t>
      </w:r>
      <w:r w:rsidR="00642463" w:rsidRPr="00642463">
        <w:t xml:space="preserve"> selection</w:t>
      </w:r>
      <w:r w:rsidR="007B6D0A">
        <w:t xml:space="preserve"> (n=</w:t>
      </w:r>
      <w:r w:rsidR="002B2BAC">
        <w:t>42</w:t>
      </w:r>
      <w:r w:rsidR="007B6D0A">
        <w:t>)</w:t>
      </w:r>
      <w:r w:rsidR="007B6D0A" w:rsidRPr="00642463">
        <w:t xml:space="preserve"> </w:t>
      </w:r>
      <w:r w:rsidR="00642463" w:rsidRPr="00642463">
        <w:t>of</w:t>
      </w:r>
      <w:r w:rsidR="00642463" w:rsidRPr="00513C90">
        <w:t xml:space="preserve"> </w:t>
      </w:r>
      <w:r>
        <w:t xml:space="preserve">beginning teachers </w:t>
      </w:r>
      <w:r w:rsidR="00642463" w:rsidRPr="00642463">
        <w:t>participat</w:t>
      </w:r>
      <w:r>
        <w:t>ing</w:t>
      </w:r>
      <w:r w:rsidR="00642463" w:rsidRPr="00642463">
        <w:t xml:space="preserve"> in up to three phone interviews over the course of the project. </w:t>
      </w:r>
      <w:r w:rsidR="00513C90" w:rsidRPr="00513C90">
        <w:t xml:space="preserve">The </w:t>
      </w:r>
      <w:r w:rsidR="002A6508">
        <w:t>42</w:t>
      </w:r>
      <w:r w:rsidR="00513C90" w:rsidRPr="00513C90">
        <w:t xml:space="preserve"> participants were selected from </w:t>
      </w:r>
      <w:r w:rsidR="00331A72">
        <w:t xml:space="preserve">a list of </w:t>
      </w:r>
      <w:r w:rsidR="00513C90" w:rsidRPr="00513C90">
        <w:t xml:space="preserve">approximately 280 volunteers to ensure </w:t>
      </w:r>
      <w:r w:rsidR="00863226">
        <w:t>representation from</w:t>
      </w:r>
      <w:r w:rsidR="00863226" w:rsidRPr="00513C90">
        <w:t xml:space="preserve"> </w:t>
      </w:r>
      <w:r w:rsidR="00513C90" w:rsidRPr="00513C90">
        <w:t xml:space="preserve">teachers in rural and urban areas, and primary and secondary schools. </w:t>
      </w:r>
    </w:p>
    <w:p w:rsidR="000B72E5" w:rsidRPr="00A923E0" w:rsidRDefault="00331A72" w:rsidP="00A923E0">
      <w:pPr>
        <w:pStyle w:val="ListBullet3"/>
        <w:numPr>
          <w:ilvl w:val="0"/>
          <w:numId w:val="0"/>
        </w:numPr>
        <w:rPr>
          <w:rFonts w:asciiTheme="minorHAnsi" w:eastAsiaTheme="minorHAnsi" w:hAnsiTheme="minorHAnsi"/>
          <w:color w:val="auto"/>
          <w:sz w:val="22"/>
          <w:szCs w:val="22"/>
          <w:lang w:val="en-AU" w:eastAsia="en-US" w:bidi="ar-SA"/>
        </w:rPr>
      </w:pPr>
      <w:r w:rsidRPr="00A923E0">
        <w:rPr>
          <w:rFonts w:asciiTheme="minorHAnsi" w:eastAsiaTheme="minorHAnsi" w:hAnsiTheme="minorHAnsi"/>
          <w:color w:val="auto"/>
          <w:sz w:val="22"/>
          <w:szCs w:val="22"/>
          <w:lang w:val="en-AU" w:eastAsia="en-US" w:bidi="ar-SA"/>
        </w:rPr>
        <w:t>Interviews were conducted with the participants</w:t>
      </w:r>
      <w:r w:rsidR="0045797D" w:rsidRPr="00A923E0">
        <w:rPr>
          <w:rFonts w:asciiTheme="minorHAnsi" w:eastAsiaTheme="minorHAnsi" w:hAnsiTheme="minorHAnsi"/>
          <w:color w:val="auto"/>
          <w:sz w:val="22"/>
          <w:szCs w:val="22"/>
          <w:lang w:val="en-AU" w:eastAsia="en-US" w:bidi="ar-SA"/>
        </w:rPr>
        <w:t xml:space="preserve">, during which </w:t>
      </w:r>
      <w:r w:rsidR="00642463" w:rsidRPr="00A923E0">
        <w:rPr>
          <w:rFonts w:asciiTheme="minorHAnsi" w:eastAsiaTheme="minorHAnsi" w:hAnsiTheme="minorHAnsi"/>
          <w:color w:val="auto"/>
          <w:sz w:val="22"/>
          <w:szCs w:val="22"/>
          <w:lang w:val="en-AU" w:eastAsia="en-US" w:bidi="ar-SA"/>
        </w:rPr>
        <w:t xml:space="preserve">they shared their metaphors, support/challenge zones, </w:t>
      </w:r>
      <w:r w:rsidR="0045797D" w:rsidRPr="00A923E0">
        <w:rPr>
          <w:rFonts w:asciiTheme="minorHAnsi" w:eastAsiaTheme="minorHAnsi" w:hAnsiTheme="minorHAnsi"/>
          <w:color w:val="auto"/>
          <w:sz w:val="22"/>
          <w:szCs w:val="22"/>
          <w:lang w:val="en-AU" w:eastAsia="en-US" w:bidi="ar-SA"/>
        </w:rPr>
        <w:t xml:space="preserve">as outlined below, </w:t>
      </w:r>
      <w:r w:rsidR="00642463" w:rsidRPr="00A923E0">
        <w:rPr>
          <w:rFonts w:asciiTheme="minorHAnsi" w:eastAsiaTheme="minorHAnsi" w:hAnsiTheme="minorHAnsi"/>
          <w:color w:val="auto"/>
          <w:sz w:val="22"/>
          <w:szCs w:val="22"/>
          <w:lang w:val="en-AU" w:eastAsia="en-US" w:bidi="ar-SA"/>
        </w:rPr>
        <w:t xml:space="preserve">and </w:t>
      </w:r>
      <w:r w:rsidR="00513C90" w:rsidRPr="00A923E0">
        <w:rPr>
          <w:rFonts w:asciiTheme="minorHAnsi" w:eastAsiaTheme="minorHAnsi" w:hAnsiTheme="minorHAnsi"/>
          <w:color w:val="auto"/>
          <w:sz w:val="22"/>
          <w:szCs w:val="22"/>
          <w:lang w:val="en-AU" w:eastAsia="en-US" w:bidi="ar-SA"/>
        </w:rPr>
        <w:t xml:space="preserve">a narration of their </w:t>
      </w:r>
      <w:r w:rsidR="00642463" w:rsidRPr="00A923E0">
        <w:rPr>
          <w:rFonts w:asciiTheme="minorHAnsi" w:eastAsiaTheme="minorHAnsi" w:hAnsiTheme="minorHAnsi"/>
          <w:color w:val="auto"/>
          <w:sz w:val="22"/>
          <w:szCs w:val="22"/>
          <w:lang w:val="en-AU" w:eastAsia="en-US" w:bidi="ar-SA"/>
        </w:rPr>
        <w:t xml:space="preserve">experiences. Participants could choose to </w:t>
      </w:r>
      <w:r w:rsidR="00513C90" w:rsidRPr="00A923E0">
        <w:rPr>
          <w:rFonts w:asciiTheme="minorHAnsi" w:eastAsiaTheme="minorHAnsi" w:hAnsiTheme="minorHAnsi"/>
          <w:color w:val="auto"/>
          <w:sz w:val="22"/>
          <w:szCs w:val="22"/>
          <w:lang w:val="en-AU" w:eastAsia="en-US" w:bidi="ar-SA"/>
        </w:rPr>
        <w:t>respond to these tasks through various medi</w:t>
      </w:r>
      <w:r w:rsidR="002A6508" w:rsidRPr="00A923E0">
        <w:rPr>
          <w:rFonts w:asciiTheme="minorHAnsi" w:eastAsiaTheme="minorHAnsi" w:hAnsiTheme="minorHAnsi"/>
          <w:color w:val="auto"/>
          <w:sz w:val="22"/>
          <w:szCs w:val="22"/>
          <w:lang w:val="en-AU" w:eastAsia="en-US" w:bidi="ar-SA"/>
        </w:rPr>
        <w:t>a</w:t>
      </w:r>
      <w:r w:rsidR="00513C90" w:rsidRPr="00A923E0">
        <w:rPr>
          <w:rFonts w:asciiTheme="minorHAnsi" w:eastAsiaTheme="minorHAnsi" w:hAnsiTheme="minorHAnsi"/>
          <w:color w:val="auto"/>
          <w:sz w:val="22"/>
          <w:szCs w:val="22"/>
          <w:lang w:val="en-AU" w:eastAsia="en-US" w:bidi="ar-SA"/>
        </w:rPr>
        <w:t xml:space="preserve"> including </w:t>
      </w:r>
      <w:r w:rsidR="00642463" w:rsidRPr="00A923E0">
        <w:rPr>
          <w:rFonts w:asciiTheme="minorHAnsi" w:eastAsiaTheme="minorHAnsi" w:hAnsiTheme="minorHAnsi"/>
          <w:color w:val="auto"/>
          <w:sz w:val="22"/>
          <w:szCs w:val="22"/>
          <w:lang w:val="en-AU" w:eastAsia="en-US" w:bidi="ar-SA"/>
        </w:rPr>
        <w:t xml:space="preserve">a written journal, through email responses and/or through phone </w:t>
      </w:r>
      <w:r w:rsidR="00A923E0">
        <w:rPr>
          <w:rFonts w:asciiTheme="minorHAnsi" w:eastAsiaTheme="minorHAnsi" w:hAnsiTheme="minorHAnsi"/>
          <w:color w:val="auto"/>
          <w:sz w:val="22"/>
          <w:szCs w:val="22"/>
          <w:lang w:val="en-AU" w:eastAsia="en-US" w:bidi="ar-SA"/>
        </w:rPr>
        <w:t>conversations</w:t>
      </w:r>
      <w:r w:rsidR="00642463" w:rsidRPr="00A923E0">
        <w:rPr>
          <w:rFonts w:asciiTheme="minorHAnsi" w:eastAsiaTheme="minorHAnsi" w:hAnsiTheme="minorHAnsi"/>
          <w:color w:val="auto"/>
          <w:sz w:val="22"/>
          <w:szCs w:val="22"/>
          <w:lang w:val="en-AU" w:eastAsia="en-US" w:bidi="ar-SA"/>
        </w:rPr>
        <w:t>.</w:t>
      </w:r>
      <w:r w:rsidR="008D2153" w:rsidRPr="00A923E0">
        <w:rPr>
          <w:rFonts w:asciiTheme="minorHAnsi" w:eastAsiaTheme="minorHAnsi" w:hAnsiTheme="minorHAnsi"/>
          <w:color w:val="auto"/>
          <w:sz w:val="22"/>
          <w:szCs w:val="22"/>
          <w:lang w:val="en-AU" w:eastAsia="en-US" w:bidi="ar-SA"/>
        </w:rPr>
        <w:t xml:space="preserve"> </w:t>
      </w:r>
      <w:r w:rsidR="00513C90" w:rsidRPr="00A923E0">
        <w:rPr>
          <w:rFonts w:asciiTheme="minorHAnsi" w:eastAsiaTheme="minorHAnsi" w:hAnsiTheme="minorHAnsi"/>
          <w:color w:val="auto"/>
          <w:sz w:val="22"/>
          <w:szCs w:val="22"/>
          <w:lang w:val="en-AU" w:eastAsia="en-US" w:bidi="ar-SA"/>
        </w:rPr>
        <w:t>The specifics of each task were as follows:</w:t>
      </w:r>
    </w:p>
    <w:p w:rsidR="000B72E5" w:rsidRPr="00A923E0" w:rsidRDefault="00642463">
      <w:pPr>
        <w:pStyle w:val="ListBullet3"/>
        <w:rPr>
          <w:rFonts w:asciiTheme="minorHAnsi" w:eastAsiaTheme="minorHAnsi" w:hAnsiTheme="minorHAnsi"/>
          <w:color w:val="auto"/>
          <w:sz w:val="22"/>
          <w:szCs w:val="22"/>
          <w:lang w:val="en-AU" w:eastAsia="en-US" w:bidi="ar-SA"/>
        </w:rPr>
      </w:pPr>
      <w:r w:rsidRPr="00A923E0">
        <w:rPr>
          <w:rFonts w:asciiTheme="minorHAnsi" w:eastAsiaTheme="minorHAnsi" w:hAnsiTheme="minorHAnsi"/>
          <w:color w:val="auto"/>
          <w:sz w:val="22"/>
          <w:szCs w:val="22"/>
          <w:lang w:val="en-AU" w:eastAsia="en-US" w:bidi="ar-SA"/>
        </w:rPr>
        <w:t>Metaphor</w:t>
      </w:r>
      <w:r w:rsidR="00513C90" w:rsidRPr="00A923E0">
        <w:rPr>
          <w:rFonts w:asciiTheme="minorHAnsi" w:eastAsiaTheme="minorHAnsi" w:hAnsiTheme="minorHAnsi"/>
          <w:color w:val="auto"/>
          <w:sz w:val="22"/>
          <w:szCs w:val="22"/>
          <w:lang w:val="en-AU" w:eastAsia="en-US" w:bidi="ar-SA"/>
        </w:rPr>
        <w:t>:</w:t>
      </w:r>
      <w:r w:rsidRPr="00A923E0">
        <w:rPr>
          <w:rFonts w:asciiTheme="minorHAnsi" w:eastAsiaTheme="minorHAnsi" w:hAnsiTheme="minorHAnsi"/>
          <w:color w:val="auto"/>
          <w:sz w:val="22"/>
          <w:szCs w:val="22"/>
          <w:lang w:val="en-AU" w:eastAsia="en-US" w:bidi="ar-SA"/>
        </w:rPr>
        <w:t xml:space="preserve"> Teachers were encouraged, with the provision of appropriate structure, to nominate metaphors to describe their teaching experience. Such a method enabled them to revisit their initial metaphor in later phone conversations with researchers, and change or even embellish their metaphor.</w:t>
      </w:r>
    </w:p>
    <w:p w:rsidR="000B72E5" w:rsidRPr="00A923E0" w:rsidRDefault="00642463">
      <w:pPr>
        <w:pStyle w:val="ListBullet3"/>
        <w:rPr>
          <w:rFonts w:asciiTheme="minorHAnsi" w:eastAsiaTheme="minorHAnsi" w:hAnsiTheme="minorHAnsi"/>
          <w:color w:val="auto"/>
          <w:sz w:val="22"/>
          <w:szCs w:val="22"/>
          <w:lang w:val="en-AU" w:eastAsia="en-US" w:bidi="ar-SA"/>
        </w:rPr>
      </w:pPr>
      <w:r w:rsidRPr="00A923E0">
        <w:rPr>
          <w:rFonts w:asciiTheme="minorHAnsi" w:eastAsiaTheme="minorHAnsi" w:hAnsiTheme="minorHAnsi"/>
          <w:color w:val="auto"/>
          <w:sz w:val="22"/>
          <w:szCs w:val="22"/>
          <w:lang w:val="en-AU" w:eastAsia="en-US" w:bidi="ar-SA"/>
        </w:rPr>
        <w:t>Support and Challenge Zones</w:t>
      </w:r>
      <w:r w:rsidR="00513C90" w:rsidRPr="00A923E0">
        <w:rPr>
          <w:rFonts w:asciiTheme="minorHAnsi" w:eastAsiaTheme="minorHAnsi" w:hAnsiTheme="minorHAnsi"/>
          <w:color w:val="auto"/>
          <w:sz w:val="22"/>
          <w:szCs w:val="22"/>
          <w:lang w:val="en-AU" w:eastAsia="en-US" w:bidi="ar-SA"/>
        </w:rPr>
        <w:t>:</w:t>
      </w:r>
      <w:r w:rsidRPr="00A923E0">
        <w:rPr>
          <w:rFonts w:asciiTheme="minorHAnsi" w:eastAsiaTheme="minorHAnsi" w:hAnsiTheme="minorHAnsi"/>
          <w:color w:val="auto"/>
          <w:sz w:val="22"/>
          <w:szCs w:val="22"/>
          <w:lang w:val="en-AU" w:eastAsia="en-US" w:bidi="ar-SA"/>
        </w:rPr>
        <w:t xml:space="preserve"> Teachers were provided (electronically and in hard copy) with a grid representing where they perceived themselves to be in terms of </w:t>
      </w:r>
      <w:r w:rsidR="0045797D" w:rsidRPr="00A923E0">
        <w:rPr>
          <w:rFonts w:asciiTheme="minorHAnsi" w:eastAsiaTheme="minorHAnsi" w:hAnsiTheme="minorHAnsi"/>
          <w:color w:val="auto"/>
          <w:sz w:val="22"/>
          <w:szCs w:val="22"/>
          <w:lang w:val="en-AU" w:eastAsia="en-US" w:bidi="ar-SA"/>
        </w:rPr>
        <w:t xml:space="preserve">levels </w:t>
      </w:r>
      <w:r w:rsidR="003C76CD">
        <w:rPr>
          <w:rFonts w:asciiTheme="minorHAnsi" w:eastAsiaTheme="minorHAnsi" w:hAnsiTheme="minorHAnsi"/>
          <w:color w:val="auto"/>
          <w:sz w:val="22"/>
          <w:szCs w:val="22"/>
          <w:lang w:val="en-AU" w:eastAsia="en-US" w:bidi="ar-SA"/>
        </w:rPr>
        <w:t xml:space="preserve">of </w:t>
      </w:r>
      <w:r w:rsidRPr="00A923E0">
        <w:rPr>
          <w:rFonts w:asciiTheme="minorHAnsi" w:eastAsiaTheme="minorHAnsi" w:hAnsiTheme="minorHAnsi"/>
          <w:color w:val="auto"/>
          <w:sz w:val="22"/>
          <w:szCs w:val="22"/>
          <w:lang w:val="en-AU" w:eastAsia="en-US" w:bidi="ar-SA"/>
        </w:rPr>
        <w:t xml:space="preserve">support and </w:t>
      </w:r>
      <w:r w:rsidR="0045797D" w:rsidRPr="00A923E0">
        <w:rPr>
          <w:rFonts w:asciiTheme="minorHAnsi" w:eastAsiaTheme="minorHAnsi" w:hAnsiTheme="minorHAnsi"/>
          <w:color w:val="auto"/>
          <w:sz w:val="22"/>
          <w:szCs w:val="22"/>
          <w:lang w:val="en-AU" w:eastAsia="en-US" w:bidi="ar-SA"/>
        </w:rPr>
        <w:t xml:space="preserve">of </w:t>
      </w:r>
      <w:r w:rsidRPr="00A923E0">
        <w:rPr>
          <w:rFonts w:asciiTheme="minorHAnsi" w:eastAsiaTheme="minorHAnsi" w:hAnsiTheme="minorHAnsi"/>
          <w:color w:val="auto"/>
          <w:sz w:val="22"/>
          <w:szCs w:val="22"/>
          <w:lang w:val="en-AU" w:eastAsia="en-US" w:bidi="ar-SA"/>
        </w:rPr>
        <w:t xml:space="preserve">challenge they </w:t>
      </w:r>
      <w:r w:rsidR="0045797D" w:rsidRPr="00A923E0">
        <w:rPr>
          <w:rFonts w:asciiTheme="minorHAnsi" w:eastAsiaTheme="minorHAnsi" w:hAnsiTheme="minorHAnsi"/>
          <w:color w:val="auto"/>
          <w:sz w:val="22"/>
          <w:szCs w:val="22"/>
          <w:lang w:val="en-AU" w:eastAsia="en-US" w:bidi="ar-SA"/>
        </w:rPr>
        <w:t>experienced</w:t>
      </w:r>
      <w:r w:rsidRPr="00A923E0">
        <w:rPr>
          <w:rFonts w:asciiTheme="minorHAnsi" w:eastAsiaTheme="minorHAnsi" w:hAnsiTheme="minorHAnsi"/>
          <w:color w:val="auto"/>
          <w:sz w:val="22"/>
          <w:szCs w:val="22"/>
          <w:lang w:val="en-AU" w:eastAsia="en-US" w:bidi="ar-SA"/>
        </w:rPr>
        <w:t>. They were requested to position themselves on this grid</w:t>
      </w:r>
      <w:r w:rsidR="0045797D" w:rsidRPr="00A923E0">
        <w:rPr>
          <w:rFonts w:asciiTheme="minorHAnsi" w:eastAsiaTheme="minorHAnsi" w:hAnsiTheme="minorHAnsi"/>
          <w:color w:val="auto"/>
          <w:sz w:val="22"/>
          <w:szCs w:val="22"/>
          <w:lang w:val="en-AU" w:eastAsia="en-US" w:bidi="ar-SA"/>
        </w:rPr>
        <w:t xml:space="preserve">, </w:t>
      </w:r>
      <w:r w:rsidR="003C76CD">
        <w:rPr>
          <w:rFonts w:asciiTheme="minorHAnsi" w:eastAsiaTheme="minorHAnsi" w:hAnsiTheme="minorHAnsi"/>
          <w:color w:val="auto"/>
          <w:sz w:val="22"/>
          <w:szCs w:val="22"/>
          <w:lang w:val="en-AU" w:eastAsia="en-US" w:bidi="ar-SA"/>
        </w:rPr>
        <w:t>to indicate</w:t>
      </w:r>
      <w:r w:rsidR="0045797D" w:rsidRPr="00A923E0">
        <w:rPr>
          <w:rFonts w:asciiTheme="minorHAnsi" w:eastAsiaTheme="minorHAnsi" w:hAnsiTheme="minorHAnsi"/>
          <w:color w:val="auto"/>
          <w:sz w:val="22"/>
          <w:szCs w:val="22"/>
          <w:lang w:val="en-AU" w:eastAsia="en-US" w:bidi="ar-SA"/>
        </w:rPr>
        <w:t xml:space="preserve"> high or low levels of each</w:t>
      </w:r>
      <w:r w:rsidRPr="00A923E0">
        <w:rPr>
          <w:rFonts w:asciiTheme="minorHAnsi" w:eastAsiaTheme="minorHAnsi" w:hAnsiTheme="minorHAnsi"/>
          <w:color w:val="auto"/>
          <w:sz w:val="22"/>
          <w:szCs w:val="22"/>
          <w:lang w:val="en-AU" w:eastAsia="en-US" w:bidi="ar-SA"/>
        </w:rPr>
        <w:t>.</w:t>
      </w:r>
    </w:p>
    <w:p w:rsidR="000B72E5" w:rsidRPr="00A923E0" w:rsidRDefault="00642463">
      <w:pPr>
        <w:pStyle w:val="ListBullet3"/>
        <w:rPr>
          <w:rFonts w:asciiTheme="minorHAnsi" w:eastAsiaTheme="minorHAnsi" w:hAnsiTheme="minorHAnsi"/>
          <w:color w:val="auto"/>
          <w:sz w:val="22"/>
          <w:szCs w:val="22"/>
          <w:lang w:val="en-AU" w:eastAsia="en-US" w:bidi="ar-SA"/>
        </w:rPr>
      </w:pPr>
      <w:r w:rsidRPr="00A923E0">
        <w:rPr>
          <w:rFonts w:asciiTheme="minorHAnsi" w:eastAsiaTheme="minorHAnsi" w:hAnsiTheme="minorHAnsi"/>
          <w:color w:val="auto"/>
          <w:sz w:val="22"/>
          <w:szCs w:val="22"/>
          <w:lang w:val="en-AU" w:eastAsia="en-US" w:bidi="ar-SA"/>
        </w:rPr>
        <w:t>Narrative</w:t>
      </w:r>
      <w:r w:rsidR="00513C90" w:rsidRPr="00A923E0">
        <w:rPr>
          <w:rFonts w:asciiTheme="minorHAnsi" w:eastAsiaTheme="minorHAnsi" w:hAnsiTheme="minorHAnsi"/>
          <w:color w:val="auto"/>
          <w:sz w:val="22"/>
          <w:szCs w:val="22"/>
          <w:lang w:val="en-AU" w:eastAsia="en-US" w:bidi="ar-SA"/>
        </w:rPr>
        <w:t xml:space="preserve">s: </w:t>
      </w:r>
      <w:r w:rsidRPr="00A923E0">
        <w:rPr>
          <w:rFonts w:asciiTheme="minorHAnsi" w:eastAsiaTheme="minorHAnsi" w:hAnsiTheme="minorHAnsi"/>
          <w:color w:val="auto"/>
          <w:sz w:val="22"/>
          <w:szCs w:val="22"/>
          <w:lang w:val="en-AU" w:eastAsia="en-US" w:bidi="ar-SA"/>
        </w:rPr>
        <w:t xml:space="preserve">Teachers who participated in the interviews were asked to discuss critical incidents, and associated feelings, that they had experienced during their teaching. </w:t>
      </w:r>
    </w:p>
    <w:p w:rsidR="00642463" w:rsidRDefault="007B6D0A" w:rsidP="00073B55">
      <w:r>
        <w:lastRenderedPageBreak/>
        <w:t xml:space="preserve">The findings from the interviews </w:t>
      </w:r>
      <w:r w:rsidR="00513C90">
        <w:t xml:space="preserve">and </w:t>
      </w:r>
      <w:r>
        <w:t xml:space="preserve">journals </w:t>
      </w:r>
      <w:r w:rsidR="0045797D">
        <w:t>under</w:t>
      </w:r>
      <w:r>
        <w:t>went a process of data reduction into themes that were common across the group</w:t>
      </w:r>
      <w:r w:rsidR="00683CE5">
        <w:t xml:space="preserve"> using established open coding analytical methods (</w:t>
      </w:r>
      <w:proofErr w:type="spellStart"/>
      <w:r w:rsidR="00683CE5">
        <w:t>Liamputtong</w:t>
      </w:r>
      <w:proofErr w:type="spellEnd"/>
      <w:r w:rsidR="00683CE5">
        <w:t xml:space="preserve"> &amp; </w:t>
      </w:r>
      <w:proofErr w:type="spellStart"/>
      <w:r w:rsidR="00683CE5">
        <w:t>Ezzy</w:t>
      </w:r>
      <w:proofErr w:type="spellEnd"/>
      <w:r w:rsidR="00683CE5">
        <w:t>, 2005)</w:t>
      </w:r>
      <w:r w:rsidR="000879D5">
        <w:t>.</w:t>
      </w:r>
      <w:r w:rsidR="0045797D">
        <w:t xml:space="preserve"> T</w:t>
      </w:r>
      <w:r>
        <w:t xml:space="preserve">hese themes were compared to themes arising in an analysis of the literature on retention and </w:t>
      </w:r>
      <w:r w:rsidR="003C76CD">
        <w:t xml:space="preserve">from </w:t>
      </w:r>
      <w:r>
        <w:t xml:space="preserve">discussion with beginning teacher facilitators to identify those factors that a) were central to decisions of teachers to stay in the profession and b) could be addressed in some way by educational administrators. So for example, </w:t>
      </w:r>
      <w:r w:rsidR="00200054">
        <w:t>personal factors such as intention to start a family were not included</w:t>
      </w:r>
      <w:r>
        <w:t xml:space="preserve">. </w:t>
      </w:r>
    </w:p>
    <w:p w:rsidR="0074200C" w:rsidRPr="0074200C" w:rsidRDefault="007B6D0A" w:rsidP="0074200C">
      <w:pPr>
        <w:rPr>
          <w:i/>
        </w:rPr>
      </w:pPr>
      <w:r>
        <w:t xml:space="preserve">Once the factors were identified they were </w:t>
      </w:r>
      <w:r w:rsidR="006F414E">
        <w:t xml:space="preserve">placed </w:t>
      </w:r>
      <w:r>
        <w:t xml:space="preserve">into a BWS and sent to beginning teachers in an online format. The value of using BWS and </w:t>
      </w:r>
      <w:r w:rsidR="00F9008F">
        <w:t xml:space="preserve">experimental design theory in the form of BIBDs is that they allowed the researchers to address the question of what factors beginning teachers value and rank the factors in order of </w:t>
      </w:r>
      <w:r w:rsidR="00200054">
        <w:t xml:space="preserve">relative </w:t>
      </w:r>
      <w:r w:rsidR="00F9008F">
        <w:t>importance</w:t>
      </w:r>
      <w:r w:rsidR="00200054">
        <w:t xml:space="preserve"> on a comparable ratio scale</w:t>
      </w:r>
      <w:r w:rsidR="00513C90">
        <w:t xml:space="preserve"> (Marley and Louviere 2005)</w:t>
      </w:r>
      <w:r w:rsidR="00F9008F">
        <w:t>.</w:t>
      </w:r>
      <w:r w:rsidR="00692A92">
        <w:t xml:space="preserve"> </w:t>
      </w:r>
      <w:r w:rsidR="00692A92" w:rsidRPr="00425E05">
        <w:t>That is, the BWS was applied as a quantitative stage of the research to</w:t>
      </w:r>
      <w:r w:rsidR="00425E05" w:rsidRPr="00425E05">
        <w:t xml:space="preserve"> further elaborate on the importance</w:t>
      </w:r>
      <w:r w:rsidR="00692A92" w:rsidRPr="00425E05">
        <w:t xml:space="preserve"> </w:t>
      </w:r>
      <w:r w:rsidR="00425E05" w:rsidRPr="00425E05">
        <w:t>of those factors identified in the qualitative stage of the research.</w:t>
      </w:r>
      <w:r w:rsidR="0074200C">
        <w:br/>
      </w:r>
    </w:p>
    <w:p w:rsidR="0074200C" w:rsidRPr="0074200C" w:rsidRDefault="00F7025F" w:rsidP="0074200C">
      <w:pPr>
        <w:rPr>
          <w:i/>
        </w:rPr>
      </w:pPr>
      <w:r w:rsidRPr="00F7025F">
        <w:rPr>
          <w:i/>
        </w:rPr>
        <w:t xml:space="preserve">3.2 </w:t>
      </w:r>
      <w:r w:rsidR="0074200C">
        <w:rPr>
          <w:i/>
        </w:rPr>
        <w:t xml:space="preserve">Quantitative Research: </w:t>
      </w:r>
      <w:r w:rsidRPr="00F7025F">
        <w:rPr>
          <w:i/>
        </w:rPr>
        <w:t xml:space="preserve">Best Worst Scaling </w:t>
      </w:r>
      <w:r w:rsidR="004B4818">
        <w:rPr>
          <w:i/>
        </w:rPr>
        <w:t>framework</w:t>
      </w:r>
    </w:p>
    <w:p w:rsidR="0074200C" w:rsidRDefault="0074200C" w:rsidP="0074200C">
      <w:r>
        <w:t xml:space="preserve">This part of the study was developed to understand the importance that early career teachers place on various factors that may influence them to remain in the profession. The task appeared online and respondents clicked a radio button to indicate what was most and least important among items presented in each set. An example of the task is presented in Figure 1. The task was a little more complicated than others because teachers were asked the question of most and least importance twice. The additional two questions provided complete ranking information of all items listed in any one set and all items overall. </w:t>
      </w:r>
    </w:p>
    <w:p w:rsidR="004B4818" w:rsidRPr="00E540F1" w:rsidRDefault="004B4818" w:rsidP="004B4818">
      <w:r w:rsidRPr="00E540F1">
        <w:t xml:space="preserve">The analysis involved counting the number of times an item is ranked best (B-score) and the number of times it is ranked worst (W-score). There are a number of ways to calculate an overall score of importance, a simple one being the difference in the two scores, or to take the square root of the ratio of the two scores (Marley &amp; Louviere, 2005). </w:t>
      </w:r>
      <w:r w:rsidR="000879D5" w:rsidRPr="00E540F1">
        <w:t xml:space="preserve">In this project, the latter method was used, </w:t>
      </w:r>
      <w:proofErr w:type="spellStart"/>
      <w:r w:rsidR="000879D5" w:rsidRPr="00E540F1">
        <w:t>ie</w:t>
      </w:r>
      <w:proofErr w:type="spellEnd"/>
      <w:r w:rsidR="000879D5" w:rsidRPr="00E540F1">
        <w:t xml:space="preserve"> the square root of the best score divided by the worst score (i.e. </w:t>
      </w:r>
      <w:proofErr w:type="spellStart"/>
      <w:proofErr w:type="gramStart"/>
      <w:r w:rsidR="000879D5" w:rsidRPr="00E540F1">
        <w:t>Sqrt</w:t>
      </w:r>
      <w:proofErr w:type="spellEnd"/>
      <w:r w:rsidR="000879D5" w:rsidRPr="00E540F1">
        <w:t>(</w:t>
      </w:r>
      <w:proofErr w:type="gramEnd"/>
      <w:r w:rsidR="000879D5" w:rsidRPr="00E540F1">
        <w:t>B/W)</w:t>
      </w:r>
      <w:r w:rsidR="00014CA4">
        <w:t>)</w:t>
      </w:r>
      <w:r w:rsidR="000879D5" w:rsidRPr="00E540F1">
        <w:t xml:space="preserve"> was calculated. </w:t>
      </w:r>
      <w:r w:rsidRPr="00E540F1">
        <w:t xml:space="preserve">The scores </w:t>
      </w:r>
      <w:r w:rsidR="000879D5" w:rsidRPr="00E540F1">
        <w:t xml:space="preserve">thus derived </w:t>
      </w:r>
      <w:r w:rsidRPr="00E540F1">
        <w:t xml:space="preserve">can be interpreted as having ratio properties. For example, if item A has a score of 6 and item B has a score of 2, then item A is 3 times as important as item B in an individual’s decision making. </w:t>
      </w:r>
    </w:p>
    <w:p w:rsidR="004B4818" w:rsidRDefault="004B4818" w:rsidP="0074200C"/>
    <w:p w:rsidR="0074200C" w:rsidRDefault="0074200C" w:rsidP="0074200C">
      <w:pPr>
        <w:jc w:val="center"/>
        <w:rPr>
          <w:i/>
        </w:rPr>
      </w:pPr>
      <w:r>
        <w:rPr>
          <w:i/>
        </w:rPr>
        <w:t>----------------------------------------</w:t>
      </w:r>
    </w:p>
    <w:p w:rsidR="0074200C" w:rsidRDefault="0074200C" w:rsidP="0074200C">
      <w:pPr>
        <w:jc w:val="center"/>
        <w:rPr>
          <w:i/>
        </w:rPr>
      </w:pPr>
      <w:r>
        <w:rPr>
          <w:i/>
        </w:rPr>
        <w:t xml:space="preserve">Insert Figure 1 about here </w:t>
      </w:r>
    </w:p>
    <w:p w:rsidR="0074200C" w:rsidRDefault="0074200C" w:rsidP="0074200C">
      <w:pPr>
        <w:jc w:val="center"/>
        <w:rPr>
          <w:i/>
        </w:rPr>
      </w:pPr>
      <w:r>
        <w:rPr>
          <w:i/>
        </w:rPr>
        <w:t>----------------------------------------</w:t>
      </w:r>
    </w:p>
    <w:p w:rsidR="00C7499C" w:rsidRPr="00025FD6" w:rsidRDefault="0074200C">
      <w:pPr>
        <w:rPr>
          <w:i/>
        </w:rPr>
      </w:pPr>
      <w:r>
        <w:rPr>
          <w:i/>
        </w:rPr>
        <w:t>3</w:t>
      </w:r>
      <w:r w:rsidR="00025FD6" w:rsidRPr="00025FD6">
        <w:rPr>
          <w:i/>
        </w:rPr>
        <w:t xml:space="preserve">.2.1 </w:t>
      </w:r>
      <w:r w:rsidR="00F921A7" w:rsidRPr="00025FD6">
        <w:rPr>
          <w:i/>
        </w:rPr>
        <w:t xml:space="preserve">BWS and </w:t>
      </w:r>
      <w:r w:rsidR="006945FA" w:rsidRPr="00025FD6">
        <w:rPr>
          <w:i/>
        </w:rPr>
        <w:t xml:space="preserve">Balanced Incomplete Block Designs (BIBDs) </w:t>
      </w:r>
    </w:p>
    <w:p w:rsidR="00C7499C" w:rsidRDefault="0069281D">
      <w:r>
        <w:t xml:space="preserve">The subset of items to show in each set is determined by an experimental design, usually a balanced incomplete block design (BIBD). BIBDs are useful as they arrange all the items as efficiently as possible reducing the number of sets that are required to learn information about importance. The </w:t>
      </w:r>
      <w:r>
        <w:lastRenderedPageBreak/>
        <w:t xml:space="preserve">result is that each item occurs equally often and a controlled number of times with each other item (co-occurrence). </w:t>
      </w:r>
      <w:r w:rsidR="00FC05F7">
        <w:t xml:space="preserve">To illustrate, suppose that there were only seven factors that were deemed important to </w:t>
      </w:r>
      <w:r w:rsidR="002A6508">
        <w:t>beginning teachers</w:t>
      </w:r>
      <w:r w:rsidR="00FC05F7">
        <w:t xml:space="preserve">. One could ask to rate each of the seven factors one at a time on a </w:t>
      </w:r>
      <w:proofErr w:type="spellStart"/>
      <w:r w:rsidR="00FC05F7">
        <w:t>Likert</w:t>
      </w:r>
      <w:proofErr w:type="spellEnd"/>
      <w:r w:rsidR="00FC05F7">
        <w:t xml:space="preserve"> scale, but without any implicit trade-off required by the task, the researcher may conclude that each factor is very important. Alternatively, the researcher could arrange the seven items into sets of </w:t>
      </w:r>
      <w:r w:rsidR="00F921A7">
        <w:t>four and ask each respondent to choose the one item that is most important and the one item that i</w:t>
      </w:r>
      <w:r w:rsidR="002A6508">
        <w:t>s</w:t>
      </w:r>
      <w:r w:rsidR="00F921A7">
        <w:t xml:space="preserve"> least important. To do so would require arranging the seven items into sets of five: this would result in </w:t>
      </w:r>
      <w:r w:rsidR="00F921A7">
        <w:rPr>
          <w:vertAlign w:val="superscript"/>
        </w:rPr>
        <w:t>7</w:t>
      </w:r>
      <w:r w:rsidR="00F921A7">
        <w:t>C</w:t>
      </w:r>
      <w:r w:rsidR="00F921A7">
        <w:rPr>
          <w:vertAlign w:val="subscript"/>
        </w:rPr>
        <w:t xml:space="preserve">4 </w:t>
      </w:r>
      <w:r w:rsidR="00F921A7" w:rsidRPr="00F921A7">
        <w:t xml:space="preserve">or </w:t>
      </w:r>
      <w:r w:rsidR="00F921A7">
        <w:t xml:space="preserve">35 sets. </w:t>
      </w:r>
    </w:p>
    <w:p w:rsidR="0069281D" w:rsidRDefault="00F921A7" w:rsidP="00073B55">
      <w:r>
        <w:t xml:space="preserve">A BIBD, however, allows a considerable reduction in the number of sets of the same size to be evaluated with minimal loss of statistical information and impact on bias. For example, instead of having all combinations, a </w:t>
      </w:r>
      <w:r w:rsidR="0069281D">
        <w:t xml:space="preserve">BIBD </w:t>
      </w:r>
      <w:r>
        <w:t xml:space="preserve">exists such that </w:t>
      </w:r>
      <w:r w:rsidR="0069281D">
        <w:t xml:space="preserve">each </w:t>
      </w:r>
      <w:r>
        <w:t xml:space="preserve">of the seven </w:t>
      </w:r>
      <w:r w:rsidR="0069281D">
        <w:t>item</w:t>
      </w:r>
      <w:r>
        <w:t>s</w:t>
      </w:r>
      <w:r w:rsidR="0069281D">
        <w:t xml:space="preserve"> </w:t>
      </w:r>
      <w:r>
        <w:t xml:space="preserve">can </w:t>
      </w:r>
      <w:r w:rsidR="0069281D">
        <w:t xml:space="preserve">be considered </w:t>
      </w:r>
      <w:r>
        <w:t xml:space="preserve">in sets of four </w:t>
      </w:r>
      <w:r w:rsidR="0069281D">
        <w:t>on four occasions, twice with each other item</w:t>
      </w:r>
      <w:r>
        <w:t>.</w:t>
      </w:r>
      <w:r w:rsidR="0069281D">
        <w:t xml:space="preserve"> </w:t>
      </w:r>
      <w:r w:rsidR="001D4666">
        <w:t xml:space="preserve">For example, in Figure 2 item 4 appears on four occasions and appears in the same set as item 5 on two occasions. </w:t>
      </w:r>
      <w:r>
        <w:t>This results in a total of seven rather than 35 sets.</w:t>
      </w:r>
      <w:r w:rsidR="001D4666">
        <w:t xml:space="preserve"> </w:t>
      </w:r>
    </w:p>
    <w:p w:rsidR="006755F8" w:rsidRDefault="006755F8" w:rsidP="006755F8">
      <w:pPr>
        <w:jc w:val="center"/>
        <w:rPr>
          <w:i/>
        </w:rPr>
      </w:pPr>
      <w:r>
        <w:rPr>
          <w:i/>
        </w:rPr>
        <w:t>----------------------------------------</w:t>
      </w:r>
    </w:p>
    <w:p w:rsidR="006755F8" w:rsidRDefault="006755F8" w:rsidP="006755F8">
      <w:pPr>
        <w:jc w:val="center"/>
        <w:rPr>
          <w:i/>
        </w:rPr>
      </w:pPr>
      <w:r>
        <w:rPr>
          <w:i/>
        </w:rPr>
        <w:t xml:space="preserve">Insert Figure 2 about here </w:t>
      </w:r>
    </w:p>
    <w:p w:rsidR="006755F8" w:rsidRDefault="006755F8" w:rsidP="006755F8">
      <w:pPr>
        <w:jc w:val="center"/>
        <w:rPr>
          <w:i/>
        </w:rPr>
      </w:pPr>
      <w:r>
        <w:rPr>
          <w:i/>
        </w:rPr>
        <w:t>----------------------------------------</w:t>
      </w:r>
    </w:p>
    <w:p w:rsidR="001D4666" w:rsidRDefault="0069281D" w:rsidP="00073B55">
      <w:pPr>
        <w:rPr>
          <w:b/>
          <w:i/>
        </w:rPr>
      </w:pPr>
      <w:r>
        <w:t>Sets would then be formed from each row</w:t>
      </w:r>
      <w:r w:rsidR="00F921A7">
        <w:t xml:space="preserve"> of the BIBD design. For example, taking the last row of the BIBD design in Figure 2, a </w:t>
      </w:r>
      <w:r>
        <w:t xml:space="preserve">respondent would </w:t>
      </w:r>
      <w:r w:rsidR="00F921A7">
        <w:t xml:space="preserve">see the </w:t>
      </w:r>
      <w:r>
        <w:t xml:space="preserve">four items </w:t>
      </w:r>
      <w:r w:rsidR="00F921A7">
        <w:t xml:space="preserve">that are </w:t>
      </w:r>
      <w:r>
        <w:t>in set 7 (items 1,2,5,6)</w:t>
      </w:r>
      <w:r w:rsidR="001D4666">
        <w:t xml:space="preserve">. The respondent would then be </w:t>
      </w:r>
      <w:r>
        <w:t xml:space="preserve">asked to choose the </w:t>
      </w:r>
      <w:r w:rsidR="00FA5B8A">
        <w:t xml:space="preserve">item that </w:t>
      </w:r>
      <w:r>
        <w:t>best</w:t>
      </w:r>
      <w:r w:rsidR="00FA5B8A">
        <w:t xml:space="preserve"> matches the desired criteria</w:t>
      </w:r>
      <w:r>
        <w:t xml:space="preserve"> and the </w:t>
      </w:r>
      <w:r w:rsidR="00FA5B8A">
        <w:t>item that least matches the desired criteria</w:t>
      </w:r>
      <w:r w:rsidR="001D4666">
        <w:t>. For example, in Figure 3, it appears the respondent believed item 1 to match the given criteria best out of items 1, 2 5 and 6 whilst item 5 was the least appropriate in matching the given criteria.</w:t>
      </w:r>
    </w:p>
    <w:p w:rsidR="006755F8" w:rsidRDefault="006755F8" w:rsidP="006755F8">
      <w:pPr>
        <w:jc w:val="center"/>
        <w:rPr>
          <w:i/>
        </w:rPr>
      </w:pPr>
      <w:r>
        <w:rPr>
          <w:i/>
        </w:rPr>
        <w:t>----------------------------------------</w:t>
      </w:r>
    </w:p>
    <w:p w:rsidR="006755F8" w:rsidRDefault="006755F8" w:rsidP="006755F8">
      <w:pPr>
        <w:jc w:val="center"/>
        <w:rPr>
          <w:i/>
        </w:rPr>
      </w:pPr>
      <w:r>
        <w:rPr>
          <w:i/>
        </w:rPr>
        <w:t xml:space="preserve">Insert Figure 3 about here </w:t>
      </w:r>
    </w:p>
    <w:p w:rsidR="006755F8" w:rsidRDefault="006755F8" w:rsidP="006755F8">
      <w:pPr>
        <w:jc w:val="center"/>
        <w:rPr>
          <w:i/>
        </w:rPr>
      </w:pPr>
      <w:r>
        <w:rPr>
          <w:i/>
        </w:rPr>
        <w:t>----------------------------------------</w:t>
      </w:r>
    </w:p>
    <w:p w:rsidR="00105011" w:rsidRPr="00025FD6" w:rsidRDefault="0074200C" w:rsidP="00105011">
      <w:pPr>
        <w:rPr>
          <w:i/>
        </w:rPr>
      </w:pPr>
      <w:r>
        <w:rPr>
          <w:i/>
        </w:rPr>
        <w:t>3</w:t>
      </w:r>
      <w:r w:rsidR="00105011" w:rsidRPr="00025FD6">
        <w:rPr>
          <w:i/>
        </w:rPr>
        <w:t>.2.</w:t>
      </w:r>
      <w:r w:rsidR="00105011">
        <w:rPr>
          <w:i/>
        </w:rPr>
        <w:t>2</w:t>
      </w:r>
      <w:r w:rsidR="00105011" w:rsidRPr="00025FD6">
        <w:rPr>
          <w:i/>
        </w:rPr>
        <w:t xml:space="preserve"> </w:t>
      </w:r>
      <w:r w:rsidR="00105011">
        <w:rPr>
          <w:i/>
        </w:rPr>
        <w:t xml:space="preserve">Application of </w:t>
      </w:r>
      <w:r w:rsidR="00105011" w:rsidRPr="00025FD6">
        <w:rPr>
          <w:i/>
        </w:rPr>
        <w:t>BWS BIBDs</w:t>
      </w:r>
      <w:r w:rsidR="00105011">
        <w:rPr>
          <w:i/>
        </w:rPr>
        <w:t xml:space="preserve"> to Factors Determining Teacher Retention</w:t>
      </w:r>
      <w:r w:rsidR="00105011" w:rsidRPr="00025FD6">
        <w:rPr>
          <w:i/>
        </w:rPr>
        <w:t xml:space="preserve"> </w:t>
      </w:r>
    </w:p>
    <w:p w:rsidR="00105011" w:rsidRDefault="00105011" w:rsidP="00073B55">
      <w:r>
        <w:t>BWS and comp</w:t>
      </w:r>
      <w:r w:rsidR="00840F2C">
        <w:t>le</w:t>
      </w:r>
      <w:r>
        <w:t>mentary use of BIBD allows factors to be evaluated by respondents using a fairly simple task that allows researchers to learn about relative importance of these factors in the most efficient manner possible. The previous literature and preceding qualitative research to the current research revealed many factors that may influence a teacher’s decision to remain with the profession. The objective of the next stage of the research was to rank and quantify these factors in order of perceived importance as nominate</w:t>
      </w:r>
      <w:r w:rsidR="00840F2C">
        <w:t>d</w:t>
      </w:r>
      <w:r>
        <w:t xml:space="preserve"> by beginning teachers.</w:t>
      </w:r>
    </w:p>
    <w:p w:rsidR="0069281D" w:rsidRDefault="0069281D" w:rsidP="00073B55">
      <w:r>
        <w:t>In the case of the BWS application to the</w:t>
      </w:r>
      <w:r w:rsidR="00F307BD">
        <w:t xml:space="preserve"> current study</w:t>
      </w:r>
      <w:r>
        <w:t xml:space="preserve">, there were 31 factors that needed to be arranged in terms of what most </w:t>
      </w:r>
      <w:r w:rsidR="00F307BD">
        <w:t>impacted</w:t>
      </w:r>
      <w:r>
        <w:t xml:space="preserve"> the decision of teachers to remain in the profession. A BIBD was constructed with 31 items, each item appearing 15 times, co-occurring twice with each other factor. Five items appear</w:t>
      </w:r>
      <w:r w:rsidR="00425E05">
        <w:t>ed</w:t>
      </w:r>
      <w:r>
        <w:t xml:space="preserve"> in each set, resulting in a total of 93 sets. This is a lot less than the full combination possible to learn about full ranking: a total of 169,911 sets. Nonetheless, rather </w:t>
      </w:r>
      <w:r>
        <w:lastRenderedPageBreak/>
        <w:t>than ask each respondent to evaluate all 93</w:t>
      </w:r>
      <w:r w:rsidR="00C659C8">
        <w:t xml:space="preserve"> </w:t>
      </w:r>
      <w:r>
        <w:t>sets, each individual consider</w:t>
      </w:r>
      <w:r w:rsidR="00C659C8">
        <w:t>ed</w:t>
      </w:r>
      <w:r>
        <w:t xml:space="preserve"> 12 sets only.</w:t>
      </w:r>
      <w:r w:rsidR="003C0A78">
        <w:t xml:space="preserve"> </w:t>
      </w:r>
      <w:r w:rsidR="00C659C8">
        <w:t xml:space="preserve">These 12 sets were randomly drawn from an overarching design based on repeated </w:t>
      </w:r>
      <w:r w:rsidR="00425E05">
        <w:t xml:space="preserve">altered </w:t>
      </w:r>
      <w:r w:rsidR="00C659C8">
        <w:t xml:space="preserve">versions of the 93 sets such that equal set </w:t>
      </w:r>
      <w:r w:rsidR="00425E05">
        <w:t xml:space="preserve">frequency </w:t>
      </w:r>
      <w:r w:rsidR="00C659C8">
        <w:t>occurred at the aggregate level.</w:t>
      </w:r>
    </w:p>
    <w:p w:rsidR="003B55BA" w:rsidRDefault="00025FD6">
      <w:pPr>
        <w:pStyle w:val="ListParagraph"/>
        <w:numPr>
          <w:ilvl w:val="0"/>
          <w:numId w:val="3"/>
        </w:numPr>
        <w:rPr>
          <w:b/>
        </w:rPr>
      </w:pPr>
      <w:r w:rsidRPr="00025FD6">
        <w:rPr>
          <w:b/>
        </w:rPr>
        <w:t>Results</w:t>
      </w:r>
      <w:r>
        <w:rPr>
          <w:b/>
        </w:rPr>
        <w:t xml:space="preserve"> </w:t>
      </w:r>
    </w:p>
    <w:p w:rsidR="00331A72" w:rsidRPr="00025FD6" w:rsidRDefault="006C727B" w:rsidP="00073B55">
      <w:pPr>
        <w:rPr>
          <w:i/>
        </w:rPr>
      </w:pPr>
      <w:r>
        <w:rPr>
          <w:i/>
        </w:rPr>
        <w:t>4</w:t>
      </w:r>
      <w:r w:rsidR="00025FD6" w:rsidRPr="00025FD6">
        <w:rPr>
          <w:i/>
        </w:rPr>
        <w:t xml:space="preserve">.1. </w:t>
      </w:r>
      <w:r w:rsidR="00331A72" w:rsidRPr="00025FD6">
        <w:rPr>
          <w:i/>
        </w:rPr>
        <w:t>Respondents</w:t>
      </w:r>
    </w:p>
    <w:p w:rsidR="00200054" w:rsidRDefault="00200054" w:rsidP="00073B55">
      <w:r>
        <w:t xml:space="preserve">An online survey was prepared as described above in which the 31 factors were offered in different combinations. </w:t>
      </w:r>
      <w:r w:rsidR="002B2BAC">
        <w:t>A link was sent out</w:t>
      </w:r>
      <w:r w:rsidR="00331A72">
        <w:t xml:space="preserve"> by email</w:t>
      </w:r>
      <w:r w:rsidR="002B2BAC">
        <w:t xml:space="preserve"> to 1700 beginning teachers on a department of education database in </w:t>
      </w:r>
      <w:r w:rsidR="00B73B5E">
        <w:t xml:space="preserve">an Australian state. Teachers were invited to respond if they had started teaching within 5 years of the survey date. 258 eligible teachers completed the survey, a response rate of 15.1%. </w:t>
      </w:r>
    </w:p>
    <w:p w:rsidR="00327DFC" w:rsidRDefault="00327DFC" w:rsidP="00327DFC">
      <w:r w:rsidRPr="00863559">
        <w:t xml:space="preserve">The majority of participants were female (76%; n=197) with two thirds aged between 21 and 30 years (66%; n=170) and another 21% (n=54) aged between 31 and 40 years. No respondents were under the age of 21. In terms of time in the profession, close to one third had started teaching less than a year prior to undertaking the survey (32%; n=83), close to another third started between one and two years prior (34%; n=35), and another 14% (n=35) represented those who had been teaching for between </w:t>
      </w:r>
      <w:r>
        <w:t xml:space="preserve">two </w:t>
      </w:r>
      <w:r w:rsidRPr="00863559">
        <w:t xml:space="preserve">and </w:t>
      </w:r>
      <w:r>
        <w:t xml:space="preserve">three </w:t>
      </w:r>
      <w:r w:rsidRPr="00863559">
        <w:t xml:space="preserve">years. The remaining 20% had been teaching between three and five years. </w:t>
      </w:r>
    </w:p>
    <w:p w:rsidR="00327DFC" w:rsidRDefault="00327DFC" w:rsidP="00327DFC">
      <w:r w:rsidRPr="00B75600">
        <w:t xml:space="preserve">Participants were asked </w:t>
      </w:r>
      <w:r w:rsidR="00840F2C">
        <w:t xml:space="preserve">to </w:t>
      </w:r>
      <w:r w:rsidR="00DB7760">
        <w:t xml:space="preserve">use a five-point </w:t>
      </w:r>
      <w:proofErr w:type="spellStart"/>
      <w:r w:rsidR="00DB7760">
        <w:t>Likert</w:t>
      </w:r>
      <w:proofErr w:type="spellEnd"/>
      <w:r w:rsidR="00DB7760">
        <w:t xml:space="preserve"> scale </w:t>
      </w:r>
      <w:r w:rsidRPr="00B75600">
        <w:t xml:space="preserve">to rate the extent to which they believed they were emotionally prepared for teaching </w:t>
      </w:r>
      <w:r w:rsidR="00DB7760">
        <w:t>when they first started in the profession</w:t>
      </w:r>
      <w:r w:rsidRPr="00B75600">
        <w:t>. The responses followed an inverse-U shape</w:t>
      </w:r>
      <w:r w:rsidR="00DB7760">
        <w:t xml:space="preserve"> skewed towards most being prepared</w:t>
      </w:r>
      <w:r w:rsidRPr="00B75600">
        <w:t xml:space="preserve"> </w:t>
      </w:r>
      <w:r>
        <w:t xml:space="preserve">(M=2.69; </w:t>
      </w:r>
      <w:r w:rsidRPr="00B75600">
        <w:t xml:space="preserve">SD=1.18) with </w:t>
      </w:r>
      <w:r w:rsidR="00B65FC4" w:rsidRPr="00B75600">
        <w:t xml:space="preserve">17% indicating a ‘1’ suggesting they were highly prepared </w:t>
      </w:r>
      <w:r w:rsidR="00B65FC4">
        <w:t xml:space="preserve">and </w:t>
      </w:r>
      <w:r w:rsidRPr="00B75600">
        <w:t xml:space="preserve">7% indicating a ‘5’ for not at all prepared. </w:t>
      </w:r>
      <w:r>
        <w:t xml:space="preserve">The majority of participants felt </w:t>
      </w:r>
      <w:r w:rsidRPr="00B75600">
        <w:t xml:space="preserve">their personal life was highly disrupted when </w:t>
      </w:r>
      <w:r>
        <w:t xml:space="preserve">they </w:t>
      </w:r>
      <w:r w:rsidRPr="00B75600">
        <w:t xml:space="preserve">commenced teaching </w:t>
      </w:r>
      <w:r>
        <w:t xml:space="preserve">with </w:t>
      </w:r>
      <w:r w:rsidRPr="00B75600">
        <w:t xml:space="preserve">50% </w:t>
      </w:r>
      <w:r>
        <w:t xml:space="preserve">of participants selecting a ‘1’ </w:t>
      </w:r>
      <w:r w:rsidR="00B65FC4">
        <w:t xml:space="preserve">(‘highly disrupted’) </w:t>
      </w:r>
      <w:r w:rsidRPr="00B75600">
        <w:t xml:space="preserve">and only 16% </w:t>
      </w:r>
      <w:r>
        <w:t xml:space="preserve">selecting a ‘5’ to indicate they felt </w:t>
      </w:r>
      <w:r w:rsidRPr="00B75600">
        <w:t>no disruption at all (M=1.99; S=1.24)</w:t>
      </w:r>
      <w:r>
        <w:t xml:space="preserve">. </w:t>
      </w:r>
      <w:r w:rsidR="00B65FC4">
        <w:t>T</w:t>
      </w:r>
      <w:r w:rsidRPr="00B75600">
        <w:t xml:space="preserve">here was considerable similarity among participants in terms of the extent to which they </w:t>
      </w:r>
      <w:r>
        <w:t xml:space="preserve">knew </w:t>
      </w:r>
      <w:r w:rsidRPr="00B75600">
        <w:t xml:space="preserve">why they </w:t>
      </w:r>
      <w:r>
        <w:t xml:space="preserve">were </w:t>
      </w:r>
      <w:r w:rsidRPr="00B75600">
        <w:t>teacher</w:t>
      </w:r>
      <w:r>
        <w:t>s</w:t>
      </w:r>
      <w:r w:rsidRPr="00B75600">
        <w:t>: 86% indicated a ‘1’ or ‘2’ representing a strong sense of purpose (</w:t>
      </w:r>
      <w:r>
        <w:t>M</w:t>
      </w:r>
      <w:r w:rsidRPr="00B75600">
        <w:t>=</w:t>
      </w:r>
      <w:r>
        <w:t xml:space="preserve">1.71; SD=0.95) rather than </w:t>
      </w:r>
      <w:r w:rsidR="00B65FC4">
        <w:t xml:space="preserve">a ‘4’ or ‘5’ (5%; n=14) who felt they had </w:t>
      </w:r>
      <w:r>
        <w:t>little or no sense of purpose</w:t>
      </w:r>
      <w:r w:rsidR="00B65FC4">
        <w:t xml:space="preserve"> as teachers</w:t>
      </w:r>
      <w:r>
        <w:t>.</w:t>
      </w:r>
    </w:p>
    <w:p w:rsidR="00327DFC" w:rsidRPr="00200054" w:rsidRDefault="00327DFC" w:rsidP="00327DFC">
      <w:r w:rsidRPr="00863559">
        <w:t xml:space="preserve">The majority of participants taught at schools located in urban areas (71%), rather than rural areas (29%; n=76), with only 5% of schools </w:t>
      </w:r>
      <w:r>
        <w:t xml:space="preserve">that participants taught at </w:t>
      </w:r>
      <w:r w:rsidRPr="00863559">
        <w:t xml:space="preserve">having less than 100 students. </w:t>
      </w:r>
      <w:r w:rsidR="00B65FC4">
        <w:t>Instead, p</w:t>
      </w:r>
      <w:r w:rsidRPr="00863559">
        <w:t>articipants were largely represented by those that taught at schools with over 500 students (54%), followed by those with 300 to 500 enrolments (22%).</w:t>
      </w:r>
    </w:p>
    <w:p w:rsidR="000B72E5" w:rsidRPr="00025FD6" w:rsidRDefault="006C727B">
      <w:pPr>
        <w:rPr>
          <w:i/>
        </w:rPr>
      </w:pPr>
      <w:r>
        <w:rPr>
          <w:i/>
        </w:rPr>
        <w:t>4</w:t>
      </w:r>
      <w:r w:rsidR="00025FD6" w:rsidRPr="00025FD6">
        <w:rPr>
          <w:i/>
        </w:rPr>
        <w:t xml:space="preserve">.2. BWS </w:t>
      </w:r>
      <w:r w:rsidR="00760DD9" w:rsidRPr="00025FD6">
        <w:rPr>
          <w:i/>
        </w:rPr>
        <w:t>Analysis and Results</w:t>
      </w:r>
    </w:p>
    <w:p w:rsidR="000B72E5" w:rsidRDefault="00513C90">
      <w:r>
        <w:t>The best-worst scores relating to the 31 factors that beginning teachers evaluated in the task are listed</w:t>
      </w:r>
      <w:r w:rsidR="001154C1">
        <w:t>, in order of importance,</w:t>
      </w:r>
      <w:r>
        <w:t xml:space="preserve"> in Table 1. </w:t>
      </w:r>
      <w:r w:rsidR="00955C7B">
        <w:t>For convenience, t</w:t>
      </w:r>
      <w:r w:rsidR="007515A5">
        <w:t xml:space="preserve">he </w:t>
      </w:r>
      <w:r w:rsidR="00955C7B">
        <w:t xml:space="preserve">scores </w:t>
      </w:r>
      <w:r w:rsidR="007515A5">
        <w:t xml:space="preserve">have been </w:t>
      </w:r>
      <w:r w:rsidR="00955C7B">
        <w:t xml:space="preserve">sorted and </w:t>
      </w:r>
      <w:r w:rsidR="007515A5">
        <w:t xml:space="preserve">standardized with respect to the least important factor of the 31 items evaluated. The BWS scores can be interpreted in the following manner: the most important factor, student involvement, is 7.82 times more important to beginning teachers than the least important factor relating to socialising in terms of any decisions they make about remaining in the profession. Since the BWS scores have ratio properties, the ratio of one factor to any other is meaningful. For example, by taking the BWS score relating to student involvement (7.82) and dividing by the BWS score relating to school culture (3.03) </w:t>
      </w:r>
      <w:r w:rsidR="007515A5">
        <w:lastRenderedPageBreak/>
        <w:t>indicates that student involvement is 2.58 times more important than school culture, the 15</w:t>
      </w:r>
      <w:r w:rsidR="007515A5" w:rsidRPr="007515A5">
        <w:rPr>
          <w:vertAlign w:val="superscript"/>
        </w:rPr>
        <w:t>th</w:t>
      </w:r>
      <w:r w:rsidR="007515A5">
        <w:t xml:space="preserve"> most important factor.</w:t>
      </w:r>
    </w:p>
    <w:p w:rsidR="006755F8" w:rsidRDefault="006755F8" w:rsidP="006755F8">
      <w:pPr>
        <w:jc w:val="center"/>
        <w:rPr>
          <w:i/>
        </w:rPr>
      </w:pPr>
      <w:r>
        <w:rPr>
          <w:i/>
        </w:rPr>
        <w:t>----------------------------------------</w:t>
      </w:r>
    </w:p>
    <w:p w:rsidR="006755F8" w:rsidRDefault="006755F8" w:rsidP="006755F8">
      <w:pPr>
        <w:jc w:val="center"/>
        <w:rPr>
          <w:i/>
        </w:rPr>
      </w:pPr>
      <w:r>
        <w:rPr>
          <w:i/>
        </w:rPr>
        <w:t xml:space="preserve">Insert Table 1 about here </w:t>
      </w:r>
    </w:p>
    <w:p w:rsidR="006755F8" w:rsidRDefault="006755F8" w:rsidP="006755F8">
      <w:pPr>
        <w:jc w:val="center"/>
        <w:rPr>
          <w:i/>
        </w:rPr>
      </w:pPr>
      <w:r>
        <w:rPr>
          <w:i/>
        </w:rPr>
        <w:t>----------------------------------------</w:t>
      </w:r>
    </w:p>
    <w:p w:rsidR="003B55BA" w:rsidRDefault="00760DD9">
      <w:pPr>
        <w:pStyle w:val="ListParagraph"/>
        <w:numPr>
          <w:ilvl w:val="0"/>
          <w:numId w:val="3"/>
        </w:numPr>
        <w:rPr>
          <w:b/>
        </w:rPr>
      </w:pPr>
      <w:r w:rsidRPr="00025FD6">
        <w:rPr>
          <w:b/>
        </w:rPr>
        <w:t>Discussion</w:t>
      </w:r>
    </w:p>
    <w:p w:rsidR="000B72E5" w:rsidRDefault="0069281D">
      <w:r>
        <w:t xml:space="preserve">In summary, </w:t>
      </w:r>
      <w:r w:rsidR="00FA5B8A">
        <w:t xml:space="preserve">the use of </w:t>
      </w:r>
      <w:r>
        <w:t xml:space="preserve">BWS allowed the identification and reduction of items that are most important to </w:t>
      </w:r>
      <w:r w:rsidR="00844497">
        <w:t>beginning</w:t>
      </w:r>
      <w:r>
        <w:t xml:space="preserve"> teachers in their decision to remain in the profession. Given such a large list of items, ranking the entire list would have been difficult and rating items one at a time would not provide insights into relative importance. </w:t>
      </w:r>
      <w:r w:rsidR="00BC255A">
        <w:t>The BWS scaling results allow those who have an interest in the decisions of beginning teachers to understand which factors are most important to begin</w:t>
      </w:r>
      <w:r w:rsidR="00844497">
        <w:t>ning teachers relative to other</w:t>
      </w:r>
      <w:r w:rsidR="00BC255A">
        <w:t>s in terms of their decision to remain in their chosen profession. The insights relate to factors</w:t>
      </w:r>
      <w:r w:rsidR="00325BE6">
        <w:t xml:space="preserve"> that are actionable, at leas</w:t>
      </w:r>
      <w:r w:rsidR="00482720">
        <w:t>t</w:t>
      </w:r>
      <w:r w:rsidR="00325BE6">
        <w:t xml:space="preserve"> in theory; </w:t>
      </w:r>
      <w:r w:rsidR="0030533B">
        <w:t xml:space="preserve">it is </w:t>
      </w:r>
      <w:r w:rsidR="00325BE6">
        <w:t>recognise</w:t>
      </w:r>
      <w:r w:rsidR="0030533B">
        <w:t>d</w:t>
      </w:r>
      <w:r w:rsidR="00325BE6">
        <w:t xml:space="preserve"> that </w:t>
      </w:r>
      <w:r w:rsidR="0030533B">
        <w:t xml:space="preserve">addressing improvement on </w:t>
      </w:r>
      <w:r w:rsidR="00325BE6">
        <w:t>some items may be fin</w:t>
      </w:r>
      <w:r w:rsidR="00482720">
        <w:t>anc</w:t>
      </w:r>
      <w:r w:rsidR="00325BE6">
        <w:t>ially prohibitive</w:t>
      </w:r>
      <w:r w:rsidR="00BC255A">
        <w:t>. Several dominant themes emerge</w:t>
      </w:r>
      <w:r w:rsidR="00844497">
        <w:t>d</w:t>
      </w:r>
      <w:r w:rsidR="00BC255A">
        <w:t xml:space="preserve"> from the results and </w:t>
      </w:r>
      <w:r w:rsidR="00844497">
        <w:t>these are now</w:t>
      </w:r>
      <w:r w:rsidR="00BC255A">
        <w:t xml:space="preserve"> discussed.</w:t>
      </w:r>
    </w:p>
    <w:p w:rsidR="000B72E5" w:rsidRPr="00025FD6" w:rsidRDefault="006C727B">
      <w:pPr>
        <w:rPr>
          <w:i/>
        </w:rPr>
      </w:pPr>
      <w:r>
        <w:rPr>
          <w:i/>
        </w:rPr>
        <w:t>5</w:t>
      </w:r>
      <w:r w:rsidR="00025FD6" w:rsidRPr="00025FD6">
        <w:rPr>
          <w:i/>
        </w:rPr>
        <w:t>.1</w:t>
      </w:r>
      <w:r w:rsidR="00025FD6">
        <w:rPr>
          <w:i/>
        </w:rPr>
        <w:t>.</w:t>
      </w:r>
      <w:r w:rsidR="00025FD6" w:rsidRPr="00025FD6">
        <w:rPr>
          <w:i/>
        </w:rPr>
        <w:t xml:space="preserve"> Engagement</w:t>
      </w:r>
    </w:p>
    <w:p w:rsidR="000B72E5" w:rsidRDefault="00BC255A">
      <w:pPr>
        <w:rPr>
          <w:i/>
        </w:rPr>
      </w:pPr>
      <w:r>
        <w:t xml:space="preserve">The factor that beginning teachers nominated as being most influential in their decision to remain in the profession related to the level of student involvement that they could create </w:t>
      </w:r>
      <w:r w:rsidR="00325BE6">
        <w:t xml:space="preserve">for those in their classes. </w:t>
      </w:r>
      <w:r w:rsidR="00844497">
        <w:t>This showed that</w:t>
      </w:r>
      <w:r>
        <w:t xml:space="preserve"> the extent to which beginning teachers felt able to engage students was paramount to their satisfaction in being teachers. It appears to mirror the themes that appear in the literature in explaining </w:t>
      </w:r>
      <w:r w:rsidR="00844497">
        <w:t>why</w:t>
      </w:r>
      <w:r>
        <w:t xml:space="preserve"> teachers felt motivated to join the profession in the first place: to make a difference in the lives of their key stakeholders, namely students. Ewing and Smith (2003) identif</w:t>
      </w:r>
      <w:r w:rsidR="00844497">
        <w:t>y</w:t>
      </w:r>
      <w:r>
        <w:t xml:space="preserve"> an altruistic theme </w:t>
      </w:r>
      <w:r w:rsidR="00844497">
        <w:t xml:space="preserve">in </w:t>
      </w:r>
      <w:r>
        <w:t>that teachers are motivated by a desire to make a contribution to society, help others and work with young people. McKenzie et al</w:t>
      </w:r>
      <w:r w:rsidR="00844497">
        <w:t>.</w:t>
      </w:r>
      <w:r>
        <w:t xml:space="preserve"> (2008) indicate that whilst the motivation may be largely altruistic ('to make a contribution’) there is also an element of intrinsic (e.g., ‘personal fulfilment’), which is demonstrated by the second most important factor (professional challenge).</w:t>
      </w:r>
    </w:p>
    <w:p w:rsidR="000B72E5" w:rsidRDefault="00BC255A">
      <w:r>
        <w:t>The result provides some support for school administrators to sponsor programs and deployment of resources that will assist beginning teachers in empowering them to excel in the area of student involvement. For example, levels of student engagement may be higher when new technologies, such as interactive whiteboards (IWBs) are introduced into the classroom (</w:t>
      </w:r>
      <w:r w:rsidR="00A92A69">
        <w:t xml:space="preserve">Hall </w:t>
      </w:r>
      <w:r w:rsidR="00F1036A">
        <w:t xml:space="preserve">&amp; </w:t>
      </w:r>
      <w:r w:rsidR="00A92A69" w:rsidRPr="00A92A69">
        <w:t>Higgins</w:t>
      </w:r>
      <w:r w:rsidR="0075096C">
        <w:t>,</w:t>
      </w:r>
      <w:r w:rsidR="00A92A69" w:rsidRPr="00A92A69">
        <w:t xml:space="preserve"> 2005</w:t>
      </w:r>
      <w:r w:rsidR="00844497">
        <w:t>; Kearney</w:t>
      </w:r>
      <w:r w:rsidR="00AB6448">
        <w:t xml:space="preserve"> </w:t>
      </w:r>
      <w:r w:rsidR="00F1036A">
        <w:t xml:space="preserve">&amp; </w:t>
      </w:r>
      <w:r w:rsidR="00AB6448">
        <w:t>Schuck</w:t>
      </w:r>
      <w:r w:rsidR="0075096C">
        <w:t>,</w:t>
      </w:r>
      <w:r w:rsidR="00AB6448">
        <w:t xml:space="preserve"> 2008</w:t>
      </w:r>
      <w:r>
        <w:t>). The findings, however, do not shed light on which resources or programs will be better in improving stude</w:t>
      </w:r>
      <w:r w:rsidR="00F32ADC">
        <w:t xml:space="preserve">nt involvement and engagement. Any decisions to address teacher retention by improving levels of student engagement need to </w:t>
      </w:r>
      <w:proofErr w:type="gramStart"/>
      <w:r w:rsidR="00F32ADC">
        <w:t>balanced</w:t>
      </w:r>
      <w:proofErr w:type="gramEnd"/>
      <w:r w:rsidR="00F32ADC">
        <w:t xml:space="preserve"> against whether or how </w:t>
      </w:r>
      <w:r>
        <w:t>student learning outcomes</w:t>
      </w:r>
      <w:r w:rsidR="00A92A69">
        <w:t xml:space="preserve"> </w:t>
      </w:r>
      <w:r w:rsidR="00F32ADC">
        <w:t xml:space="preserve">are effected </w:t>
      </w:r>
      <w:r w:rsidR="00A92A69">
        <w:t xml:space="preserve">(Beauchamp </w:t>
      </w:r>
      <w:r w:rsidR="00F1036A">
        <w:t xml:space="preserve">&amp; </w:t>
      </w:r>
      <w:proofErr w:type="spellStart"/>
      <w:r w:rsidR="00A92A69">
        <w:t>Kennewell</w:t>
      </w:r>
      <w:proofErr w:type="spellEnd"/>
      <w:r w:rsidR="0075096C">
        <w:t>,</w:t>
      </w:r>
      <w:r w:rsidR="00A92A69">
        <w:t xml:space="preserve"> 2010)</w:t>
      </w:r>
      <w:r>
        <w:t>.</w:t>
      </w:r>
      <w:r w:rsidR="00F14BA5">
        <w:t xml:space="preserve"> For instance, Hattie’s (2005) analysis suggests that whilst </w:t>
      </w:r>
      <w:r w:rsidR="00B45EFE">
        <w:t xml:space="preserve">relatively </w:t>
      </w:r>
      <w:r w:rsidR="00F14BA5">
        <w:t xml:space="preserve">smaller class sizes are thought to increase engagement the impact is often small as </w:t>
      </w:r>
      <w:r w:rsidR="00B45EFE">
        <w:t xml:space="preserve">it often relies on </w:t>
      </w:r>
      <w:r w:rsidR="00F14BA5">
        <w:t>teacher</w:t>
      </w:r>
      <w:r w:rsidR="00B45EFE">
        <w:t xml:space="preserve"> quality and adaptability for student learning to be enhanced.</w:t>
      </w:r>
    </w:p>
    <w:p w:rsidR="000B72E5" w:rsidRPr="00025FD6" w:rsidRDefault="006C727B">
      <w:pPr>
        <w:rPr>
          <w:i/>
        </w:rPr>
      </w:pPr>
      <w:r>
        <w:rPr>
          <w:i/>
        </w:rPr>
        <w:t>5</w:t>
      </w:r>
      <w:r w:rsidR="00025FD6" w:rsidRPr="00025FD6">
        <w:rPr>
          <w:i/>
        </w:rPr>
        <w:t xml:space="preserve">.2. </w:t>
      </w:r>
      <w:r w:rsidR="00BC255A" w:rsidRPr="00025FD6">
        <w:rPr>
          <w:i/>
        </w:rPr>
        <w:t>Teaching as a challenging and satisfying profession</w:t>
      </w:r>
    </w:p>
    <w:p w:rsidR="00C824BC" w:rsidRDefault="00BC255A">
      <w:r>
        <w:lastRenderedPageBreak/>
        <w:t xml:space="preserve">Beginning teachers </w:t>
      </w:r>
      <w:r w:rsidR="00B43C11" w:rsidRPr="00095853">
        <w:t>perceive themselves as professionals</w:t>
      </w:r>
      <w:r w:rsidR="00E43C33">
        <w:t>,</w:t>
      </w:r>
      <w:r>
        <w:t xml:space="preserve"> and satisfaction in their work is </w:t>
      </w:r>
      <w:r w:rsidR="00844497">
        <w:t xml:space="preserve">gained </w:t>
      </w:r>
      <w:r>
        <w:t xml:space="preserve">from meeting the professional challenges it presents (factor 2). Sinclair (2008) found </w:t>
      </w:r>
      <w:r w:rsidR="00095853">
        <w:t xml:space="preserve">an underlying motive in </w:t>
      </w:r>
      <w:r>
        <w:t>the most common reasons for choosing teaching “reflected a positive self-evaluation of their attributes and capabilities to be teachers, work with children and ... the intellectual stimulation teaching would provide” (p.79)</w:t>
      </w:r>
      <w:r w:rsidR="00095853">
        <w:t>; t</w:t>
      </w:r>
      <w:r>
        <w:t>he finding</w:t>
      </w:r>
      <w:r w:rsidR="00844497">
        <w:t>s in this study indicate</w:t>
      </w:r>
      <w:r>
        <w:t xml:space="preserve"> that beginning teachers are more likely to continue in their chosen career if they can remain stimulated by its challenges</w:t>
      </w:r>
      <w:r w:rsidR="00844497">
        <w:t xml:space="preserve">. </w:t>
      </w:r>
    </w:p>
    <w:p w:rsidR="000B72E5" w:rsidRDefault="007D1071">
      <w:r>
        <w:t>However, the need for professional challenges</w:t>
      </w:r>
      <w:r w:rsidR="00BC255A">
        <w:t xml:space="preserve"> is not necessarily addressed by inclusiveness in school decision making, as this was a factor (factor 17) ranked lower in importance relative to other</w:t>
      </w:r>
      <w:r w:rsidR="00095853">
        <w:t xml:space="preserve"> factor</w:t>
      </w:r>
      <w:r w:rsidR="00BC255A">
        <w:t xml:space="preserve">s. Interestingly, beginning teachers are </w:t>
      </w:r>
      <w:r w:rsidR="006B0A72">
        <w:t xml:space="preserve">less influenced in decisions to remain in the profession </w:t>
      </w:r>
      <w:r w:rsidR="00BC255A">
        <w:t xml:space="preserve">by the policies and procedures they are required to implement in their teaching (factor 29) </w:t>
      </w:r>
      <w:r w:rsidR="006B0A72">
        <w:t xml:space="preserve">and </w:t>
      </w:r>
      <w:r w:rsidR="00BC255A">
        <w:t xml:space="preserve">the administrative requirements their profession entails, such as the daily paperwork required (factor 28). The ability for administrators to improve the professional standards of teachers and </w:t>
      </w:r>
      <w:r w:rsidR="003A0A6F">
        <w:t>teachers’</w:t>
      </w:r>
      <w:r w:rsidR="00BC255A">
        <w:t xml:space="preserve"> abilit</w:t>
      </w:r>
      <w:r w:rsidR="003A0A6F">
        <w:t>ies</w:t>
      </w:r>
      <w:r w:rsidR="00BC255A">
        <w:t xml:space="preserve"> to meet challenges i</w:t>
      </w:r>
      <w:r w:rsidR="003A0A6F">
        <w:t>s</w:t>
      </w:r>
      <w:r w:rsidR="00BC255A">
        <w:t xml:space="preserve"> often governed by training and accreditation. Interestingly, the support that administrators may use to assist beginning teachers in meeting the requirements of such standards (factor 23) is less imperative relative to other programs of support.</w:t>
      </w:r>
      <w:r w:rsidR="00022946">
        <w:t xml:space="preserve"> </w:t>
      </w:r>
      <w:r w:rsidR="00EB571D">
        <w:t>However, a</w:t>
      </w:r>
      <w:r w:rsidR="00022946">
        <w:t>dministrators</w:t>
      </w:r>
      <w:r>
        <w:t>’</w:t>
      </w:r>
      <w:r w:rsidR="00022946">
        <w:t xml:space="preserve"> and policy makers</w:t>
      </w:r>
      <w:r>
        <w:t xml:space="preserve">’ views </w:t>
      </w:r>
      <w:r w:rsidR="00EB571D">
        <w:t>of the status of the teaching profession</w:t>
      </w:r>
      <w:r w:rsidR="00022946">
        <w:t xml:space="preserve"> have </w:t>
      </w:r>
      <w:r w:rsidR="00EB571D">
        <w:t>an influence on how teachers construct their work. Contrasting examples of this impact can be seen in England, France and Denmark (Osborn, 2006). The author</w:t>
      </w:r>
      <w:r w:rsidR="00022946">
        <w:t xml:space="preserve"> conclude</w:t>
      </w:r>
      <w:r w:rsidR="00EB571D">
        <w:t>s</w:t>
      </w:r>
      <w:r w:rsidR="00022946">
        <w:t xml:space="preserve"> that some teachers have been subject to a contractual performance model in contrast to a professional </w:t>
      </w:r>
      <w:r w:rsidR="00F1036A">
        <w:t>covenant</w:t>
      </w:r>
      <w:r w:rsidR="00022946">
        <w:t xml:space="preserve"> model; the former performance model undermining their vocational aspirations and perceptions of the profession.</w:t>
      </w:r>
    </w:p>
    <w:p w:rsidR="000B72E5" w:rsidRPr="00025FD6" w:rsidRDefault="006C727B">
      <w:pPr>
        <w:rPr>
          <w:i/>
        </w:rPr>
      </w:pPr>
      <w:r>
        <w:rPr>
          <w:i/>
        </w:rPr>
        <w:t>5</w:t>
      </w:r>
      <w:r w:rsidR="00025FD6" w:rsidRPr="00025FD6">
        <w:rPr>
          <w:i/>
        </w:rPr>
        <w:t>.3</w:t>
      </w:r>
      <w:r w:rsidR="00025FD6">
        <w:rPr>
          <w:i/>
        </w:rPr>
        <w:t>.</w:t>
      </w:r>
      <w:r w:rsidR="00025FD6" w:rsidRPr="00025FD6">
        <w:rPr>
          <w:i/>
        </w:rPr>
        <w:t xml:space="preserve"> </w:t>
      </w:r>
      <w:r w:rsidR="00BC255A" w:rsidRPr="00025FD6">
        <w:rPr>
          <w:i/>
        </w:rPr>
        <w:t>Collegiality, Support and Collaboration</w:t>
      </w:r>
    </w:p>
    <w:p w:rsidR="000B72E5" w:rsidRDefault="00BC255A">
      <w:r>
        <w:t>The results relating to the factors appearing as 3</w:t>
      </w:r>
      <w:r w:rsidRPr="009557CA">
        <w:rPr>
          <w:vertAlign w:val="superscript"/>
        </w:rPr>
        <w:t>rd</w:t>
      </w:r>
      <w:r>
        <w:t xml:space="preserve"> to the 9</w:t>
      </w:r>
      <w:r w:rsidRPr="009557CA">
        <w:rPr>
          <w:vertAlign w:val="superscript"/>
        </w:rPr>
        <w:t>th</w:t>
      </w:r>
      <w:r>
        <w:t xml:space="preserve"> most important out of the 31 factors investigated are a clear indication </w:t>
      </w:r>
      <w:r w:rsidR="003A0A6F">
        <w:t>that</w:t>
      </w:r>
      <w:r>
        <w:t xml:space="preserve"> beginning teachers value collegial support that they receive in their school environments as well as the opportunities for collaboration. The results are a strong endorsement of actions that aim to improve support for beginning teachers such as mentoring programs and staff induction programs. </w:t>
      </w:r>
      <w:r w:rsidR="00387448" w:rsidRPr="00974F9F">
        <w:t xml:space="preserve">The findings </w:t>
      </w:r>
      <w:r w:rsidR="003A0A6F">
        <w:t>also support</w:t>
      </w:r>
      <w:r w:rsidR="00387448" w:rsidRPr="00974F9F">
        <w:t xml:space="preserve"> the recommendations outlined by previous researchers suc</w:t>
      </w:r>
      <w:r w:rsidR="003A0A6F">
        <w:t xml:space="preserve">h as </w:t>
      </w:r>
      <w:proofErr w:type="spellStart"/>
      <w:r w:rsidR="003A0A6F">
        <w:t>Marable</w:t>
      </w:r>
      <w:proofErr w:type="spellEnd"/>
      <w:r w:rsidR="003A0A6F">
        <w:t xml:space="preserve"> and Raimondi (2007</w:t>
      </w:r>
      <w:r w:rsidR="00C503F7">
        <w:t>) w</w:t>
      </w:r>
      <w:r w:rsidR="003A0A6F">
        <w:t>ho noted</w:t>
      </w:r>
      <w:r w:rsidR="00387448" w:rsidRPr="00974F9F">
        <w:t xml:space="preserve"> the value of developing mentoring programs </w:t>
      </w:r>
      <w:r w:rsidR="00974F9F" w:rsidRPr="00974F9F">
        <w:t xml:space="preserve">and </w:t>
      </w:r>
      <w:r w:rsidR="003A0A6F">
        <w:t xml:space="preserve">emphasised the need for </w:t>
      </w:r>
      <w:r w:rsidR="00387448" w:rsidRPr="00974F9F">
        <w:t>colleg</w:t>
      </w:r>
      <w:r w:rsidR="003A0A6F">
        <w:t>ial</w:t>
      </w:r>
      <w:r w:rsidR="00387448" w:rsidRPr="00974F9F">
        <w:t xml:space="preserve"> and administrative support in the absence of such programs.</w:t>
      </w:r>
      <w:r w:rsidR="00387448">
        <w:rPr>
          <w:color w:val="FF0000"/>
        </w:rPr>
        <w:t xml:space="preserve"> </w:t>
      </w:r>
    </w:p>
    <w:p w:rsidR="000B72E5" w:rsidRDefault="00BC255A">
      <w:r>
        <w:t xml:space="preserve">The desire to interact with those in the school environment, however, does not extend to social activities. This factor was nominated as the lowest of the 31 factors studied in terms of having an impact on the decision of beginning teachers to remain in their profession. It echoes the previous discussion relating to the desire to participate in teaching through a professional and challenging approach rather than one that </w:t>
      </w:r>
      <w:r w:rsidR="003A0A6F">
        <w:t>involves</w:t>
      </w:r>
      <w:r>
        <w:t xml:space="preserve"> their personal lives. </w:t>
      </w:r>
    </w:p>
    <w:p w:rsidR="000B72E5" w:rsidRPr="00025FD6" w:rsidRDefault="006C727B">
      <w:pPr>
        <w:rPr>
          <w:i/>
        </w:rPr>
      </w:pPr>
      <w:r>
        <w:rPr>
          <w:i/>
        </w:rPr>
        <w:t>5</w:t>
      </w:r>
      <w:r w:rsidR="00025FD6" w:rsidRPr="00025FD6">
        <w:rPr>
          <w:i/>
        </w:rPr>
        <w:t>.4</w:t>
      </w:r>
      <w:r w:rsidR="00025FD6">
        <w:rPr>
          <w:i/>
        </w:rPr>
        <w:t>.</w:t>
      </w:r>
      <w:r w:rsidR="00025FD6" w:rsidRPr="00025FD6">
        <w:rPr>
          <w:i/>
        </w:rPr>
        <w:t xml:space="preserve"> Remuneration and Recognition</w:t>
      </w:r>
    </w:p>
    <w:p w:rsidR="000B72E5" w:rsidRDefault="00BC255A">
      <w:r>
        <w:t xml:space="preserve">In many countries, the attraction to the teaching profession is largely reported as being removed from extrinsic factors including those relating to monetary remuneration (c.f. Lam </w:t>
      </w:r>
      <w:r w:rsidR="00F1036A">
        <w:t xml:space="preserve">&amp; </w:t>
      </w:r>
      <w:r w:rsidR="002B4FB4">
        <w:t>Yan</w:t>
      </w:r>
      <w:r w:rsidR="0075096C">
        <w:t>,</w:t>
      </w:r>
      <w:r>
        <w:t xml:space="preserve"> 2011). The low ranking of factors relating to salaries (factor 19) and incentives (factor 22) indicate that such factors continue to feature as less important relative to others even </w:t>
      </w:r>
      <w:r w:rsidR="001C03CC">
        <w:t xml:space="preserve">once </w:t>
      </w:r>
      <w:r>
        <w:t xml:space="preserve">teachers have begun their careers. Indeed, teachers are happy to participate in the teaching profession with less concern for any form of appreciation or acknowledgement for their efforts or achievement (factor 21). </w:t>
      </w:r>
      <w:r w:rsidR="001C03CC">
        <w:lastRenderedPageBreak/>
        <w:t xml:space="preserve">Administrators may be tempted to infer </w:t>
      </w:r>
      <w:r w:rsidR="00C503F7">
        <w:t xml:space="preserve">from such a research finding </w:t>
      </w:r>
      <w:r>
        <w:t xml:space="preserve">that teachers </w:t>
      </w:r>
      <w:r w:rsidR="001C03CC">
        <w:t xml:space="preserve">would </w:t>
      </w:r>
      <w:r>
        <w:t xml:space="preserve">be happy to teach regardless of how much they are paid – the results, however, are based on what teachers are currently paid and </w:t>
      </w:r>
      <w:r w:rsidR="003A0A6F">
        <w:t>their</w:t>
      </w:r>
      <w:r>
        <w:t xml:space="preserve"> perceptions about what they would be paid in another competing profession</w:t>
      </w:r>
      <w:r w:rsidR="003A0A6F">
        <w:t>.</w:t>
      </w:r>
      <w:r>
        <w:t xml:space="preserve"> </w:t>
      </w:r>
    </w:p>
    <w:p w:rsidR="000B72E5" w:rsidRPr="00025FD6" w:rsidRDefault="006C727B">
      <w:pPr>
        <w:rPr>
          <w:i/>
        </w:rPr>
      </w:pPr>
      <w:r>
        <w:rPr>
          <w:i/>
        </w:rPr>
        <w:t>5</w:t>
      </w:r>
      <w:r w:rsidR="00025FD6" w:rsidRPr="00025FD6">
        <w:rPr>
          <w:i/>
        </w:rPr>
        <w:t xml:space="preserve">.5. External </w:t>
      </w:r>
      <w:r w:rsidR="00482720" w:rsidRPr="00025FD6">
        <w:rPr>
          <w:i/>
        </w:rPr>
        <w:t xml:space="preserve">Factors </w:t>
      </w:r>
    </w:p>
    <w:p w:rsidR="000B72E5" w:rsidRDefault="003A0A6F">
      <w:r>
        <w:t>The relatively low ranking of local conditions (factor 20) seems to indicate teachers’</w:t>
      </w:r>
      <w:r w:rsidR="00BC255A">
        <w:t xml:space="preserve"> accep</w:t>
      </w:r>
      <w:r>
        <w:t xml:space="preserve">tance </w:t>
      </w:r>
      <w:r w:rsidR="00BC255A">
        <w:t xml:space="preserve">of </w:t>
      </w:r>
      <w:r w:rsidR="00482720">
        <w:t xml:space="preserve">external </w:t>
      </w:r>
      <w:r>
        <w:t>factors such as geographical location</w:t>
      </w:r>
      <w:r w:rsidR="00BC255A">
        <w:t xml:space="preserve"> and perhaps endorses their responsive nature to meet any challenges (environmental or otherwise) with professionalism. </w:t>
      </w:r>
      <w:r>
        <w:t>T</w:t>
      </w:r>
      <w:r w:rsidR="00BC255A">
        <w:t xml:space="preserve">eachers </w:t>
      </w:r>
      <w:r>
        <w:t xml:space="preserve">also </w:t>
      </w:r>
      <w:r w:rsidR="004F7F23">
        <w:t xml:space="preserve">nominate the number of students in their classroom (factor 25), as relatively less important in their decisions to remain as teachers. One issue that does warrant attention, however, is the potential impact that </w:t>
      </w:r>
      <w:r w:rsidR="00731964">
        <w:t xml:space="preserve">student numbers </w:t>
      </w:r>
      <w:r w:rsidR="004F7F23">
        <w:t>may manifest in terms of the behaviour of students in the classroom (factor 12). In addition, beginning teachers call for support in their teaching when it comes to teaching in an environment that involves those with special needs (factor 11).</w:t>
      </w:r>
      <w:r w:rsidR="00BC4FB1">
        <w:t xml:space="preserve"> </w:t>
      </w:r>
      <w:r w:rsidR="00760DD9">
        <w:t xml:space="preserve">Programs such as </w:t>
      </w:r>
      <w:r>
        <w:t xml:space="preserve">involvement of </w:t>
      </w:r>
      <w:r w:rsidR="00760DD9">
        <w:t xml:space="preserve">parents in reading programs have obvious benefits for student learning and </w:t>
      </w:r>
      <w:r>
        <w:t xml:space="preserve">for </w:t>
      </w:r>
      <w:r w:rsidR="00760DD9">
        <w:t>fostering the development of a school community</w:t>
      </w:r>
      <w:r w:rsidR="00A13F8F">
        <w:t xml:space="preserve"> (Epstein </w:t>
      </w:r>
      <w:r w:rsidR="00F1036A">
        <w:t>&amp;</w:t>
      </w:r>
      <w:r w:rsidR="00A13F8F">
        <w:t xml:space="preserve"> Dauber</w:t>
      </w:r>
      <w:r w:rsidR="0075096C">
        <w:t>,</w:t>
      </w:r>
      <w:r w:rsidR="00A13F8F">
        <w:t xml:space="preserve"> 1991)</w:t>
      </w:r>
      <w:r w:rsidR="00760DD9">
        <w:t xml:space="preserve">. </w:t>
      </w:r>
      <w:r w:rsidR="00616D99">
        <w:t>Williams (</w:t>
      </w:r>
      <w:r w:rsidR="00B45EFE">
        <w:t>1991</w:t>
      </w:r>
      <w:r w:rsidR="00616D99">
        <w:t xml:space="preserve">) found a desire to work with parents in school related matters, but felt training was important in this process. </w:t>
      </w:r>
      <w:r w:rsidR="004F7F23">
        <w:t xml:space="preserve">The </w:t>
      </w:r>
      <w:r w:rsidR="00616D99">
        <w:t xml:space="preserve">present </w:t>
      </w:r>
      <w:r w:rsidR="004F7F23">
        <w:t xml:space="preserve">findings, however, indicate that the influence of parents </w:t>
      </w:r>
      <w:r>
        <w:t>on</w:t>
      </w:r>
      <w:r w:rsidR="004F7F23">
        <w:t xml:space="preserve"> the retention of teachers in the profession is less</w:t>
      </w:r>
      <w:r w:rsidR="00FA5F8A">
        <w:t xml:space="preserve"> of a concern. Whilst the results suggest </w:t>
      </w:r>
      <w:r>
        <w:t>the</w:t>
      </w:r>
      <w:r w:rsidR="00FA5F8A">
        <w:t xml:space="preserve"> significant impact of support on beginning teachers as previously discussed, the support and involvement of parents does not appear to be </w:t>
      </w:r>
      <w:r>
        <w:t>part of this impact</w:t>
      </w:r>
      <w:r w:rsidR="00FA5F8A">
        <w:t xml:space="preserve"> (see factor 27 and factor 30). </w:t>
      </w:r>
    </w:p>
    <w:p w:rsidR="003B55BA" w:rsidRDefault="0030533B">
      <w:pPr>
        <w:pStyle w:val="ListParagraph"/>
        <w:numPr>
          <w:ilvl w:val="0"/>
          <w:numId w:val="3"/>
        </w:numPr>
        <w:rPr>
          <w:b/>
        </w:rPr>
      </w:pPr>
      <w:r w:rsidRPr="00025FD6">
        <w:rPr>
          <w:b/>
        </w:rPr>
        <w:t>Conclusion</w:t>
      </w:r>
      <w:r w:rsidR="00025FD6">
        <w:rPr>
          <w:b/>
        </w:rPr>
        <w:t>s</w:t>
      </w:r>
    </w:p>
    <w:p w:rsidR="000B72E5" w:rsidRDefault="00E77842">
      <w:r>
        <w:t>Addressing retention of beginning teachers is a difficult challenge, especially when so many factors can potentially influence such teachers. This research, however, uses a methodology that is able to highlight</w:t>
      </w:r>
      <w:r w:rsidR="003A0A6F">
        <w:t xml:space="preserve"> those</w:t>
      </w:r>
      <w:r>
        <w:t xml:space="preserve"> factors that are more influential than others. It appears that </w:t>
      </w:r>
      <w:r w:rsidR="003A0A6F">
        <w:t>central factors to be considered are the support of</w:t>
      </w:r>
      <w:r>
        <w:t xml:space="preserve"> teachers </w:t>
      </w:r>
      <w:r w:rsidR="003A0A6F">
        <w:t>in</w:t>
      </w:r>
      <w:r>
        <w:t xml:space="preserve"> engag</w:t>
      </w:r>
      <w:r w:rsidR="003A0A6F">
        <w:t>ing</w:t>
      </w:r>
      <w:r>
        <w:t xml:space="preserve"> their students, </w:t>
      </w:r>
      <w:r w:rsidR="00171D1F">
        <w:t>reinforcement of</w:t>
      </w:r>
      <w:r w:rsidR="003A0A6F">
        <w:t xml:space="preserve"> </w:t>
      </w:r>
      <w:r>
        <w:t xml:space="preserve">the satisfaction </w:t>
      </w:r>
      <w:r w:rsidR="00171D1F">
        <w:t>teachers</w:t>
      </w:r>
      <w:r>
        <w:t xml:space="preserve"> feel in meeting the professional challenges of teaching, </w:t>
      </w:r>
      <w:r w:rsidR="00171D1F">
        <w:t>and provision of</w:t>
      </w:r>
      <w:r>
        <w:t xml:space="preserve"> </w:t>
      </w:r>
      <w:r w:rsidR="00387448">
        <w:t xml:space="preserve">an environment that sponsors </w:t>
      </w:r>
      <w:r>
        <w:t>professional collegiality, collaboration and support from administrators.</w:t>
      </w:r>
      <w:r w:rsidR="00387448">
        <w:t xml:space="preserve"> </w:t>
      </w:r>
    </w:p>
    <w:p w:rsidR="00EA0CF5" w:rsidRPr="00C503F7" w:rsidRDefault="00EA0CF5" w:rsidP="00EA0CF5">
      <w:r w:rsidRPr="00C503F7">
        <w:t xml:space="preserve">The use of BWS and BIBDs is a novel approach in addressing questions about the relative importance of factors as nominated by teachers to remain in the profession. To some extent, whilst the technique of BWS appears well suited to consider such questions, questions of reliability and validity need to be recognised. While the statistical efficiency of choice-based measurement procedures that use multiple comparison sets has been long-established (see, e.g., Louviere </w:t>
      </w:r>
      <w:r w:rsidR="00F1036A">
        <w:t xml:space="preserve">&amp; </w:t>
      </w:r>
      <w:r w:rsidRPr="00C503F7">
        <w:t xml:space="preserve">Woodworth, 1983; Street </w:t>
      </w:r>
      <w:r w:rsidR="00F1036A">
        <w:t xml:space="preserve">&amp; </w:t>
      </w:r>
      <w:r w:rsidRPr="00C503F7">
        <w:t>Burgess, 2007), the external validity of BWS is much less discussed. There has been limited external validity work for the case of BWS discussed in this paper. One exception is the use of BWS to identify the most preferred wines for a dinner party for a research centre, and then to predict how much of each wine would be consumed at the party (Louviere</w:t>
      </w:r>
      <w:r w:rsidR="00F1036A">
        <w:t>,</w:t>
      </w:r>
      <w:r w:rsidRPr="00C503F7">
        <w:t xml:space="preserve"> 2012). This particular application showed almost perfect agreement between model predictions and actual choices. Louviere and Woodworth (1983) also </w:t>
      </w:r>
      <w:r w:rsidR="00C503F7" w:rsidRPr="00C503F7">
        <w:t xml:space="preserve">offers some insight into questions about </w:t>
      </w:r>
      <w:r w:rsidRPr="00C503F7">
        <w:t>an external validity test based on “best-only” choices</w:t>
      </w:r>
      <w:r w:rsidR="00C503F7" w:rsidRPr="00C503F7">
        <w:t xml:space="preserve">, which </w:t>
      </w:r>
      <w:r w:rsidRPr="00C503F7">
        <w:t>shows high agreement between measured preferences and actual choices of goods in supermarkets. Finally, it is worth noting that there have been a series of tests of BWS measured values using Schwartz’ List of Values (Schwartz</w:t>
      </w:r>
      <w:r w:rsidR="00F1036A">
        <w:t>,</w:t>
      </w:r>
      <w:r w:rsidRPr="00C503F7">
        <w:t xml:space="preserve"> 1994) against various behaviours and </w:t>
      </w:r>
      <w:r w:rsidRPr="00C503F7">
        <w:lastRenderedPageBreak/>
        <w:t xml:space="preserve">attitudes that should correlate positively or negatively with particular value profiles. These tests generally have supported the expected relationships (see, e.g., Lee, </w:t>
      </w:r>
      <w:proofErr w:type="spellStart"/>
      <w:r w:rsidRPr="00C503F7">
        <w:t>Soutar</w:t>
      </w:r>
      <w:proofErr w:type="spellEnd"/>
      <w:r w:rsidRPr="00C503F7">
        <w:t xml:space="preserve">, &amp; Louviere, 2008). </w:t>
      </w:r>
    </w:p>
    <w:p w:rsidR="00025FD6" w:rsidRDefault="00974F9F">
      <w:r>
        <w:t>The finding</w:t>
      </w:r>
      <w:r w:rsidR="00171D1F">
        <w:t>s call</w:t>
      </w:r>
      <w:r>
        <w:t xml:space="preserve"> for </w:t>
      </w:r>
      <w:r w:rsidR="00B636FA">
        <w:t xml:space="preserve">establishing and </w:t>
      </w:r>
      <w:r>
        <w:t>continuing programs of support for beginning teachers. For example, the New South Wales DE</w:t>
      </w:r>
      <w:r w:rsidR="00171D1F">
        <w:t>C</w:t>
      </w:r>
      <w:r>
        <w:t xml:space="preserve"> </w:t>
      </w:r>
      <w:r w:rsidR="00171D1F">
        <w:t>T</w:t>
      </w:r>
      <w:r>
        <w:t xml:space="preserve">eacher </w:t>
      </w:r>
      <w:r w:rsidR="00171D1F">
        <w:t>M</w:t>
      </w:r>
      <w:r>
        <w:t xml:space="preserve">entor program in Australia exemplifies such possibilities (Ewing </w:t>
      </w:r>
      <w:r w:rsidR="00F1036A">
        <w:t xml:space="preserve">&amp; </w:t>
      </w:r>
      <w:r>
        <w:t>Manuel</w:t>
      </w:r>
      <w:r w:rsidR="0075096C">
        <w:t>,</w:t>
      </w:r>
      <w:r>
        <w:t xml:space="preserve"> 2005). The </w:t>
      </w:r>
      <w:r w:rsidR="00B636FA">
        <w:t xml:space="preserve">current research </w:t>
      </w:r>
      <w:r>
        <w:t>also suggest</w:t>
      </w:r>
      <w:r w:rsidR="00B636FA">
        <w:t>s</w:t>
      </w:r>
      <w:r>
        <w:t xml:space="preserve"> that teachers need more </w:t>
      </w:r>
      <w:r w:rsidR="00B636FA">
        <w:t xml:space="preserve">insights into ways to improve student engagement. </w:t>
      </w:r>
      <w:r w:rsidR="0075096C">
        <w:t>Student engagement is a complex field of study with a range of motivational and contextual influences. Without wishing to oversimplify the fie</w:t>
      </w:r>
      <w:r w:rsidR="005B2A54">
        <w:t>l</w:t>
      </w:r>
      <w:r w:rsidR="0075096C">
        <w:t>d, it is noteworthy, that</w:t>
      </w:r>
      <w:r w:rsidR="00B636FA">
        <w:t xml:space="preserve"> growing number</w:t>
      </w:r>
      <w:r w:rsidR="005B2A54">
        <w:t>s</w:t>
      </w:r>
      <w:r w:rsidR="00B636FA">
        <w:t xml:space="preserve"> of technological innovations </w:t>
      </w:r>
      <w:r w:rsidR="0075096C">
        <w:t>and developments associated with 21</w:t>
      </w:r>
      <w:r w:rsidR="002E39EB" w:rsidRPr="002E39EB">
        <w:rPr>
          <w:vertAlign w:val="superscript"/>
        </w:rPr>
        <w:t>st</w:t>
      </w:r>
      <w:r w:rsidR="0075096C">
        <w:t xml:space="preserve"> century learning </w:t>
      </w:r>
      <w:r w:rsidR="00B636FA">
        <w:t xml:space="preserve">may </w:t>
      </w:r>
      <w:r w:rsidR="0075096C">
        <w:t>contribute to enhanced adolescent engagement</w:t>
      </w:r>
      <w:r w:rsidR="00B636FA">
        <w:t xml:space="preserve"> (</w:t>
      </w:r>
      <w:r w:rsidR="00AB6448">
        <w:t xml:space="preserve">Schuck, Aubusson </w:t>
      </w:r>
      <w:r w:rsidR="00F1036A">
        <w:t xml:space="preserve">&amp; </w:t>
      </w:r>
      <w:r w:rsidR="00AB6448">
        <w:t>Kearney</w:t>
      </w:r>
      <w:r w:rsidR="0075096C">
        <w:t>,</w:t>
      </w:r>
      <w:r w:rsidR="00B636FA">
        <w:t xml:space="preserve"> 2010). Beginning teachers need to be viewed as professionals:</w:t>
      </w:r>
      <w:r w:rsidR="0077645B">
        <w:t xml:space="preserve"> </w:t>
      </w:r>
      <w:r w:rsidR="00B636FA">
        <w:t xml:space="preserve">societal attitudes to their level of professionalism are often undermined </w:t>
      </w:r>
      <w:r w:rsidR="00171D1F">
        <w:t xml:space="preserve">by </w:t>
      </w:r>
      <w:r w:rsidR="00B636FA">
        <w:t xml:space="preserve">beliefs that fail to recognise that beginning teachers have </w:t>
      </w:r>
      <w:r w:rsidR="00171D1F">
        <w:t>undergone an extensive and rigorous preparation for teaching</w:t>
      </w:r>
      <w:r w:rsidR="00B636FA">
        <w:t xml:space="preserve"> (McCoy</w:t>
      </w:r>
      <w:r w:rsidR="0075096C">
        <w:t>,</w:t>
      </w:r>
      <w:r w:rsidR="00B636FA">
        <w:t xml:space="preserve"> 2003). </w:t>
      </w:r>
      <w:r w:rsidR="00171D1F">
        <w:t>Further, a</w:t>
      </w:r>
      <w:r w:rsidR="00223D18">
        <w:t>ddressing the extent to which teaching offers professional challenges may improve levels of satisfaction and ultimately retention.</w:t>
      </w:r>
    </w:p>
    <w:p w:rsidR="00F1036A" w:rsidRDefault="00F1036A">
      <w:r>
        <w:br w:type="page"/>
      </w:r>
    </w:p>
    <w:p w:rsidR="00025FD6" w:rsidRDefault="00025FD6"/>
    <w:p w:rsidR="00C7499C" w:rsidRPr="00025FD6" w:rsidRDefault="00C503F7">
      <w:pPr>
        <w:rPr>
          <w:b/>
        </w:rPr>
      </w:pPr>
      <w:r w:rsidRPr="00025FD6">
        <w:rPr>
          <w:b/>
        </w:rPr>
        <w:t>References</w:t>
      </w:r>
    </w:p>
    <w:p w:rsidR="00C7499C" w:rsidRDefault="00C7499C"/>
    <w:p w:rsidR="003B55BA" w:rsidRDefault="00C65FDD">
      <w:pPr>
        <w:spacing w:before="100" w:beforeAutospacing="1" w:after="100" w:afterAutospacing="1" w:line="240" w:lineRule="auto"/>
      </w:pPr>
      <w:proofErr w:type="spellStart"/>
      <w:r>
        <w:t>Abdallah</w:t>
      </w:r>
      <w:proofErr w:type="spellEnd"/>
      <w:r>
        <w:t xml:space="preserve">, </w:t>
      </w:r>
      <w:r w:rsidR="00581EC8">
        <w:t>J.</w:t>
      </w:r>
      <w:r>
        <w:t xml:space="preserve"> (2009). Lowering teacher attrition rates through collegiality. </w:t>
      </w:r>
      <w:proofErr w:type="gramStart"/>
      <w:r w:rsidRPr="00581EC8">
        <w:rPr>
          <w:i/>
        </w:rPr>
        <w:t>Academic Leadership</w:t>
      </w:r>
      <w:r>
        <w:t>,</w:t>
      </w:r>
      <w:r w:rsidR="00581EC8">
        <w:t xml:space="preserve"> </w:t>
      </w:r>
      <w:r>
        <w:t>7(1).</w:t>
      </w:r>
      <w:proofErr w:type="gramEnd"/>
      <w:r>
        <w:t xml:space="preserve"> Retrieved 7 August 2011 from </w:t>
      </w:r>
      <w:hyperlink r:id="rId9" w:history="1">
        <w:r w:rsidR="00581EC8" w:rsidRPr="0072728F">
          <w:rPr>
            <w:rStyle w:val="Hyperlink"/>
          </w:rPr>
          <w:t>http://www.academicleadership.org/emprical_research/531.shtml</w:t>
        </w:r>
      </w:hyperlink>
    </w:p>
    <w:p w:rsidR="003B55BA" w:rsidRDefault="00C65FDD">
      <w:pPr>
        <w:spacing w:before="100" w:beforeAutospacing="1" w:after="100" w:afterAutospacing="1" w:line="240" w:lineRule="auto"/>
      </w:pPr>
      <w:r>
        <w:t xml:space="preserve">Auger, </w:t>
      </w:r>
      <w:r w:rsidR="00581EC8">
        <w:t>P.</w:t>
      </w:r>
      <w:r>
        <w:t xml:space="preserve">, </w:t>
      </w:r>
      <w:r w:rsidR="00581EC8">
        <w:t>Devinney, T</w:t>
      </w:r>
      <w:proofErr w:type="gramStart"/>
      <w:r w:rsidR="00D146EA">
        <w:t>.</w:t>
      </w:r>
      <w:r w:rsidR="00581EC8">
        <w:t xml:space="preserve"> </w:t>
      </w:r>
      <w:r w:rsidR="00D146EA">
        <w:t>,</w:t>
      </w:r>
      <w:proofErr w:type="gramEnd"/>
      <w:r w:rsidR="00D146EA">
        <w:t xml:space="preserve"> </w:t>
      </w:r>
      <w:r w:rsidR="00581EC8">
        <w:t xml:space="preserve">&amp; Louviere, </w:t>
      </w:r>
      <w:r>
        <w:t>J.</w:t>
      </w:r>
      <w:r w:rsidR="00581EC8">
        <w:t xml:space="preserve"> (</w:t>
      </w:r>
      <w:r>
        <w:t>2007</w:t>
      </w:r>
      <w:r w:rsidR="00581EC8">
        <w:t>)</w:t>
      </w:r>
      <w:r>
        <w:t xml:space="preserve">. To What Extent Do Consumer Ethical Beliefs Differ Across Countries? </w:t>
      </w:r>
      <w:proofErr w:type="gramStart"/>
      <w:r>
        <w:t>A Cross-Country Investigation Using Best-Worst Scaling Methodology.</w:t>
      </w:r>
      <w:proofErr w:type="gramEnd"/>
      <w:r>
        <w:t xml:space="preserve"> </w:t>
      </w:r>
      <w:r w:rsidRPr="00581EC8">
        <w:rPr>
          <w:i/>
        </w:rPr>
        <w:t>Journal of Business Ethics</w:t>
      </w:r>
      <w:r w:rsidR="00581EC8">
        <w:rPr>
          <w:i/>
        </w:rPr>
        <w:t>,</w:t>
      </w:r>
      <w:r w:rsidRPr="00581EC8">
        <w:rPr>
          <w:i/>
        </w:rPr>
        <w:t xml:space="preserve"> 70</w:t>
      </w:r>
      <w:r>
        <w:t>(3)</w:t>
      </w:r>
      <w:r w:rsidR="00581EC8">
        <w:t>,</w:t>
      </w:r>
      <w:r>
        <w:t xml:space="preserve"> 299-326.</w:t>
      </w:r>
    </w:p>
    <w:p w:rsidR="003B55BA" w:rsidRDefault="00C65FDD">
      <w:pPr>
        <w:spacing w:before="100" w:beforeAutospacing="1" w:after="100" w:afterAutospacing="1" w:line="240" w:lineRule="auto"/>
      </w:pPr>
      <w:proofErr w:type="gramStart"/>
      <w:r>
        <w:t>Australian Education Union.</w:t>
      </w:r>
      <w:proofErr w:type="gramEnd"/>
      <w:r>
        <w:t xml:space="preserve"> </w:t>
      </w:r>
      <w:proofErr w:type="gramStart"/>
      <w:r>
        <w:t>(2006). Beginning teachers list workload, behaviour management, pay and class size as top concerns.</w:t>
      </w:r>
      <w:proofErr w:type="gramEnd"/>
      <w:r>
        <w:t xml:space="preserve"> Melbourne: Australian Education Union - Federal Office. Retrieved 4 June 2010 from </w:t>
      </w:r>
      <w:hyperlink r:id="rId10" w:history="1">
        <w:r w:rsidR="00581EC8" w:rsidRPr="0072728F">
          <w:rPr>
            <w:rStyle w:val="Hyperlink"/>
          </w:rPr>
          <w:t>http://www.aeufederal.org.au/Media/MediaReleases/2006/0202.pdf</w:t>
        </w:r>
      </w:hyperlink>
    </w:p>
    <w:p w:rsidR="003B55BA" w:rsidRDefault="00C65FDD">
      <w:pPr>
        <w:spacing w:before="100" w:beforeAutospacing="1" w:after="100" w:afterAutospacing="1" w:line="240" w:lineRule="auto"/>
      </w:pPr>
      <w:proofErr w:type="gramStart"/>
      <w:r>
        <w:t>Australian Primary Principals Association.</w:t>
      </w:r>
      <w:proofErr w:type="gramEnd"/>
      <w:r>
        <w:t xml:space="preserve"> (2007). Reports on the Experiences of Beginning Teachers. Canberra: Australian Primary Principals Association.</w:t>
      </w:r>
    </w:p>
    <w:p w:rsidR="003B55BA" w:rsidRDefault="00C65FDD">
      <w:pPr>
        <w:spacing w:before="100" w:beforeAutospacing="1" w:after="100" w:afterAutospacing="1" w:line="240" w:lineRule="auto"/>
      </w:pPr>
      <w:r>
        <w:t>Beauchamp, G.</w:t>
      </w:r>
      <w:r w:rsidR="00D146EA">
        <w:t>,</w:t>
      </w:r>
      <w:r>
        <w:t xml:space="preserve"> </w:t>
      </w:r>
      <w:r w:rsidR="00581EC8">
        <w:t xml:space="preserve">&amp; </w:t>
      </w:r>
      <w:proofErr w:type="spellStart"/>
      <w:r>
        <w:t>Kennewell</w:t>
      </w:r>
      <w:proofErr w:type="spellEnd"/>
      <w:r w:rsidR="003B2001">
        <w:t>, S.</w:t>
      </w:r>
      <w:r>
        <w:t xml:space="preserve"> (2010)</w:t>
      </w:r>
      <w:r w:rsidR="003B2001">
        <w:t>.</w:t>
      </w:r>
      <w:r>
        <w:t xml:space="preserve"> </w:t>
      </w:r>
      <w:proofErr w:type="gramStart"/>
      <w:r>
        <w:t>Interactivity in the classroom and its impact on learning.</w:t>
      </w:r>
      <w:proofErr w:type="gramEnd"/>
      <w:r>
        <w:t xml:space="preserve"> </w:t>
      </w:r>
      <w:r w:rsidRPr="003B2001">
        <w:rPr>
          <w:i/>
        </w:rPr>
        <w:t>Computers and Education, 54</w:t>
      </w:r>
      <w:r>
        <w:t>, 759-766.</w:t>
      </w:r>
    </w:p>
    <w:p w:rsidR="003B55BA" w:rsidRDefault="00C65FDD">
      <w:pPr>
        <w:spacing w:before="100" w:beforeAutospacing="1" w:after="100" w:afterAutospacing="1" w:line="240" w:lineRule="auto"/>
      </w:pPr>
      <w:proofErr w:type="gramStart"/>
      <w:r>
        <w:t>Carson, R. T., Groves</w:t>
      </w:r>
      <w:r w:rsidR="003B2001">
        <w:t>, T.</w:t>
      </w:r>
      <w:r>
        <w:t xml:space="preserve">, </w:t>
      </w:r>
      <w:r w:rsidR="003B2001">
        <w:t xml:space="preserve">&amp; </w:t>
      </w:r>
      <w:proofErr w:type="spellStart"/>
      <w:r>
        <w:t>Machina</w:t>
      </w:r>
      <w:proofErr w:type="spellEnd"/>
      <w:r w:rsidR="003B2001">
        <w:t>, M.J.</w:t>
      </w:r>
      <w:r>
        <w:t xml:space="preserve"> </w:t>
      </w:r>
      <w:r w:rsidR="003B2001">
        <w:t>(</w:t>
      </w:r>
      <w:r>
        <w:t>2000</w:t>
      </w:r>
      <w:r w:rsidR="003B2001">
        <w:t>)</w:t>
      </w:r>
      <w:r>
        <w:t>.</w:t>
      </w:r>
      <w:proofErr w:type="gramEnd"/>
      <w:r>
        <w:t xml:space="preserve"> </w:t>
      </w:r>
      <w:proofErr w:type="gramStart"/>
      <w:r>
        <w:t>Incentive and informational properties of preference questions.</w:t>
      </w:r>
      <w:proofErr w:type="gramEnd"/>
      <w:r>
        <w:t xml:space="preserve"> Working paper, San Diego: University of California, San Diego.</w:t>
      </w:r>
    </w:p>
    <w:p w:rsidR="003B55BA" w:rsidRDefault="00C65FDD">
      <w:pPr>
        <w:spacing w:before="100" w:beforeAutospacing="1" w:after="100" w:afterAutospacing="1" w:line="240" w:lineRule="auto"/>
      </w:pPr>
      <w:r>
        <w:t xml:space="preserve">Cohen, E. </w:t>
      </w:r>
      <w:r w:rsidR="003B2001">
        <w:t>(</w:t>
      </w:r>
      <w:r>
        <w:t>2009</w:t>
      </w:r>
      <w:r w:rsidR="003B2001">
        <w:t>)</w:t>
      </w:r>
      <w:r>
        <w:t xml:space="preserve">. Applying Best-Worst Scaling to Wine Marketing. </w:t>
      </w:r>
      <w:r w:rsidRPr="003B2001">
        <w:rPr>
          <w:i/>
        </w:rPr>
        <w:t>International Journal of Wine Business Research</w:t>
      </w:r>
      <w:r w:rsidR="00CE35DD">
        <w:rPr>
          <w:i/>
        </w:rPr>
        <w:t>,</w:t>
      </w:r>
      <w:r w:rsidRPr="003B2001">
        <w:rPr>
          <w:i/>
        </w:rPr>
        <w:t xml:space="preserve"> 21</w:t>
      </w:r>
      <w:r w:rsidR="00CE35DD">
        <w:t>(1),</w:t>
      </w:r>
      <w:r>
        <w:t xml:space="preserve"> 8-23.</w:t>
      </w:r>
    </w:p>
    <w:p w:rsidR="001E7B36" w:rsidRPr="001E7B36" w:rsidRDefault="001E7B36">
      <w:pPr>
        <w:autoSpaceDE w:val="0"/>
        <w:autoSpaceDN w:val="0"/>
        <w:adjustRightInd w:val="0"/>
        <w:spacing w:before="100" w:beforeAutospacing="1" w:after="100" w:afterAutospacing="1" w:line="240" w:lineRule="auto"/>
      </w:pPr>
      <w:proofErr w:type="gramStart"/>
      <w:r>
        <w:t>Darling-Hammond, L. (2003).</w:t>
      </w:r>
      <w:proofErr w:type="gramEnd"/>
      <w:r>
        <w:t xml:space="preserve"> Keeping good teachers: Why it matters, what leaders can </w:t>
      </w:r>
      <w:proofErr w:type="gramStart"/>
      <w:r>
        <w:t>do.</w:t>
      </w:r>
      <w:proofErr w:type="gramEnd"/>
      <w:r>
        <w:t xml:space="preserve"> </w:t>
      </w:r>
      <w:r>
        <w:rPr>
          <w:i/>
        </w:rPr>
        <w:t>Educational Leadership, 60</w:t>
      </w:r>
      <w:r>
        <w:t>(8), 6-13.</w:t>
      </w:r>
    </w:p>
    <w:p w:rsidR="003B55BA" w:rsidRDefault="00B21BEF">
      <w:pPr>
        <w:autoSpaceDE w:val="0"/>
        <w:autoSpaceDN w:val="0"/>
        <w:adjustRightInd w:val="0"/>
        <w:spacing w:before="100" w:beforeAutospacing="1" w:after="100" w:afterAutospacing="1" w:line="240" w:lineRule="auto"/>
      </w:pPr>
      <w:proofErr w:type="gramStart"/>
      <w:r>
        <w:t>Department of Education, Science and Training</w:t>
      </w:r>
      <w:r w:rsidRPr="00B21BEF">
        <w:t xml:space="preserve"> (DEST).</w:t>
      </w:r>
      <w:proofErr w:type="gramEnd"/>
      <w:r w:rsidRPr="00B21BEF">
        <w:t xml:space="preserve"> (2003). </w:t>
      </w:r>
      <w:r w:rsidRPr="00B21BEF">
        <w:rPr>
          <w:i/>
        </w:rPr>
        <w:t>Australia’s Teachers: Australia’s Future – Advancing Innovation, Science, Technology and Mathematics.</w:t>
      </w:r>
      <w:r w:rsidRPr="00B21BEF">
        <w:t xml:space="preserve"> Canberra</w:t>
      </w:r>
      <w:r>
        <w:t>:</w:t>
      </w:r>
      <w:r w:rsidRPr="00B21BEF">
        <w:t xml:space="preserve"> Commonwealth of Australia.</w:t>
      </w:r>
      <w:r>
        <w:t xml:space="preserve"> </w:t>
      </w:r>
      <w:r w:rsidRPr="00B21BEF">
        <w:t xml:space="preserve"> </w:t>
      </w:r>
    </w:p>
    <w:p w:rsidR="003B55BA" w:rsidRDefault="00C65FDD">
      <w:pPr>
        <w:spacing w:before="100" w:beforeAutospacing="1" w:after="100" w:afterAutospacing="1" w:line="240" w:lineRule="auto"/>
      </w:pPr>
      <w:proofErr w:type="gramStart"/>
      <w:r>
        <w:t xml:space="preserve">Epstein, </w:t>
      </w:r>
      <w:r w:rsidR="00CE35DD">
        <w:t>J.</w:t>
      </w:r>
      <w:r>
        <w:t>L.</w:t>
      </w:r>
      <w:r w:rsidR="00D146EA">
        <w:t>,</w:t>
      </w:r>
      <w:r>
        <w:t xml:space="preserve"> </w:t>
      </w:r>
      <w:r w:rsidR="00CE35DD">
        <w:t xml:space="preserve">&amp; </w:t>
      </w:r>
      <w:r>
        <w:t>Dauber</w:t>
      </w:r>
      <w:r w:rsidR="00CE35DD">
        <w:t>, S.L.</w:t>
      </w:r>
      <w:r>
        <w:t xml:space="preserve"> (1991)</w:t>
      </w:r>
      <w:r w:rsidR="00CE35DD">
        <w:t>.</w:t>
      </w:r>
      <w:proofErr w:type="gramEnd"/>
      <w:r w:rsidR="00CE35DD">
        <w:t xml:space="preserve"> </w:t>
      </w:r>
      <w:r>
        <w:t xml:space="preserve">School Programs and Teacher Practices of Parent Involvement in Inner-City Elementary and Middle Schools. </w:t>
      </w:r>
      <w:r w:rsidRPr="00CE35DD">
        <w:rPr>
          <w:i/>
        </w:rPr>
        <w:t>The Elementary School Journal, 91</w:t>
      </w:r>
      <w:r>
        <w:t>(3), 289-305</w:t>
      </w:r>
      <w:r w:rsidR="00CE35DD">
        <w:t>.</w:t>
      </w:r>
    </w:p>
    <w:p w:rsidR="003B55BA" w:rsidRDefault="00D146EA">
      <w:pPr>
        <w:spacing w:before="100" w:beforeAutospacing="1" w:after="100" w:afterAutospacing="1" w:line="240" w:lineRule="auto"/>
      </w:pPr>
      <w:r>
        <w:t xml:space="preserve">Ewing, R., &amp; Manuel, J. (2005). Retaining quality early career teachers in the profession: New teacher narratives. </w:t>
      </w:r>
      <w:r>
        <w:rPr>
          <w:i/>
        </w:rPr>
        <w:t>Change: Transformation in Education, 8</w:t>
      </w:r>
      <w:r>
        <w:t>(1), 1-16.</w:t>
      </w:r>
    </w:p>
    <w:p w:rsidR="003B55BA" w:rsidRDefault="00C65FDD">
      <w:pPr>
        <w:spacing w:before="100" w:beforeAutospacing="1" w:after="100" w:afterAutospacing="1" w:line="240" w:lineRule="auto"/>
      </w:pPr>
      <w:r>
        <w:t>Ewing, R.A.</w:t>
      </w:r>
      <w:r w:rsidR="00D146EA">
        <w:t>,</w:t>
      </w:r>
      <w:r>
        <w:t xml:space="preserve"> &amp; Smith, D.L. (2003). Retaining quality: Beginning teachers in the profession. </w:t>
      </w:r>
      <w:r w:rsidRPr="00D146EA">
        <w:rPr>
          <w:i/>
        </w:rPr>
        <w:t>English Teaching: Practice and Critique</w:t>
      </w:r>
      <w:r w:rsidR="00D146EA">
        <w:rPr>
          <w:i/>
        </w:rPr>
        <w:t>,</w:t>
      </w:r>
      <w:r w:rsidRPr="00D146EA">
        <w:rPr>
          <w:i/>
        </w:rPr>
        <w:t xml:space="preserve"> 2</w:t>
      </w:r>
      <w:r>
        <w:t>(1)</w:t>
      </w:r>
      <w:r w:rsidR="00D146EA">
        <w:t>,</w:t>
      </w:r>
      <w:r>
        <w:t xml:space="preserve"> 15-32.</w:t>
      </w:r>
    </w:p>
    <w:p w:rsidR="003B55BA" w:rsidRDefault="00C65FDD">
      <w:pPr>
        <w:spacing w:before="100" w:beforeAutospacing="1" w:after="100" w:afterAutospacing="1" w:line="240" w:lineRule="auto"/>
      </w:pPr>
      <w:r>
        <w:t xml:space="preserve">Fenwick, </w:t>
      </w:r>
      <w:r w:rsidR="00D146EA">
        <w:t xml:space="preserve">A., &amp; </w:t>
      </w:r>
      <w:r>
        <w:t>Weir</w:t>
      </w:r>
      <w:r w:rsidR="00D146EA">
        <w:t>, D.</w:t>
      </w:r>
      <w:r>
        <w:t xml:space="preserve"> (2010)</w:t>
      </w:r>
      <w:r w:rsidR="00D146EA">
        <w:t xml:space="preserve">. </w:t>
      </w:r>
      <w:r>
        <w:t>The impact of disrupted and disjointed early professional development on beginning teachers</w:t>
      </w:r>
      <w:r w:rsidR="00D146EA">
        <w:t xml:space="preserve">. </w:t>
      </w:r>
      <w:r w:rsidRPr="00D146EA">
        <w:rPr>
          <w:i/>
        </w:rPr>
        <w:t xml:space="preserve">Teacher Development: An </w:t>
      </w:r>
      <w:r w:rsidR="00D146EA">
        <w:rPr>
          <w:i/>
        </w:rPr>
        <w:t>I</w:t>
      </w:r>
      <w:r w:rsidRPr="00D146EA">
        <w:rPr>
          <w:i/>
        </w:rPr>
        <w:t xml:space="preserve">nternational </w:t>
      </w:r>
      <w:r w:rsidR="00D146EA">
        <w:rPr>
          <w:i/>
        </w:rPr>
        <w:t>J</w:t>
      </w:r>
      <w:r w:rsidRPr="00D146EA">
        <w:rPr>
          <w:i/>
        </w:rPr>
        <w:t xml:space="preserve">ournal of </w:t>
      </w:r>
      <w:r w:rsidR="00D146EA">
        <w:rPr>
          <w:i/>
        </w:rPr>
        <w:t>T</w:t>
      </w:r>
      <w:r w:rsidRPr="00D146EA">
        <w:rPr>
          <w:i/>
        </w:rPr>
        <w:t xml:space="preserve">eachers' </w:t>
      </w:r>
      <w:r w:rsidR="00D146EA">
        <w:rPr>
          <w:i/>
        </w:rPr>
        <w:t>P</w:t>
      </w:r>
      <w:r w:rsidRPr="00D146EA">
        <w:rPr>
          <w:i/>
        </w:rPr>
        <w:t xml:space="preserve">rofessional </w:t>
      </w:r>
      <w:r w:rsidR="00D146EA">
        <w:rPr>
          <w:i/>
        </w:rPr>
        <w:t>D</w:t>
      </w:r>
      <w:r w:rsidRPr="00D146EA">
        <w:rPr>
          <w:i/>
        </w:rPr>
        <w:t>evelopment, 14</w:t>
      </w:r>
      <w:r>
        <w:t>(4)</w:t>
      </w:r>
      <w:r w:rsidR="00D146EA">
        <w:t>,</w:t>
      </w:r>
      <w:r>
        <w:t xml:space="preserve"> 501-517</w:t>
      </w:r>
      <w:r w:rsidR="00D146EA">
        <w:t>.</w:t>
      </w:r>
    </w:p>
    <w:p w:rsidR="003B55BA" w:rsidRDefault="00C65FDD">
      <w:pPr>
        <w:spacing w:before="100" w:beforeAutospacing="1" w:after="100" w:afterAutospacing="1" w:line="240" w:lineRule="auto"/>
      </w:pPr>
      <w:r>
        <w:t>Finn, A.</w:t>
      </w:r>
      <w:r w:rsidR="00D146EA">
        <w:t>,</w:t>
      </w:r>
      <w:r>
        <w:t xml:space="preserve"> </w:t>
      </w:r>
      <w:r w:rsidR="00D146EA">
        <w:t xml:space="preserve">&amp; </w:t>
      </w:r>
      <w:r>
        <w:t>Louviere</w:t>
      </w:r>
      <w:r w:rsidR="00D146EA">
        <w:t>, J.J. (</w:t>
      </w:r>
      <w:r>
        <w:t>1992</w:t>
      </w:r>
      <w:r w:rsidR="00D146EA">
        <w:t>)</w:t>
      </w:r>
      <w:r>
        <w:t xml:space="preserve">. Determining the appropriate response to evidence of public concern: The case of food safety. </w:t>
      </w:r>
      <w:r w:rsidRPr="00D146EA">
        <w:rPr>
          <w:i/>
        </w:rPr>
        <w:t>Journal of Public Policy and Marketing</w:t>
      </w:r>
      <w:r w:rsidR="00D146EA" w:rsidRPr="00D146EA">
        <w:t>,</w:t>
      </w:r>
      <w:r w:rsidRPr="00D146EA">
        <w:rPr>
          <w:i/>
        </w:rPr>
        <w:t xml:space="preserve"> 11</w:t>
      </w:r>
      <w:r w:rsidR="00D146EA">
        <w:t>(1),</w:t>
      </w:r>
      <w:r>
        <w:t xml:space="preserve"> 12-25.</w:t>
      </w:r>
    </w:p>
    <w:p w:rsidR="001E7B36" w:rsidRPr="00372793" w:rsidRDefault="001E7B36" w:rsidP="001E7B36">
      <w:r w:rsidRPr="00372793">
        <w:lastRenderedPageBreak/>
        <w:t xml:space="preserve">Flores, M.A. (2006). </w:t>
      </w:r>
      <w:proofErr w:type="gramStart"/>
      <w:r w:rsidRPr="00372793">
        <w:t>Being a novice teacher in two different settings: Struggles, continuities and discontinuities.</w:t>
      </w:r>
      <w:proofErr w:type="gramEnd"/>
      <w:r w:rsidRPr="00372793">
        <w:t xml:space="preserve"> </w:t>
      </w:r>
      <w:r w:rsidRPr="00372793">
        <w:rPr>
          <w:i/>
        </w:rPr>
        <w:t>Teachers College Record,</w:t>
      </w:r>
      <w:r w:rsidRPr="00372793">
        <w:t xml:space="preserve"> </w:t>
      </w:r>
      <w:r w:rsidRPr="00372793">
        <w:rPr>
          <w:i/>
        </w:rPr>
        <w:t>108</w:t>
      </w:r>
      <w:r w:rsidRPr="00372793">
        <w:t>(10), 2021-2052.</w:t>
      </w:r>
    </w:p>
    <w:p w:rsidR="003B55BA" w:rsidRDefault="004C3E79">
      <w:pPr>
        <w:spacing w:before="100" w:beforeAutospacing="1" w:after="100" w:afterAutospacing="1" w:line="240" w:lineRule="auto"/>
      </w:pPr>
      <w:r w:rsidRPr="001F67A3">
        <w:t xml:space="preserve">Flynn, T., Louviere, J.J., Peters, T., </w:t>
      </w:r>
      <w:r>
        <w:t xml:space="preserve">&amp; </w:t>
      </w:r>
      <w:r w:rsidRPr="001F67A3">
        <w:t>Coast</w:t>
      </w:r>
      <w:r>
        <w:t>, J. (</w:t>
      </w:r>
      <w:r w:rsidRPr="001F67A3">
        <w:t>2007</w:t>
      </w:r>
      <w:r>
        <w:t>)</w:t>
      </w:r>
      <w:r w:rsidRPr="001F67A3">
        <w:t>. Best-worst scaling: What it can do for h</w:t>
      </w:r>
      <w:r>
        <w:t xml:space="preserve">ealth </w:t>
      </w:r>
      <w:r w:rsidRPr="001F67A3">
        <w:t>care research and how to do it</w:t>
      </w:r>
      <w:r w:rsidR="00F7025F" w:rsidRPr="00F7025F">
        <w:rPr>
          <w:i/>
        </w:rPr>
        <w:t xml:space="preserve">. </w:t>
      </w:r>
      <w:r w:rsidRPr="004C3E79">
        <w:rPr>
          <w:i/>
        </w:rPr>
        <w:t>Journal of Health Economics</w:t>
      </w:r>
      <w:r w:rsidRPr="004C3E79">
        <w:t xml:space="preserve"> </w:t>
      </w:r>
      <w:r w:rsidR="00F7025F" w:rsidRPr="00F7025F">
        <w:rPr>
          <w:i/>
        </w:rPr>
        <w:t>26</w:t>
      </w:r>
      <w:r>
        <w:t xml:space="preserve">, </w:t>
      </w:r>
      <w:r w:rsidRPr="004C3E79">
        <w:t>171-189.</w:t>
      </w:r>
    </w:p>
    <w:p w:rsidR="003B55BA" w:rsidRDefault="003B55BA">
      <w:pPr>
        <w:spacing w:before="100" w:beforeAutospacing="1" w:after="100" w:afterAutospacing="1" w:line="240" w:lineRule="auto"/>
      </w:pPr>
    </w:p>
    <w:p w:rsidR="003B55BA" w:rsidRDefault="00C65FDD">
      <w:pPr>
        <w:spacing w:before="100" w:beforeAutospacing="1" w:after="100" w:afterAutospacing="1" w:line="240" w:lineRule="auto"/>
      </w:pPr>
      <w:proofErr w:type="spellStart"/>
      <w:proofErr w:type="gramStart"/>
      <w:r>
        <w:t>Gambhir</w:t>
      </w:r>
      <w:proofErr w:type="spellEnd"/>
      <w:r>
        <w:t>, M., Broad, K., Evans, M., &amp; Gaskell, J. (2008).</w:t>
      </w:r>
      <w:proofErr w:type="gramEnd"/>
      <w:r>
        <w:t xml:space="preserve"> Characterizing initial teacher education in Canada: Themes and issues. </w:t>
      </w:r>
      <w:r w:rsidRPr="00D146EA">
        <w:rPr>
          <w:i/>
        </w:rPr>
        <w:t>Report to the International Alliance of Leading Educational Institutes</w:t>
      </w:r>
      <w:r>
        <w:t>. Toronto, ON: University of Toronto/OISE.</w:t>
      </w:r>
    </w:p>
    <w:p w:rsidR="003B55BA" w:rsidRDefault="00C65FDD">
      <w:pPr>
        <w:spacing w:before="100" w:beforeAutospacing="1" w:after="100" w:afterAutospacing="1" w:line="240" w:lineRule="auto"/>
      </w:pPr>
      <w:r>
        <w:t>Hall, I.</w:t>
      </w:r>
      <w:r w:rsidR="00D146EA">
        <w:t>,</w:t>
      </w:r>
      <w:r>
        <w:t xml:space="preserve"> </w:t>
      </w:r>
      <w:r w:rsidR="00D146EA">
        <w:t>&amp;</w:t>
      </w:r>
      <w:r>
        <w:t xml:space="preserve"> Higgins</w:t>
      </w:r>
      <w:r w:rsidR="00D146EA">
        <w:t>, S</w:t>
      </w:r>
      <w:proofErr w:type="gramStart"/>
      <w:r w:rsidR="00D146EA">
        <w:t>.(</w:t>
      </w:r>
      <w:proofErr w:type="gramEnd"/>
      <w:r>
        <w:t>2005</w:t>
      </w:r>
      <w:r w:rsidR="00D146EA">
        <w:t>)</w:t>
      </w:r>
      <w:r>
        <w:t xml:space="preserve">. </w:t>
      </w:r>
      <w:proofErr w:type="gramStart"/>
      <w:r>
        <w:t>Primary school students’ perceptions of interactive whiteboards.</w:t>
      </w:r>
      <w:proofErr w:type="gramEnd"/>
      <w:r>
        <w:t xml:space="preserve"> </w:t>
      </w:r>
      <w:r w:rsidRPr="00D146EA">
        <w:rPr>
          <w:i/>
        </w:rPr>
        <w:t>Journal of Computer Assisted Learning, 21</w:t>
      </w:r>
      <w:r>
        <w:t>, 102-117.</w:t>
      </w:r>
    </w:p>
    <w:p w:rsidR="003B55BA" w:rsidRDefault="00C65FDD">
      <w:pPr>
        <w:spacing w:before="100" w:beforeAutospacing="1" w:after="100" w:afterAutospacing="1" w:line="240" w:lineRule="auto"/>
      </w:pPr>
      <w:r>
        <w:t xml:space="preserve">Hancock, </w:t>
      </w:r>
      <w:r w:rsidR="00D146EA">
        <w:t>C.</w:t>
      </w:r>
      <w:r>
        <w:t>B.</w:t>
      </w:r>
      <w:r w:rsidR="00D146EA">
        <w:t>,</w:t>
      </w:r>
      <w:r>
        <w:t xml:space="preserve"> </w:t>
      </w:r>
      <w:r w:rsidR="00D146EA">
        <w:t xml:space="preserve">&amp; </w:t>
      </w:r>
      <w:proofErr w:type="spellStart"/>
      <w:r>
        <w:t>Scherff</w:t>
      </w:r>
      <w:proofErr w:type="spellEnd"/>
      <w:r w:rsidR="00D146EA">
        <w:t>, L.</w:t>
      </w:r>
      <w:r>
        <w:t xml:space="preserve"> (2010)</w:t>
      </w:r>
      <w:r w:rsidR="00D146EA">
        <w:t>.</w:t>
      </w:r>
      <w:r>
        <w:t xml:space="preserve"> Who Will Stay and Who Will Leave? Predicting Secondary English Teacher Attrition Risk</w:t>
      </w:r>
      <w:r w:rsidR="00D146EA">
        <w:t xml:space="preserve">. </w:t>
      </w:r>
      <w:r w:rsidRPr="00D146EA">
        <w:rPr>
          <w:i/>
        </w:rPr>
        <w:t>Journal of Teacher Education</w:t>
      </w:r>
      <w:r w:rsidR="00D146EA">
        <w:rPr>
          <w:i/>
        </w:rPr>
        <w:t>,</w:t>
      </w:r>
      <w:r w:rsidRPr="00D146EA">
        <w:rPr>
          <w:i/>
        </w:rPr>
        <w:t xml:space="preserve"> 61</w:t>
      </w:r>
      <w:r>
        <w:t>(4)</w:t>
      </w:r>
      <w:r w:rsidR="00D146EA">
        <w:t>, 328-</w:t>
      </w:r>
      <w:r>
        <w:t>338.</w:t>
      </w:r>
    </w:p>
    <w:p w:rsidR="003B55BA" w:rsidRDefault="00C65FDD">
      <w:pPr>
        <w:spacing w:before="100" w:beforeAutospacing="1" w:after="100" w:afterAutospacing="1" w:line="240" w:lineRule="auto"/>
      </w:pPr>
      <w:r>
        <w:t xml:space="preserve">Hattie, </w:t>
      </w:r>
      <w:r w:rsidR="00D146EA">
        <w:t xml:space="preserve">J. </w:t>
      </w:r>
      <w:r>
        <w:t>(2005)</w:t>
      </w:r>
      <w:r w:rsidR="00D146EA">
        <w:t xml:space="preserve">. </w:t>
      </w:r>
      <w:proofErr w:type="gramStart"/>
      <w:r>
        <w:t>The paradox of reducing class size and improving learning outcomes.</w:t>
      </w:r>
      <w:proofErr w:type="gramEnd"/>
      <w:r>
        <w:t xml:space="preserve"> </w:t>
      </w:r>
      <w:r w:rsidRPr="00D146EA">
        <w:rPr>
          <w:i/>
        </w:rPr>
        <w:t>International Journal of Educational Research</w:t>
      </w:r>
      <w:r w:rsidR="00D146EA">
        <w:rPr>
          <w:i/>
        </w:rPr>
        <w:t>,</w:t>
      </w:r>
      <w:r>
        <w:t xml:space="preserve"> </w:t>
      </w:r>
      <w:r w:rsidRPr="00D146EA">
        <w:rPr>
          <w:i/>
        </w:rPr>
        <w:t>43</w:t>
      </w:r>
      <w:r w:rsidR="00D146EA">
        <w:t xml:space="preserve">, </w:t>
      </w:r>
      <w:r>
        <w:t>387–425.</w:t>
      </w:r>
    </w:p>
    <w:p w:rsidR="003B55BA" w:rsidRDefault="00C65FDD">
      <w:pPr>
        <w:spacing w:before="100" w:beforeAutospacing="1" w:after="100" w:afterAutospacing="1" w:line="240" w:lineRule="auto"/>
      </w:pPr>
      <w:r>
        <w:t xml:space="preserve">House of Commons Education and Skills Committee (2004). Secondary Education: Teacher Retention and Recruitment, Fifth Report of Session 2003–04, Volume 1. London: The Stationery Office Ltd. Retrieved 2 June 2010 from </w:t>
      </w:r>
      <w:hyperlink r:id="rId11" w:history="1">
        <w:r w:rsidR="00F670BF" w:rsidRPr="0072728F">
          <w:rPr>
            <w:rStyle w:val="Hyperlink"/>
          </w:rPr>
          <w:t>http://www.publications.parliament.uk/pa/cm200304/cmselect/cmeduski/1057/1057.pdf</w:t>
        </w:r>
      </w:hyperlink>
      <w:r w:rsidR="00F670BF">
        <w:t>.</w:t>
      </w:r>
    </w:p>
    <w:p w:rsidR="003B55BA" w:rsidRDefault="00F7025F">
      <w:pPr>
        <w:spacing w:before="100" w:beforeAutospacing="1" w:after="100" w:afterAutospacing="1" w:line="240" w:lineRule="auto"/>
      </w:pPr>
      <w:r w:rsidRPr="00F7025F">
        <w:rPr>
          <w:rFonts w:cs="Times"/>
          <w:color w:val="002800"/>
          <w:lang w:val="en-US"/>
        </w:rPr>
        <w:t xml:space="preserve">Johnson, R. B., &amp; </w:t>
      </w:r>
      <w:proofErr w:type="spellStart"/>
      <w:r w:rsidRPr="00F7025F">
        <w:rPr>
          <w:rFonts w:cs="Times"/>
          <w:color w:val="002800"/>
          <w:lang w:val="en-US"/>
        </w:rPr>
        <w:t>Onwuegbuzie</w:t>
      </w:r>
      <w:proofErr w:type="spellEnd"/>
      <w:r w:rsidRPr="00F7025F">
        <w:rPr>
          <w:rFonts w:cs="Times"/>
          <w:color w:val="002800"/>
          <w:lang w:val="en-US"/>
        </w:rPr>
        <w:t>, A. J. (2</w:t>
      </w:r>
      <w:r w:rsidR="00284D3B" w:rsidRPr="00683CE5">
        <w:rPr>
          <w:rFonts w:cs="Times"/>
          <w:color w:val="002800"/>
          <w:lang w:val="en-US"/>
        </w:rPr>
        <w:t>004</w:t>
      </w:r>
      <w:r w:rsidRPr="00F7025F">
        <w:rPr>
          <w:rFonts w:cs="Times"/>
          <w:color w:val="002800"/>
          <w:lang w:val="en-US"/>
        </w:rPr>
        <w:t xml:space="preserve">). Mixed Methods Research: A Research Paradigm </w:t>
      </w:r>
      <w:proofErr w:type="gramStart"/>
      <w:r w:rsidRPr="00F7025F">
        <w:rPr>
          <w:rFonts w:cs="Times"/>
          <w:color w:val="002800"/>
          <w:lang w:val="en-US"/>
        </w:rPr>
        <w:t>Whose</w:t>
      </w:r>
      <w:proofErr w:type="gramEnd"/>
      <w:r w:rsidRPr="00F7025F">
        <w:rPr>
          <w:rFonts w:cs="Times"/>
          <w:color w:val="002800"/>
          <w:lang w:val="en-US"/>
        </w:rPr>
        <w:t xml:space="preserve"> Time Has Come. </w:t>
      </w:r>
      <w:r w:rsidRPr="00F7025F">
        <w:rPr>
          <w:rFonts w:cs="Times"/>
          <w:i/>
          <w:iCs/>
          <w:color w:val="002800"/>
          <w:lang w:val="en-US"/>
        </w:rPr>
        <w:t>Educational Researcher</w:t>
      </w:r>
      <w:r w:rsidRPr="00F7025F">
        <w:rPr>
          <w:rFonts w:cs="Times"/>
          <w:color w:val="002800"/>
          <w:lang w:val="en-US"/>
        </w:rPr>
        <w:t xml:space="preserve">, </w:t>
      </w:r>
      <w:r w:rsidRPr="00F7025F">
        <w:rPr>
          <w:rFonts w:cs="Times"/>
          <w:i/>
          <w:iCs/>
          <w:color w:val="002800"/>
          <w:lang w:val="en-US"/>
        </w:rPr>
        <w:t>33(7)</w:t>
      </w:r>
      <w:r w:rsidRPr="00F7025F">
        <w:rPr>
          <w:rFonts w:cs="Times"/>
          <w:color w:val="002800"/>
          <w:lang w:val="en-US"/>
        </w:rPr>
        <w:t>, 14-26.</w:t>
      </w:r>
      <w:r w:rsidR="00284D3B" w:rsidRPr="00284D3B">
        <w:t xml:space="preserve"> </w:t>
      </w:r>
    </w:p>
    <w:p w:rsidR="003B55BA" w:rsidRDefault="00C65FDD">
      <w:pPr>
        <w:spacing w:before="100" w:beforeAutospacing="1" w:after="100" w:afterAutospacing="1" w:line="240" w:lineRule="auto"/>
      </w:pPr>
      <w:r>
        <w:t xml:space="preserve">Ingersoll, </w:t>
      </w:r>
      <w:r w:rsidR="00F670BF">
        <w:t xml:space="preserve">R.M., &amp; </w:t>
      </w:r>
      <w:r>
        <w:t>Smith</w:t>
      </w:r>
      <w:r w:rsidR="00F670BF">
        <w:t>, T.M. (</w:t>
      </w:r>
      <w:r>
        <w:t>2003</w:t>
      </w:r>
      <w:r w:rsidR="00F670BF">
        <w:t>)</w:t>
      </w:r>
      <w:r>
        <w:t xml:space="preserve">. </w:t>
      </w:r>
      <w:proofErr w:type="gramStart"/>
      <w:r>
        <w:t>The Wrong Solution to the Teacher Shortage, Keeping Good Teachers</w:t>
      </w:r>
      <w:r w:rsidR="00F670BF">
        <w:t>.</w:t>
      </w:r>
      <w:proofErr w:type="gramEnd"/>
      <w:r w:rsidR="00F670BF">
        <w:t xml:space="preserve"> </w:t>
      </w:r>
      <w:r w:rsidRPr="00F670BF">
        <w:rPr>
          <w:i/>
        </w:rPr>
        <w:t>Educational Leadership, 60</w:t>
      </w:r>
      <w:r>
        <w:t>(8), 30-33.</w:t>
      </w:r>
    </w:p>
    <w:p w:rsidR="003B55BA" w:rsidRDefault="00C65FDD">
      <w:pPr>
        <w:spacing w:before="100" w:beforeAutospacing="1" w:after="100" w:afterAutospacing="1" w:line="240" w:lineRule="auto"/>
      </w:pPr>
      <w:r>
        <w:t>Kearney, M.D.</w:t>
      </w:r>
      <w:r w:rsidR="00FA2B8C">
        <w:t xml:space="preserve">, &amp; </w:t>
      </w:r>
      <w:r>
        <w:t>Schuck, S.R.</w:t>
      </w:r>
      <w:r w:rsidR="00FA2B8C">
        <w:t xml:space="preserve"> (</w:t>
      </w:r>
      <w:r>
        <w:t>2008</w:t>
      </w:r>
      <w:r w:rsidR="00FA2B8C">
        <w:t xml:space="preserve">). </w:t>
      </w:r>
      <w:r>
        <w:t>Exploring pedagogy with interactive wh</w:t>
      </w:r>
      <w:r w:rsidR="00FA2B8C">
        <w:t xml:space="preserve">iteboards in Australian school. </w:t>
      </w:r>
      <w:r w:rsidRPr="00FA2B8C">
        <w:rPr>
          <w:i/>
        </w:rPr>
        <w:t xml:space="preserve">Australian Educational Computing, </w:t>
      </w:r>
      <w:r w:rsidR="00FA2B8C" w:rsidRPr="00FA2B8C">
        <w:rPr>
          <w:i/>
        </w:rPr>
        <w:t>23</w:t>
      </w:r>
      <w:r w:rsidR="00FA2B8C">
        <w:t xml:space="preserve"> (1), </w:t>
      </w:r>
      <w:r>
        <w:t>8-13.</w:t>
      </w:r>
    </w:p>
    <w:p w:rsidR="003B55BA" w:rsidRDefault="00C65FDD">
      <w:pPr>
        <w:spacing w:before="100" w:beforeAutospacing="1" w:after="100" w:afterAutospacing="1" w:line="240" w:lineRule="auto"/>
      </w:pPr>
      <w:r>
        <w:t xml:space="preserve">Lam, </w:t>
      </w:r>
      <w:r w:rsidR="00FA2B8C">
        <w:t xml:space="preserve">B., &amp; </w:t>
      </w:r>
      <w:r>
        <w:t>Yan</w:t>
      </w:r>
      <w:r w:rsidR="00FA2B8C">
        <w:t>, H.</w:t>
      </w:r>
      <w:r>
        <w:t xml:space="preserve"> (2011)</w:t>
      </w:r>
      <w:r w:rsidR="00FA2B8C">
        <w:t xml:space="preserve">. </w:t>
      </w:r>
      <w:r>
        <w:t xml:space="preserve">Beginning teachers’ job satisfaction: the impact of school-based factors, </w:t>
      </w:r>
      <w:r w:rsidRPr="00FA2B8C">
        <w:rPr>
          <w:i/>
        </w:rPr>
        <w:t>Teacher Development: An</w:t>
      </w:r>
      <w:r w:rsidR="00FA2B8C" w:rsidRPr="00FA2B8C">
        <w:rPr>
          <w:i/>
        </w:rPr>
        <w:t xml:space="preserve"> I</w:t>
      </w:r>
      <w:r w:rsidRPr="00FA2B8C">
        <w:rPr>
          <w:i/>
        </w:rPr>
        <w:t xml:space="preserve">nternational </w:t>
      </w:r>
      <w:r w:rsidR="00FA2B8C" w:rsidRPr="00FA2B8C">
        <w:rPr>
          <w:i/>
        </w:rPr>
        <w:t>J</w:t>
      </w:r>
      <w:r w:rsidRPr="00FA2B8C">
        <w:rPr>
          <w:i/>
        </w:rPr>
        <w:t xml:space="preserve">ournal of </w:t>
      </w:r>
      <w:r w:rsidR="00FA2B8C" w:rsidRPr="00FA2B8C">
        <w:rPr>
          <w:i/>
        </w:rPr>
        <w:t>T</w:t>
      </w:r>
      <w:r w:rsidRPr="00FA2B8C">
        <w:rPr>
          <w:i/>
        </w:rPr>
        <w:t xml:space="preserve">eachers' </w:t>
      </w:r>
      <w:r w:rsidR="00FA2B8C" w:rsidRPr="00FA2B8C">
        <w:rPr>
          <w:i/>
        </w:rPr>
        <w:t>P</w:t>
      </w:r>
      <w:r w:rsidRPr="00FA2B8C">
        <w:rPr>
          <w:i/>
        </w:rPr>
        <w:t xml:space="preserve">rofessional </w:t>
      </w:r>
      <w:r w:rsidR="00FA2B8C" w:rsidRPr="00FA2B8C">
        <w:rPr>
          <w:i/>
        </w:rPr>
        <w:t>D</w:t>
      </w:r>
      <w:r w:rsidRPr="00FA2B8C">
        <w:rPr>
          <w:i/>
        </w:rPr>
        <w:t>evelopment, 15</w:t>
      </w:r>
      <w:r w:rsidR="00FA2B8C">
        <w:t>(</w:t>
      </w:r>
      <w:r>
        <w:t>3</w:t>
      </w:r>
      <w:r w:rsidR="00FA2B8C">
        <w:t>)</w:t>
      </w:r>
      <w:r>
        <w:t>, 333-348</w:t>
      </w:r>
      <w:r w:rsidR="00FA2B8C">
        <w:t>.</w:t>
      </w:r>
    </w:p>
    <w:p w:rsidR="003B55BA" w:rsidRDefault="00C65FDD">
      <w:pPr>
        <w:spacing w:before="100" w:beforeAutospacing="1" w:after="100" w:afterAutospacing="1" w:line="240" w:lineRule="auto"/>
      </w:pPr>
      <w:proofErr w:type="spellStart"/>
      <w:r>
        <w:t>Lancsar</w:t>
      </w:r>
      <w:proofErr w:type="spellEnd"/>
      <w:r>
        <w:t>, E., Louviere</w:t>
      </w:r>
      <w:r w:rsidR="00FA2B8C">
        <w:t>, J.J.</w:t>
      </w:r>
      <w:r>
        <w:t xml:space="preserve">, </w:t>
      </w:r>
      <w:r w:rsidR="00FA2B8C">
        <w:t xml:space="preserve">&amp; </w:t>
      </w:r>
      <w:r>
        <w:t>Flynn</w:t>
      </w:r>
      <w:r w:rsidR="00FA2B8C">
        <w:t>, T.N. (</w:t>
      </w:r>
      <w:r>
        <w:t>2007</w:t>
      </w:r>
      <w:r w:rsidR="00FA2B8C">
        <w:t>)</w:t>
      </w:r>
      <w:r>
        <w:t xml:space="preserve">. Several methods to investigate relative attribute impact in stated preference experiments. </w:t>
      </w:r>
      <w:r w:rsidRPr="00FA2B8C">
        <w:rPr>
          <w:i/>
        </w:rPr>
        <w:t>Social Science &amp; Medicine</w:t>
      </w:r>
      <w:r w:rsidR="00FA2B8C">
        <w:rPr>
          <w:i/>
        </w:rPr>
        <w:t>,</w:t>
      </w:r>
      <w:r w:rsidRPr="00FA2B8C">
        <w:rPr>
          <w:i/>
        </w:rPr>
        <w:t xml:space="preserve"> 64</w:t>
      </w:r>
      <w:r>
        <w:t xml:space="preserve"> (8)</w:t>
      </w:r>
      <w:r w:rsidR="00FA2B8C">
        <w:t>,</w:t>
      </w:r>
      <w:r>
        <w:t xml:space="preserve"> 1738-</w:t>
      </w:r>
      <w:r w:rsidR="00FA2B8C">
        <w:t>17</w:t>
      </w:r>
      <w:r>
        <w:t>53.</w:t>
      </w:r>
    </w:p>
    <w:p w:rsidR="003B55BA" w:rsidRDefault="00C65FDD">
      <w:pPr>
        <w:spacing w:before="100" w:beforeAutospacing="1" w:after="100" w:afterAutospacing="1" w:line="240" w:lineRule="auto"/>
      </w:pPr>
      <w:r>
        <w:t xml:space="preserve">Lee, J. A., </w:t>
      </w:r>
      <w:proofErr w:type="spellStart"/>
      <w:r>
        <w:t>Soutar</w:t>
      </w:r>
      <w:proofErr w:type="spellEnd"/>
      <w:r w:rsidR="00FA2B8C">
        <w:t xml:space="preserve">, G.N., &amp; </w:t>
      </w:r>
      <w:r>
        <w:t>Louviere</w:t>
      </w:r>
      <w:r w:rsidR="00FA2B8C">
        <w:t>, J.</w:t>
      </w:r>
      <w:r>
        <w:t xml:space="preserve"> (2007)</w:t>
      </w:r>
      <w:r w:rsidR="00FA2B8C">
        <w:t xml:space="preserve">. </w:t>
      </w:r>
      <w:r>
        <w:t>Measuring Values Using Best-Worst Scaling: The LOV Example</w:t>
      </w:r>
      <w:r w:rsidR="00FA2B8C">
        <w:t xml:space="preserve">. </w:t>
      </w:r>
      <w:r w:rsidRPr="00FA2B8C">
        <w:rPr>
          <w:i/>
        </w:rPr>
        <w:t>Psychology &amp; Marketing</w:t>
      </w:r>
      <w:r w:rsidR="00FA2B8C">
        <w:rPr>
          <w:i/>
        </w:rPr>
        <w:t>,</w:t>
      </w:r>
      <w:r w:rsidRPr="00FA2B8C">
        <w:rPr>
          <w:i/>
        </w:rPr>
        <w:t xml:space="preserve"> 24</w:t>
      </w:r>
      <w:r w:rsidR="00FA2B8C">
        <w:t xml:space="preserve">(12), </w:t>
      </w:r>
      <w:r>
        <w:t>1043-1058.</w:t>
      </w:r>
    </w:p>
    <w:p w:rsidR="003B55BA" w:rsidRDefault="00C65FDD">
      <w:pPr>
        <w:spacing w:before="100" w:beforeAutospacing="1" w:after="100" w:afterAutospacing="1" w:line="240" w:lineRule="auto"/>
      </w:pPr>
      <w:r>
        <w:t xml:space="preserve">Lee, J. A., G. </w:t>
      </w:r>
      <w:proofErr w:type="spellStart"/>
      <w:r>
        <w:t>Soutar</w:t>
      </w:r>
      <w:proofErr w:type="spellEnd"/>
      <w:r>
        <w:t>, and J. Louviere. 2008. “The Best-Worst Scaling Approach: An Alternative to Schwartz’s Values Survey.” Journal of Personality Assessment 90(4): 335-347.</w:t>
      </w:r>
    </w:p>
    <w:p w:rsidR="003B55BA" w:rsidRDefault="00F702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line="240" w:lineRule="auto"/>
        <w:rPr>
          <w:rFonts w:cs="Times"/>
          <w:color w:val="000000"/>
          <w:lang w:val="en-US"/>
        </w:rPr>
      </w:pPr>
      <w:proofErr w:type="spellStart"/>
      <w:r w:rsidRPr="00F7025F">
        <w:rPr>
          <w:rFonts w:cs="Times"/>
          <w:color w:val="000000"/>
          <w:lang w:val="en-US"/>
        </w:rPr>
        <w:t>Liamputtong</w:t>
      </w:r>
      <w:proofErr w:type="spellEnd"/>
      <w:r w:rsidRPr="00F7025F">
        <w:rPr>
          <w:rFonts w:cs="Times"/>
          <w:color w:val="000000"/>
          <w:lang w:val="en-US"/>
        </w:rPr>
        <w:t xml:space="preserve">, P. and </w:t>
      </w:r>
      <w:proofErr w:type="spellStart"/>
      <w:r w:rsidRPr="00F7025F">
        <w:rPr>
          <w:rFonts w:cs="Times"/>
          <w:color w:val="000000"/>
          <w:lang w:val="en-US"/>
        </w:rPr>
        <w:t>Ezzy</w:t>
      </w:r>
      <w:proofErr w:type="spellEnd"/>
      <w:r w:rsidRPr="00F7025F">
        <w:rPr>
          <w:rFonts w:cs="Times"/>
          <w:color w:val="000000"/>
          <w:lang w:val="en-US"/>
        </w:rPr>
        <w:t xml:space="preserve">, D. (2005) Qualitative Research Methods. South </w:t>
      </w:r>
      <w:proofErr w:type="spellStart"/>
      <w:r w:rsidRPr="00F7025F">
        <w:rPr>
          <w:rFonts w:cs="Times"/>
          <w:color w:val="000000"/>
          <w:lang w:val="en-US"/>
        </w:rPr>
        <w:t>Melbourne</w:t>
      </w:r>
      <w:proofErr w:type="gramStart"/>
      <w:r w:rsidRPr="00F7025F">
        <w:rPr>
          <w:rFonts w:cs="Times"/>
          <w:color w:val="000000"/>
          <w:lang w:val="en-US"/>
        </w:rPr>
        <w:t>:Oxford</w:t>
      </w:r>
      <w:proofErr w:type="spellEnd"/>
      <w:proofErr w:type="gramEnd"/>
      <w:r w:rsidRPr="00F7025F">
        <w:rPr>
          <w:rFonts w:cs="Times"/>
          <w:color w:val="000000"/>
          <w:lang w:val="en-US"/>
        </w:rPr>
        <w:t xml:space="preserve"> University Press.</w:t>
      </w:r>
    </w:p>
    <w:p w:rsidR="003B55BA" w:rsidRDefault="00C65F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line="240" w:lineRule="auto"/>
      </w:pPr>
      <w:proofErr w:type="gramStart"/>
      <w:r>
        <w:lastRenderedPageBreak/>
        <w:t xml:space="preserve">Liu, </w:t>
      </w:r>
      <w:r w:rsidR="0023545F">
        <w:t xml:space="preserve">S., &amp; </w:t>
      </w:r>
      <w:proofErr w:type="spellStart"/>
      <w:r>
        <w:t>Onwuegbuzie</w:t>
      </w:r>
      <w:proofErr w:type="spellEnd"/>
      <w:r w:rsidR="0023545F">
        <w:t>, A.J.</w:t>
      </w:r>
      <w:r>
        <w:t xml:space="preserve"> (2012)</w:t>
      </w:r>
      <w:r w:rsidR="0023545F">
        <w:t>.</w:t>
      </w:r>
      <w:proofErr w:type="gramEnd"/>
      <w:r>
        <w:t xml:space="preserve"> </w:t>
      </w:r>
      <w:proofErr w:type="gramStart"/>
      <w:r>
        <w:t>Chinese teachers’ work stress and their turnover intention</w:t>
      </w:r>
      <w:r w:rsidR="0023545F">
        <w:t>.</w:t>
      </w:r>
      <w:proofErr w:type="gramEnd"/>
      <w:r>
        <w:t xml:space="preserve"> </w:t>
      </w:r>
      <w:r w:rsidRPr="0023545F">
        <w:rPr>
          <w:i/>
        </w:rPr>
        <w:t xml:space="preserve">International Journal of Educational Research, 53, </w:t>
      </w:r>
      <w:r>
        <w:t>160-170.</w:t>
      </w:r>
    </w:p>
    <w:p w:rsidR="003B55BA" w:rsidRDefault="00C65FDD">
      <w:pPr>
        <w:spacing w:before="100" w:beforeAutospacing="1" w:after="100" w:afterAutospacing="1" w:line="240" w:lineRule="auto"/>
      </w:pPr>
      <w:r>
        <w:t xml:space="preserve">Louviere, J. </w:t>
      </w:r>
      <w:r w:rsidR="0023545F">
        <w:t>(</w:t>
      </w:r>
      <w:r>
        <w:t>2012</w:t>
      </w:r>
      <w:r w:rsidR="0023545F">
        <w:t>)</w:t>
      </w:r>
      <w:r>
        <w:t xml:space="preserve">. Choice modelling: the state of the art and the state of practice. </w:t>
      </w:r>
      <w:r w:rsidR="0023545F">
        <w:t xml:space="preserve">In </w:t>
      </w:r>
      <w:r w:rsidR="00B5258D">
        <w:t xml:space="preserve">S. Hess &amp; A. Daly (Eds.), </w:t>
      </w:r>
      <w:r w:rsidRPr="0023545F">
        <w:rPr>
          <w:i/>
        </w:rPr>
        <w:t>Proceedings from the second International Choice Modelling Conference</w:t>
      </w:r>
      <w:r>
        <w:t>. Edward Elgar.</w:t>
      </w:r>
    </w:p>
    <w:p w:rsidR="003B55BA" w:rsidRDefault="00C65FDD">
      <w:pPr>
        <w:spacing w:before="100" w:beforeAutospacing="1" w:after="100" w:afterAutospacing="1" w:line="240" w:lineRule="auto"/>
      </w:pPr>
      <w:proofErr w:type="gramStart"/>
      <w:r>
        <w:t>Louviere, J.</w:t>
      </w:r>
      <w:r w:rsidR="00032A8A">
        <w:t>,</w:t>
      </w:r>
      <w:r>
        <w:t xml:space="preserve"> </w:t>
      </w:r>
      <w:r w:rsidR="00C06F61">
        <w:t xml:space="preserve">&amp; </w:t>
      </w:r>
      <w:r>
        <w:t>Islam, T. (2008)</w:t>
      </w:r>
      <w:r w:rsidR="00032A8A">
        <w:t>.</w:t>
      </w:r>
      <w:proofErr w:type="gramEnd"/>
      <w:r w:rsidR="00032A8A">
        <w:t xml:space="preserve"> </w:t>
      </w:r>
      <w:r>
        <w:t>A Comparison of Importance Weights and Willingness-To-Pay</w:t>
      </w:r>
      <w:r w:rsidR="00032A8A">
        <w:t xml:space="preserve"> </w:t>
      </w:r>
      <w:r>
        <w:t>Measures Derived from Choice-Based Conjoint, Constant Sum Scales and Best-Worst</w:t>
      </w:r>
      <w:r w:rsidR="00032A8A">
        <w:t xml:space="preserve"> </w:t>
      </w:r>
      <w:r>
        <w:t xml:space="preserve">Scaling. </w:t>
      </w:r>
      <w:r w:rsidRPr="00032A8A">
        <w:rPr>
          <w:i/>
        </w:rPr>
        <w:t>Journal of Business Research</w:t>
      </w:r>
      <w:r w:rsidR="00032A8A">
        <w:rPr>
          <w:i/>
        </w:rPr>
        <w:t>,</w:t>
      </w:r>
      <w:r w:rsidRPr="00032A8A">
        <w:rPr>
          <w:i/>
        </w:rPr>
        <w:t xml:space="preserve"> 61</w:t>
      </w:r>
      <w:r>
        <w:t>(9)</w:t>
      </w:r>
      <w:r w:rsidR="00032A8A">
        <w:t xml:space="preserve">, </w:t>
      </w:r>
      <w:r>
        <w:t>903-911.</w:t>
      </w:r>
    </w:p>
    <w:p w:rsidR="003B55BA" w:rsidRDefault="00C65FDD">
      <w:pPr>
        <w:spacing w:before="100" w:beforeAutospacing="1" w:after="100" w:afterAutospacing="1" w:line="240" w:lineRule="auto"/>
      </w:pPr>
      <w:r>
        <w:t>Louviere, J. J.</w:t>
      </w:r>
      <w:r w:rsidR="00032A8A">
        <w:t xml:space="preserve">, &amp; </w:t>
      </w:r>
      <w:r>
        <w:t>Woodworth</w:t>
      </w:r>
      <w:r w:rsidR="00032A8A">
        <w:t>, G.</w:t>
      </w:r>
      <w:r>
        <w:t xml:space="preserve"> (1983). Design and Analysis of Simulated Consumer Choice or Allocation Experiments: An Approach Based on Aggregate Data. </w:t>
      </w:r>
      <w:r w:rsidR="00032A8A">
        <w:t xml:space="preserve"> </w:t>
      </w:r>
      <w:r w:rsidRPr="00032A8A">
        <w:rPr>
          <w:i/>
        </w:rPr>
        <w:t>Journal of Marketing Research</w:t>
      </w:r>
      <w:r w:rsidR="00032A8A" w:rsidRPr="00032A8A">
        <w:rPr>
          <w:i/>
        </w:rPr>
        <w:t xml:space="preserve">, </w:t>
      </w:r>
      <w:r w:rsidRPr="00032A8A">
        <w:rPr>
          <w:i/>
        </w:rPr>
        <w:t>20</w:t>
      </w:r>
      <w:r w:rsidR="00032A8A">
        <w:t xml:space="preserve">, </w:t>
      </w:r>
      <w:r>
        <w:t>350-367.</w:t>
      </w:r>
    </w:p>
    <w:p w:rsidR="003B55BA" w:rsidRDefault="00C65FDD">
      <w:pPr>
        <w:spacing w:before="100" w:beforeAutospacing="1" w:after="100" w:afterAutospacing="1" w:line="240" w:lineRule="auto"/>
      </w:pPr>
      <w:r>
        <w:t>Marley, A.A.</w:t>
      </w:r>
      <w:r w:rsidR="009D246E">
        <w:t>,</w:t>
      </w:r>
      <w:r>
        <w:t xml:space="preserve"> </w:t>
      </w:r>
      <w:r w:rsidR="009D246E">
        <w:t xml:space="preserve">&amp; </w:t>
      </w:r>
      <w:r>
        <w:t>Louviere</w:t>
      </w:r>
      <w:r w:rsidR="009D246E">
        <w:t>, J.J. (</w:t>
      </w:r>
      <w:r>
        <w:t>2005</w:t>
      </w:r>
      <w:r w:rsidR="009D246E">
        <w:t>)</w:t>
      </w:r>
      <w:r>
        <w:t xml:space="preserve">. </w:t>
      </w:r>
      <w:proofErr w:type="gramStart"/>
      <w:r>
        <w:t>Some probabilistic models of best, worst, and best/worst choices.</w:t>
      </w:r>
      <w:proofErr w:type="gramEnd"/>
      <w:r>
        <w:t xml:space="preserve"> </w:t>
      </w:r>
      <w:proofErr w:type="gramStart"/>
      <w:r w:rsidRPr="009D246E">
        <w:rPr>
          <w:i/>
        </w:rPr>
        <w:t>Journal of Mathematical Psychology</w:t>
      </w:r>
      <w:r w:rsidR="009D246E">
        <w:rPr>
          <w:i/>
        </w:rPr>
        <w:t>,</w:t>
      </w:r>
      <w:r w:rsidRPr="009D246E">
        <w:rPr>
          <w:i/>
        </w:rPr>
        <w:t xml:space="preserve"> 49</w:t>
      </w:r>
      <w:r w:rsidR="009D246E">
        <w:t xml:space="preserve"> (6), </w:t>
      </w:r>
      <w:r>
        <w:t>464-80.</w:t>
      </w:r>
      <w:proofErr w:type="gramEnd"/>
    </w:p>
    <w:p w:rsidR="003B55BA" w:rsidRDefault="00C65FDD">
      <w:pPr>
        <w:spacing w:before="100" w:beforeAutospacing="1" w:after="100" w:afterAutospacing="1" w:line="240" w:lineRule="auto"/>
      </w:pPr>
      <w:proofErr w:type="spellStart"/>
      <w:r>
        <w:t>Marable</w:t>
      </w:r>
      <w:proofErr w:type="spellEnd"/>
      <w:r>
        <w:t xml:space="preserve">, </w:t>
      </w:r>
      <w:r w:rsidR="009D246E">
        <w:t>M.</w:t>
      </w:r>
      <w:r>
        <w:t>A.</w:t>
      </w:r>
      <w:r w:rsidR="009D246E">
        <w:t>,</w:t>
      </w:r>
      <w:r>
        <w:t xml:space="preserve"> </w:t>
      </w:r>
      <w:r w:rsidR="00C06F61">
        <w:t>&amp;</w:t>
      </w:r>
      <w:r>
        <w:t xml:space="preserve"> Raimondi</w:t>
      </w:r>
      <w:r w:rsidR="009D246E">
        <w:t>, S.L. (</w:t>
      </w:r>
      <w:r>
        <w:t>2007</w:t>
      </w:r>
      <w:r w:rsidR="009D246E">
        <w:t>)</w:t>
      </w:r>
      <w:r>
        <w:t xml:space="preserve">. Teachers’ perceptions of what was most (and least) supportive during their first year of teaching. </w:t>
      </w:r>
      <w:r w:rsidRPr="009D246E">
        <w:rPr>
          <w:i/>
        </w:rPr>
        <w:t>Mentoring &amp; Tutoring</w:t>
      </w:r>
      <w:r w:rsidR="009D246E">
        <w:rPr>
          <w:i/>
        </w:rPr>
        <w:t>,</w:t>
      </w:r>
      <w:r w:rsidRPr="009D246E">
        <w:rPr>
          <w:i/>
        </w:rPr>
        <w:t xml:space="preserve"> 15</w:t>
      </w:r>
      <w:r>
        <w:t xml:space="preserve"> (1)</w:t>
      </w:r>
      <w:r w:rsidR="009D246E">
        <w:t>,</w:t>
      </w:r>
      <w:r>
        <w:t xml:space="preserve"> 25-37. </w:t>
      </w:r>
    </w:p>
    <w:p w:rsidR="003B55BA" w:rsidRDefault="00C65FDD">
      <w:pPr>
        <w:spacing w:before="100" w:beforeAutospacing="1" w:after="100" w:afterAutospacing="1" w:line="240" w:lineRule="auto"/>
      </w:pPr>
      <w:r>
        <w:t xml:space="preserve">Manuel, </w:t>
      </w:r>
      <w:r w:rsidR="009D246E">
        <w:t>J. (</w:t>
      </w:r>
      <w:r>
        <w:t>2003</w:t>
      </w:r>
      <w:r w:rsidR="009D246E">
        <w:t>).</w:t>
      </w:r>
      <w:r>
        <w:t xml:space="preserve"> Such are the Ambitions of Youth: Exploring issues of retention and attrition of early career teachers in New South Wales</w:t>
      </w:r>
      <w:r w:rsidR="009D246E">
        <w:t xml:space="preserve">. </w:t>
      </w:r>
      <w:r w:rsidRPr="009D246E">
        <w:rPr>
          <w:i/>
        </w:rPr>
        <w:t>Asia-Pacific Journal of Teacher Education, 31</w:t>
      </w:r>
      <w:r w:rsidR="009D246E">
        <w:rPr>
          <w:i/>
        </w:rPr>
        <w:t>(</w:t>
      </w:r>
      <w:r>
        <w:t>2</w:t>
      </w:r>
      <w:r w:rsidR="009D246E">
        <w:t>)</w:t>
      </w:r>
      <w:r>
        <w:t>, 139-151.</w:t>
      </w:r>
    </w:p>
    <w:p w:rsidR="003B55BA" w:rsidRDefault="00C65FDD">
      <w:pPr>
        <w:spacing w:before="100" w:beforeAutospacing="1" w:after="100" w:afterAutospacing="1" w:line="240" w:lineRule="auto"/>
      </w:pPr>
      <w:r>
        <w:t xml:space="preserve">McCoy, L. P. </w:t>
      </w:r>
      <w:r w:rsidR="009D246E">
        <w:t>(</w:t>
      </w:r>
      <w:r>
        <w:t>2003</w:t>
      </w:r>
      <w:r w:rsidR="009D246E">
        <w:t>)</w:t>
      </w:r>
      <w:r>
        <w:t xml:space="preserve">. It's a hard job: A study of novice teachers' perspectives on why teachers leave the profession. </w:t>
      </w:r>
      <w:r w:rsidRPr="009D246E">
        <w:rPr>
          <w:i/>
        </w:rPr>
        <w:t>Current Issues in Education</w:t>
      </w:r>
      <w:r>
        <w:t xml:space="preserve">, </w:t>
      </w:r>
      <w:proofErr w:type="gramStart"/>
      <w:r>
        <w:t xml:space="preserve">6(7) Accessed 18 April 2012 from </w:t>
      </w:r>
      <w:hyperlink r:id="rId12" w:history="1">
        <w:r w:rsidR="009D246E" w:rsidRPr="0072728F">
          <w:rPr>
            <w:rStyle w:val="Hyperlink"/>
          </w:rPr>
          <w:t>http://cie.ed.asu.edu/volume6/number7/</w:t>
        </w:r>
        <w:proofErr w:type="gramEnd"/>
      </w:hyperlink>
    </w:p>
    <w:p w:rsidR="003B55BA" w:rsidRDefault="00C65FDD">
      <w:pPr>
        <w:spacing w:before="100" w:beforeAutospacing="1" w:after="100" w:afterAutospacing="1" w:line="240" w:lineRule="auto"/>
      </w:pPr>
      <w:proofErr w:type="gramStart"/>
      <w:r>
        <w:t>McKenzie, P., Kos, J., Walker, M.</w:t>
      </w:r>
      <w:r w:rsidR="00C06F61">
        <w:t>,</w:t>
      </w:r>
      <w:r>
        <w:t xml:space="preserve"> &amp; Hong, J. (2008).</w:t>
      </w:r>
      <w:proofErr w:type="gramEnd"/>
      <w:r>
        <w:t xml:space="preserve"> </w:t>
      </w:r>
      <w:proofErr w:type="gramStart"/>
      <w:r>
        <w:t xml:space="preserve">Staff in Australia’s </w:t>
      </w:r>
      <w:r w:rsidR="00C06F61">
        <w:t>S</w:t>
      </w:r>
      <w:r>
        <w:t>chools 2007.</w:t>
      </w:r>
      <w:proofErr w:type="gramEnd"/>
      <w:r>
        <w:t xml:space="preserve"> Report to Department of Education, Employment and Workplace Relations. Melbourne: Australian Council for Educational Research. </w:t>
      </w:r>
    </w:p>
    <w:p w:rsidR="003B55BA" w:rsidRDefault="00C65FDD">
      <w:pPr>
        <w:spacing w:before="100" w:beforeAutospacing="1" w:after="100" w:afterAutospacing="1" w:line="240" w:lineRule="auto"/>
      </w:pPr>
      <w:r>
        <w:t>Osborn, M</w:t>
      </w:r>
      <w:r w:rsidR="009D246E">
        <w:t xml:space="preserve">. </w:t>
      </w:r>
      <w:r>
        <w:t>(2006)</w:t>
      </w:r>
      <w:r w:rsidR="009D246E">
        <w:t xml:space="preserve">. </w:t>
      </w:r>
      <w:r>
        <w:t>Changing the context of teachers’ work and professional development: A European perspective</w:t>
      </w:r>
      <w:r w:rsidR="009D246E">
        <w:t xml:space="preserve">. </w:t>
      </w:r>
      <w:r w:rsidRPr="009D246E">
        <w:rPr>
          <w:i/>
        </w:rPr>
        <w:t>International Jou</w:t>
      </w:r>
      <w:r w:rsidR="009D246E">
        <w:rPr>
          <w:i/>
        </w:rPr>
        <w:t xml:space="preserve">rnal of Educational Research, 45, </w:t>
      </w:r>
      <w:r>
        <w:t xml:space="preserve">242–253. </w:t>
      </w:r>
    </w:p>
    <w:p w:rsidR="003B55BA" w:rsidRDefault="00C65FDD">
      <w:pPr>
        <w:spacing w:before="100" w:beforeAutospacing="1" w:after="100" w:afterAutospacing="1" w:line="240" w:lineRule="auto"/>
      </w:pPr>
      <w:proofErr w:type="gramStart"/>
      <w:r>
        <w:t xml:space="preserve">Patterson, </w:t>
      </w:r>
      <w:r w:rsidR="009D246E">
        <w:t>N.</w:t>
      </w:r>
      <w:r>
        <w:t>C.</w:t>
      </w:r>
      <w:r w:rsidR="009D246E">
        <w:t>,</w:t>
      </w:r>
      <w:r>
        <w:t xml:space="preserve"> </w:t>
      </w:r>
      <w:r w:rsidR="009D246E">
        <w:t xml:space="preserve">&amp; </w:t>
      </w:r>
      <w:proofErr w:type="spellStart"/>
      <w:r>
        <w:t>Luft</w:t>
      </w:r>
      <w:proofErr w:type="spellEnd"/>
      <w:r w:rsidR="009D246E">
        <w:t>, J.A.</w:t>
      </w:r>
      <w:r>
        <w:t xml:space="preserve"> (2002)</w:t>
      </w:r>
      <w:r w:rsidR="009D246E">
        <w:t>.</w:t>
      </w:r>
      <w:proofErr w:type="gramEnd"/>
      <w:r>
        <w:t xml:space="preserve"> Informing expectations for induction: explorations of attrition among supported beginning secondary science teachers in the United States</w:t>
      </w:r>
      <w:r w:rsidR="009D246E">
        <w:t xml:space="preserve">. </w:t>
      </w:r>
      <w:r w:rsidRPr="009D246E">
        <w:rPr>
          <w:i/>
        </w:rPr>
        <w:t xml:space="preserve">Teacher Development: An </w:t>
      </w:r>
      <w:r w:rsidR="009D246E" w:rsidRPr="009D246E">
        <w:rPr>
          <w:i/>
        </w:rPr>
        <w:t>I</w:t>
      </w:r>
      <w:r w:rsidRPr="009D246E">
        <w:rPr>
          <w:i/>
        </w:rPr>
        <w:t xml:space="preserve">nternational </w:t>
      </w:r>
      <w:r w:rsidR="009D246E" w:rsidRPr="009D246E">
        <w:rPr>
          <w:i/>
        </w:rPr>
        <w:t>J</w:t>
      </w:r>
      <w:r w:rsidRPr="009D246E">
        <w:rPr>
          <w:i/>
        </w:rPr>
        <w:t xml:space="preserve">ournal of </w:t>
      </w:r>
      <w:r w:rsidR="009D246E" w:rsidRPr="009D246E">
        <w:rPr>
          <w:i/>
        </w:rPr>
        <w:t>T</w:t>
      </w:r>
      <w:r w:rsidRPr="009D246E">
        <w:rPr>
          <w:i/>
        </w:rPr>
        <w:t xml:space="preserve">eachers' </w:t>
      </w:r>
      <w:r w:rsidR="009D246E" w:rsidRPr="009D246E">
        <w:rPr>
          <w:i/>
        </w:rPr>
        <w:t>P</w:t>
      </w:r>
      <w:r w:rsidRPr="009D246E">
        <w:rPr>
          <w:i/>
        </w:rPr>
        <w:t xml:space="preserve">rofessional </w:t>
      </w:r>
      <w:r w:rsidR="009D246E" w:rsidRPr="009D246E">
        <w:rPr>
          <w:i/>
        </w:rPr>
        <w:t>D</w:t>
      </w:r>
      <w:r w:rsidRPr="009D246E">
        <w:rPr>
          <w:i/>
        </w:rPr>
        <w:t>evelopment, 6</w:t>
      </w:r>
      <w:r w:rsidR="009D246E">
        <w:t>(</w:t>
      </w:r>
      <w:r>
        <w:t>2</w:t>
      </w:r>
      <w:r w:rsidR="009D246E">
        <w:t>)</w:t>
      </w:r>
      <w:r>
        <w:t>, 205-224</w:t>
      </w:r>
      <w:r w:rsidR="009D246E">
        <w:t>.</w:t>
      </w:r>
    </w:p>
    <w:p w:rsidR="003B55BA" w:rsidRDefault="00C65FDD">
      <w:pPr>
        <w:spacing w:before="100" w:beforeAutospacing="1" w:after="100" w:afterAutospacing="1" w:line="240" w:lineRule="auto"/>
      </w:pPr>
      <w:r>
        <w:t xml:space="preserve">Richardson, P.W. &amp; Watt, H.M.G. </w:t>
      </w:r>
      <w:r w:rsidR="009D246E">
        <w:t>(</w:t>
      </w:r>
      <w:r>
        <w:t>2006</w:t>
      </w:r>
      <w:r w:rsidR="009D246E">
        <w:t>)</w:t>
      </w:r>
      <w:r>
        <w:t xml:space="preserve">. Who chooses teaching and why? Profiling characteristics and motivations across three Australian universities. </w:t>
      </w:r>
      <w:r w:rsidRPr="009D246E">
        <w:rPr>
          <w:i/>
        </w:rPr>
        <w:t>Asia-Pacific Journal of Teacher Education</w:t>
      </w:r>
      <w:r>
        <w:t>, 34</w:t>
      </w:r>
      <w:r w:rsidR="009D246E">
        <w:t xml:space="preserve">, </w:t>
      </w:r>
      <w:r>
        <w:t>27-56.</w:t>
      </w:r>
    </w:p>
    <w:p w:rsidR="003B55BA" w:rsidRDefault="00C65FDD">
      <w:pPr>
        <w:spacing w:before="100" w:beforeAutospacing="1" w:after="100" w:afterAutospacing="1" w:line="240" w:lineRule="auto"/>
      </w:pPr>
      <w:proofErr w:type="gramStart"/>
      <w:r>
        <w:t>Schuck, S., Aubusson, P., Buchanan, J. &amp; Russell, T. (2012).</w:t>
      </w:r>
      <w:proofErr w:type="gramEnd"/>
      <w:r>
        <w:t xml:space="preserve"> Beginning teaching: Stories from the classroom. Dordrecht: Springer</w:t>
      </w:r>
      <w:r w:rsidR="002B4F04">
        <w:t>.</w:t>
      </w:r>
    </w:p>
    <w:p w:rsidR="003B55BA" w:rsidRDefault="00C65FDD">
      <w:pPr>
        <w:spacing w:before="100" w:beforeAutospacing="1" w:after="100" w:afterAutospacing="1" w:line="240" w:lineRule="auto"/>
      </w:pPr>
      <w:r>
        <w:t>Schuck, S.R., Aubusson, P.J.</w:t>
      </w:r>
      <w:r w:rsidR="002B4F04">
        <w:t>,</w:t>
      </w:r>
      <w:r>
        <w:t xml:space="preserve"> &amp; Kearney, M.D.</w:t>
      </w:r>
      <w:r w:rsidR="002B4F04">
        <w:t xml:space="preserve"> (</w:t>
      </w:r>
      <w:r>
        <w:t>2010</w:t>
      </w:r>
      <w:r w:rsidR="002B4F04">
        <w:t xml:space="preserve">). </w:t>
      </w:r>
      <w:r>
        <w:t xml:space="preserve">Web 2.0 in the classroom? </w:t>
      </w:r>
      <w:proofErr w:type="gramStart"/>
      <w:r>
        <w:t>Dilemmas and opportunities inherent in adolescent web 2.0 engagement.</w:t>
      </w:r>
      <w:proofErr w:type="gramEnd"/>
      <w:r w:rsidR="002B4F04">
        <w:t xml:space="preserve"> </w:t>
      </w:r>
      <w:proofErr w:type="gramStart"/>
      <w:r w:rsidRPr="002B4F04">
        <w:rPr>
          <w:i/>
        </w:rPr>
        <w:t>Contemporary Issues in Technology and Teacher Education (CITE)</w:t>
      </w:r>
      <w:r w:rsidR="002B4F04">
        <w:rPr>
          <w:i/>
        </w:rPr>
        <w:t xml:space="preserve">, 10 </w:t>
      </w:r>
      <w:r w:rsidR="002B4F04" w:rsidRPr="002B4F04">
        <w:t>(2)</w:t>
      </w:r>
      <w:r>
        <w:t>, 234-246.</w:t>
      </w:r>
      <w:proofErr w:type="gramEnd"/>
    </w:p>
    <w:p w:rsidR="003B55BA" w:rsidRDefault="00C65FDD">
      <w:pPr>
        <w:spacing w:before="100" w:beforeAutospacing="1" w:after="100" w:afterAutospacing="1" w:line="240" w:lineRule="auto"/>
      </w:pPr>
      <w:r>
        <w:t xml:space="preserve">Schwartz, S. H. (1994). Are there universal aspects in the structure and content of human values? </w:t>
      </w:r>
      <w:r w:rsidRPr="002B4F04">
        <w:rPr>
          <w:i/>
        </w:rPr>
        <w:t>Journal of Social Issues, 50</w:t>
      </w:r>
      <w:r>
        <w:t>, 19–45.</w:t>
      </w:r>
    </w:p>
    <w:p w:rsidR="003B55BA" w:rsidRDefault="00C65FDD">
      <w:pPr>
        <w:spacing w:before="100" w:beforeAutospacing="1" w:after="100" w:afterAutospacing="1" w:line="240" w:lineRule="auto"/>
      </w:pPr>
      <w:proofErr w:type="spellStart"/>
      <w:r>
        <w:lastRenderedPageBreak/>
        <w:t>Sheth</w:t>
      </w:r>
      <w:proofErr w:type="spellEnd"/>
      <w:r>
        <w:t>, J.N., Newman</w:t>
      </w:r>
      <w:r w:rsidR="002B4F04">
        <w:t>, B.I.</w:t>
      </w:r>
      <w:r>
        <w:t xml:space="preserve">, </w:t>
      </w:r>
      <w:r w:rsidR="002B4F04">
        <w:t xml:space="preserve">&amp; </w:t>
      </w:r>
      <w:r>
        <w:t>Gross</w:t>
      </w:r>
      <w:r w:rsidR="002B4F04">
        <w:t>, B.L. (</w:t>
      </w:r>
      <w:r>
        <w:t>1991</w:t>
      </w:r>
      <w:r w:rsidR="002B4F04">
        <w:t>)</w:t>
      </w:r>
      <w:r>
        <w:t xml:space="preserve">. Why we buy what we buy: A theory of consumption values. </w:t>
      </w:r>
      <w:r w:rsidRPr="002B4F04">
        <w:rPr>
          <w:i/>
        </w:rPr>
        <w:t xml:space="preserve">Journal of Business </w:t>
      </w:r>
      <w:proofErr w:type="spellStart"/>
      <w:r w:rsidRPr="002B4F04">
        <w:rPr>
          <w:i/>
        </w:rPr>
        <w:t>Researc</w:t>
      </w:r>
      <w:proofErr w:type="gramStart"/>
      <w:r w:rsidR="002B4F04">
        <w:rPr>
          <w:i/>
        </w:rPr>
        <w:t>,</w:t>
      </w:r>
      <w:r w:rsidRPr="002B4F04">
        <w:rPr>
          <w:i/>
        </w:rPr>
        <w:t>h</w:t>
      </w:r>
      <w:proofErr w:type="spellEnd"/>
      <w:proofErr w:type="gramEnd"/>
      <w:r w:rsidRPr="002B4F04">
        <w:rPr>
          <w:i/>
        </w:rPr>
        <w:t xml:space="preserve"> 22</w:t>
      </w:r>
      <w:r>
        <w:t xml:space="preserve"> (2)</w:t>
      </w:r>
      <w:r w:rsidR="002B4F04">
        <w:t>, 1</w:t>
      </w:r>
      <w:r>
        <w:t>59-</w:t>
      </w:r>
      <w:r w:rsidR="002B4F04">
        <w:t>1</w:t>
      </w:r>
      <w:r>
        <w:t>70.</w:t>
      </w:r>
    </w:p>
    <w:p w:rsidR="003B55BA" w:rsidRDefault="00C65FDD">
      <w:pPr>
        <w:spacing w:before="100" w:beforeAutospacing="1" w:after="100" w:afterAutospacing="1" w:line="240" w:lineRule="auto"/>
      </w:pPr>
      <w:r>
        <w:t xml:space="preserve">Sinclair, C. (2008). </w:t>
      </w:r>
      <w:proofErr w:type="gramStart"/>
      <w:r>
        <w:t>Initial and changing student teacher motivation and commitment to teaching.</w:t>
      </w:r>
      <w:proofErr w:type="gramEnd"/>
      <w:r>
        <w:t xml:space="preserve"> </w:t>
      </w:r>
      <w:r w:rsidRPr="002B4F04">
        <w:rPr>
          <w:i/>
        </w:rPr>
        <w:t>Asia-Pacific Journal of Teacher Education, 36</w:t>
      </w:r>
      <w:r>
        <w:t>(2), 79-104.</w:t>
      </w:r>
    </w:p>
    <w:p w:rsidR="001E7B36" w:rsidRPr="001E7B36" w:rsidRDefault="001E7B36" w:rsidP="001E7B36">
      <w:pPr>
        <w:spacing w:line="240" w:lineRule="auto"/>
        <w:rPr>
          <w:iCs/>
        </w:rPr>
      </w:pPr>
      <w:proofErr w:type="gramStart"/>
      <w:r w:rsidRPr="001E7B36">
        <w:t>Stevens, C., Parker, P., &amp; Burroughs, D. (2007).</w:t>
      </w:r>
      <w:proofErr w:type="gramEnd"/>
      <w:r w:rsidRPr="001E7B36">
        <w:t xml:space="preserve">  Dealing with beginning teachers’ retention: Research paper. Thirroul, NSW, Australia: </w:t>
      </w:r>
      <w:proofErr w:type="spellStart"/>
      <w:r w:rsidRPr="001E7B36">
        <w:t>Communicorp</w:t>
      </w:r>
      <w:proofErr w:type="spellEnd"/>
      <w:r w:rsidRPr="001E7B36">
        <w:t xml:space="preserve">. Accessed 30 May 2011 from </w:t>
      </w:r>
      <w:r w:rsidRPr="001E7B36">
        <w:rPr>
          <w:i/>
          <w:iCs/>
        </w:rPr>
        <w:t>creativemastery.com.au/.../DealingWithBeginningTeachersRetention.doc</w:t>
      </w:r>
    </w:p>
    <w:p w:rsidR="003B55BA" w:rsidRDefault="00C65FDD">
      <w:pPr>
        <w:spacing w:before="100" w:beforeAutospacing="1" w:after="100" w:afterAutospacing="1" w:line="240" w:lineRule="auto"/>
      </w:pPr>
      <w:proofErr w:type="gramStart"/>
      <w:r>
        <w:t>Street, D</w:t>
      </w:r>
      <w:r w:rsidR="002B4F04">
        <w:t>.,</w:t>
      </w:r>
      <w:r>
        <w:t xml:space="preserve"> </w:t>
      </w:r>
      <w:r w:rsidR="002B4F04">
        <w:t xml:space="preserve">&amp; </w:t>
      </w:r>
      <w:r>
        <w:t>Burgess</w:t>
      </w:r>
      <w:r w:rsidR="002B4F04">
        <w:t>, L.B.</w:t>
      </w:r>
      <w:r>
        <w:t xml:space="preserve"> (2007)</w:t>
      </w:r>
      <w:r w:rsidR="002B4F04">
        <w:t>.</w:t>
      </w:r>
      <w:proofErr w:type="gramEnd"/>
      <w:r w:rsidR="002B4F04">
        <w:t xml:space="preserve"> </w:t>
      </w:r>
      <w:r w:rsidRPr="002B4F04">
        <w:rPr>
          <w:i/>
        </w:rPr>
        <w:t>The Construction of Optimal Stated Choice Experiments: Theory and Methods</w:t>
      </w:r>
      <w:r w:rsidR="002B4F04">
        <w:t>. Hoboken, New Jersey: John Wiley and Sons.</w:t>
      </w:r>
    </w:p>
    <w:p w:rsidR="003B55BA" w:rsidRDefault="00C65FDD">
      <w:pPr>
        <w:spacing w:before="100" w:beforeAutospacing="1" w:after="100" w:afterAutospacing="1" w:line="240" w:lineRule="auto"/>
      </w:pPr>
      <w:proofErr w:type="gramStart"/>
      <w:r>
        <w:t xml:space="preserve">Street, </w:t>
      </w:r>
      <w:r w:rsidR="002B4F04">
        <w:t>A.P.</w:t>
      </w:r>
      <w:r w:rsidR="00C06F61">
        <w:t>,</w:t>
      </w:r>
      <w:r w:rsidR="002B4F04">
        <w:t xml:space="preserve"> </w:t>
      </w:r>
      <w:r w:rsidR="00C06F61">
        <w:t>&amp;</w:t>
      </w:r>
      <w:r>
        <w:t xml:space="preserve"> Street, </w:t>
      </w:r>
      <w:r w:rsidR="002B4F04">
        <w:t>D.</w:t>
      </w:r>
      <w:r>
        <w:t>J. (1987).</w:t>
      </w:r>
      <w:proofErr w:type="gramEnd"/>
      <w:r>
        <w:t xml:space="preserve"> </w:t>
      </w:r>
      <w:proofErr w:type="spellStart"/>
      <w:proofErr w:type="gramStart"/>
      <w:r w:rsidRPr="002B4F04">
        <w:rPr>
          <w:i/>
        </w:rPr>
        <w:t>Combinatorics</w:t>
      </w:r>
      <w:proofErr w:type="spellEnd"/>
      <w:r w:rsidRPr="002B4F04">
        <w:rPr>
          <w:i/>
        </w:rPr>
        <w:t xml:space="preserve"> of Experimental Design</w:t>
      </w:r>
      <w:r>
        <w:t>.</w:t>
      </w:r>
      <w:proofErr w:type="gramEnd"/>
      <w:r>
        <w:t xml:space="preserve"> </w:t>
      </w:r>
      <w:proofErr w:type="spellStart"/>
      <w:r w:rsidR="002B4F04">
        <w:t>Claredon</w:t>
      </w:r>
      <w:proofErr w:type="spellEnd"/>
      <w:r w:rsidR="002B4F04">
        <w:t>: Oxford University Press.</w:t>
      </w:r>
    </w:p>
    <w:p w:rsidR="003B55BA" w:rsidRDefault="00C65FDD">
      <w:pPr>
        <w:spacing w:before="100" w:beforeAutospacing="1" w:after="100" w:afterAutospacing="1" w:line="240" w:lineRule="auto"/>
      </w:pPr>
      <w:r>
        <w:t>Williams</w:t>
      </w:r>
      <w:r w:rsidR="002B4F04">
        <w:t xml:space="preserve"> Jr., D.L.</w:t>
      </w:r>
      <w:r>
        <w:t xml:space="preserve"> (1991)</w:t>
      </w:r>
      <w:r w:rsidR="002B4F04">
        <w:t>.</w:t>
      </w:r>
      <w:r>
        <w:t xml:space="preserve"> Training teachers and administrators for parent involvement: Implications for public choice schools</w:t>
      </w:r>
      <w:r w:rsidR="002B4F04">
        <w:t xml:space="preserve">. </w:t>
      </w:r>
      <w:r w:rsidRPr="002B4F04">
        <w:rPr>
          <w:i/>
        </w:rPr>
        <w:t>International Journal of Educational Research, 15</w:t>
      </w:r>
      <w:r>
        <w:t>(3-4)</w:t>
      </w:r>
      <w:r w:rsidR="002B4F04">
        <w:t>,</w:t>
      </w:r>
      <w:r>
        <w:t xml:space="preserve"> 339-352.</w:t>
      </w:r>
    </w:p>
    <w:p w:rsidR="0023757D" w:rsidRDefault="0023757D" w:rsidP="00073B55"/>
    <w:p w:rsidR="006755F8" w:rsidRDefault="006755F8">
      <w:r>
        <w:br w:type="page"/>
      </w:r>
    </w:p>
    <w:p w:rsidR="006755F8" w:rsidRDefault="006755F8" w:rsidP="006755F8">
      <w:pPr>
        <w:rPr>
          <w:vertAlign w:val="superscript"/>
        </w:rPr>
      </w:pPr>
      <w:r w:rsidRPr="001D4666">
        <w:lastRenderedPageBreak/>
        <w:t xml:space="preserve">Figure </w:t>
      </w:r>
      <w:r>
        <w:t>1</w:t>
      </w:r>
      <w:r w:rsidRPr="001D4666">
        <w:t xml:space="preserve">: </w:t>
      </w:r>
      <w:r w:rsidR="00146A5A">
        <w:t xml:space="preserve">Screenshot </w:t>
      </w:r>
      <w:r w:rsidRPr="001D4666">
        <w:t xml:space="preserve">Example of </w:t>
      </w:r>
      <w:r>
        <w:t>the Best-Worst Scaling Task presented to ECTs</w:t>
      </w:r>
    </w:p>
    <w:p w:rsidR="006755F8" w:rsidRDefault="006755F8" w:rsidP="006755F8">
      <w:r w:rsidRPr="00A53186">
        <w:rPr>
          <w:noProof/>
          <w:lang w:eastAsia="en-AU"/>
        </w:rPr>
        <w:drawing>
          <wp:inline distT="0" distB="0" distL="0" distR="0">
            <wp:extent cx="5762625" cy="3086100"/>
            <wp:effectExtent l="19050" t="0" r="9525" b="0"/>
            <wp:docPr id="1" name="Picture 1"/>
            <wp:cNvGraphicFramePr/>
            <a:graphic xmlns:a="http://schemas.openxmlformats.org/drawingml/2006/main">
              <a:graphicData uri="http://schemas.openxmlformats.org/drawingml/2006/picture">
                <pic:pic xmlns:pic="http://schemas.openxmlformats.org/drawingml/2006/picture">
                  <pic:nvPicPr>
                    <pic:cNvPr id="118792" name="Picture 8"/>
                    <pic:cNvPicPr>
                      <a:picLocks noChangeAspect="1" noChangeArrowheads="1"/>
                    </pic:cNvPicPr>
                  </pic:nvPicPr>
                  <pic:blipFill>
                    <a:blip r:embed="rId13" cstate="print"/>
                    <a:srcRect l="12512" t="14413" r="14503" b="27711"/>
                    <a:stretch>
                      <a:fillRect/>
                    </a:stretch>
                  </pic:blipFill>
                  <pic:spPr bwMode="auto">
                    <a:xfrm>
                      <a:off x="0" y="0"/>
                      <a:ext cx="5762625" cy="3086100"/>
                    </a:xfrm>
                    <a:prstGeom prst="rect">
                      <a:avLst/>
                    </a:prstGeom>
                    <a:noFill/>
                    <a:ln w="9525">
                      <a:noFill/>
                      <a:miter lim="800000"/>
                      <a:headEnd/>
                      <a:tailEnd/>
                    </a:ln>
                  </pic:spPr>
                </pic:pic>
              </a:graphicData>
            </a:graphic>
          </wp:inline>
        </w:drawing>
      </w:r>
    </w:p>
    <w:p w:rsidR="006755F8" w:rsidRDefault="006755F8" w:rsidP="006755F8"/>
    <w:p w:rsidR="006755F8" w:rsidRDefault="006755F8">
      <w:r>
        <w:br w:type="page"/>
      </w:r>
    </w:p>
    <w:p w:rsidR="006755F8" w:rsidRDefault="006755F8" w:rsidP="006755F8"/>
    <w:p w:rsidR="006755F8" w:rsidRPr="001D4666" w:rsidRDefault="006755F8" w:rsidP="006755F8">
      <w:pPr>
        <w:rPr>
          <w:vertAlign w:val="superscript"/>
        </w:rPr>
      </w:pPr>
      <w:r w:rsidRPr="001D4666">
        <w:t>Figure 2: Example of a BIBD for 7 items listed in sets of 4 with pair frequency 2.</w:t>
      </w:r>
    </w:p>
    <w:p w:rsidR="006755F8" w:rsidRDefault="006755F8" w:rsidP="006755F8">
      <w:r w:rsidRPr="00B063DE">
        <w:rPr>
          <w:noProof/>
          <w:lang w:eastAsia="en-AU"/>
        </w:rPr>
        <w:drawing>
          <wp:inline distT="0" distB="0" distL="0" distR="0">
            <wp:extent cx="3057525" cy="15335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3057525" cy="1533525"/>
                    </a:xfrm>
                    <a:prstGeom prst="rect">
                      <a:avLst/>
                    </a:prstGeom>
                    <a:noFill/>
                    <a:ln w="9525">
                      <a:noFill/>
                      <a:miter lim="800000"/>
                      <a:headEnd/>
                      <a:tailEnd/>
                    </a:ln>
                  </pic:spPr>
                </pic:pic>
              </a:graphicData>
            </a:graphic>
          </wp:inline>
        </w:drawing>
      </w:r>
    </w:p>
    <w:p w:rsidR="006755F8" w:rsidRDefault="006755F8">
      <w:r>
        <w:br w:type="page"/>
      </w:r>
    </w:p>
    <w:p w:rsidR="006755F8" w:rsidRPr="001D4666" w:rsidRDefault="006755F8" w:rsidP="006755F8">
      <w:pPr>
        <w:rPr>
          <w:vertAlign w:val="superscript"/>
        </w:rPr>
      </w:pPr>
      <w:r w:rsidRPr="001D4666">
        <w:lastRenderedPageBreak/>
        <w:t xml:space="preserve">Figure </w:t>
      </w:r>
      <w:r>
        <w:t>3</w:t>
      </w:r>
      <w:r w:rsidRPr="001D4666">
        <w:t xml:space="preserve">: Example of </w:t>
      </w:r>
      <w:r>
        <w:t>the BWS task that corresponds to one row of the BIBD design</w:t>
      </w:r>
    </w:p>
    <w:p w:rsidR="006755F8" w:rsidRDefault="006755F8" w:rsidP="006755F8">
      <w:r w:rsidRPr="00675E1A">
        <w:rPr>
          <w:noProof/>
          <w:lang w:eastAsia="en-AU"/>
        </w:rPr>
        <w:drawing>
          <wp:inline distT="0" distB="0" distL="0" distR="0">
            <wp:extent cx="3250845" cy="736156"/>
            <wp:effectExtent l="19050" t="0" r="6705" b="0"/>
            <wp:docPr id="4" name="Picture 4"/>
            <wp:cNvGraphicFramePr/>
            <a:graphic xmlns:a="http://schemas.openxmlformats.org/drawingml/2006/main">
              <a:graphicData uri="http://schemas.openxmlformats.org/drawingml/2006/picture">
                <pic:pic xmlns:pic="http://schemas.openxmlformats.org/drawingml/2006/picture">
                  <pic:nvPicPr>
                    <pic:cNvPr id="1042" name="Picture 5"/>
                    <pic:cNvPicPr>
                      <a:picLocks noChangeAspect="1" noChangeArrowheads="1"/>
                    </pic:cNvPicPr>
                  </pic:nvPicPr>
                  <pic:blipFill>
                    <a:blip r:embed="rId15" cstate="print"/>
                    <a:srcRect/>
                    <a:stretch>
                      <a:fillRect/>
                    </a:stretch>
                  </pic:blipFill>
                  <pic:spPr bwMode="auto">
                    <a:xfrm>
                      <a:off x="0" y="0"/>
                      <a:ext cx="3249724" cy="735902"/>
                    </a:xfrm>
                    <a:prstGeom prst="rect">
                      <a:avLst/>
                    </a:prstGeom>
                    <a:noFill/>
                    <a:ln w="9525">
                      <a:noFill/>
                      <a:miter lim="800000"/>
                      <a:headEnd/>
                      <a:tailEnd/>
                    </a:ln>
                  </pic:spPr>
                </pic:pic>
              </a:graphicData>
            </a:graphic>
          </wp:inline>
        </w:drawing>
      </w:r>
    </w:p>
    <w:p w:rsidR="006755F8" w:rsidRDefault="006755F8" w:rsidP="006755F8"/>
    <w:p w:rsidR="006755F8" w:rsidRDefault="006755F8">
      <w:r>
        <w:br w:type="page"/>
      </w:r>
    </w:p>
    <w:p w:rsidR="006755F8" w:rsidRDefault="006755F8" w:rsidP="006755F8">
      <w:r>
        <w:lastRenderedPageBreak/>
        <w:t>Table 1</w:t>
      </w:r>
      <w:r w:rsidRPr="001D4666">
        <w:t xml:space="preserve">: </w:t>
      </w:r>
      <w:r>
        <w:t>Listing of 31 factors and corresponding BWS scores</w:t>
      </w:r>
    </w:p>
    <w:tbl>
      <w:tblPr>
        <w:tblW w:w="5128" w:type="pct"/>
        <w:tblLook w:val="04A0" w:firstRow="1" w:lastRow="0" w:firstColumn="1" w:lastColumn="0" w:noHBand="0" w:noVBand="1"/>
      </w:tblPr>
      <w:tblGrid>
        <w:gridCol w:w="950"/>
        <w:gridCol w:w="7313"/>
        <w:gridCol w:w="1216"/>
      </w:tblGrid>
      <w:tr w:rsidR="006755F8" w:rsidRPr="00097A76" w:rsidTr="005F0DF0">
        <w:trPr>
          <w:trHeight w:val="795"/>
        </w:trPr>
        <w:tc>
          <w:tcPr>
            <w:tcW w:w="501" w:type="pct"/>
            <w:tcBorders>
              <w:top w:val="single" w:sz="4" w:space="0" w:color="auto"/>
              <w:left w:val="nil"/>
              <w:bottom w:val="single" w:sz="4" w:space="0" w:color="auto"/>
              <w:right w:val="nil"/>
            </w:tcBorders>
            <w:shd w:val="clear" w:color="auto" w:fill="auto"/>
            <w:vAlign w:val="center"/>
            <w:hideMark/>
          </w:tcPr>
          <w:p w:rsidR="006755F8" w:rsidRPr="0050231C" w:rsidRDefault="006755F8" w:rsidP="005F0DF0">
            <w:pPr>
              <w:spacing w:after="0" w:line="240" w:lineRule="auto"/>
              <w:jc w:val="center"/>
              <w:rPr>
                <w:rFonts w:ascii="Times New Roman" w:eastAsia="Times New Roman" w:hAnsi="Times New Roman" w:cs="Times New Roman"/>
                <w:b/>
                <w:bCs/>
                <w:color w:val="000000" w:themeColor="text1"/>
                <w:sz w:val="20"/>
                <w:szCs w:val="20"/>
                <w:lang w:val="en-US"/>
              </w:rPr>
            </w:pPr>
            <w:r w:rsidRPr="0050231C">
              <w:rPr>
                <w:rFonts w:ascii="Times New Roman" w:eastAsia="Times New Roman" w:hAnsi="Times New Roman" w:cs="Times New Roman"/>
                <w:b/>
                <w:bCs/>
                <w:color w:val="000000" w:themeColor="text1"/>
                <w:sz w:val="20"/>
                <w:szCs w:val="20"/>
                <w:lang w:val="en-US"/>
              </w:rPr>
              <w:t>Factor / Ranking</w:t>
            </w:r>
          </w:p>
        </w:tc>
        <w:tc>
          <w:tcPr>
            <w:tcW w:w="3857" w:type="pct"/>
            <w:tcBorders>
              <w:top w:val="single" w:sz="4" w:space="0" w:color="auto"/>
              <w:left w:val="nil"/>
              <w:bottom w:val="single" w:sz="4" w:space="0" w:color="auto"/>
              <w:right w:val="nil"/>
            </w:tcBorders>
            <w:shd w:val="clear" w:color="auto" w:fill="auto"/>
            <w:vAlign w:val="center"/>
            <w:hideMark/>
          </w:tcPr>
          <w:p w:rsidR="006755F8" w:rsidRPr="0050231C" w:rsidRDefault="006755F8" w:rsidP="005F0DF0">
            <w:pPr>
              <w:spacing w:after="0" w:line="240" w:lineRule="auto"/>
              <w:rPr>
                <w:rFonts w:ascii="Times New Roman" w:eastAsia="Times New Roman" w:hAnsi="Times New Roman" w:cs="Times New Roman"/>
                <w:b/>
                <w:bCs/>
                <w:color w:val="000000" w:themeColor="text1"/>
                <w:sz w:val="20"/>
                <w:szCs w:val="20"/>
                <w:lang w:val="en-US"/>
              </w:rPr>
            </w:pPr>
            <w:r w:rsidRPr="0050231C">
              <w:rPr>
                <w:rFonts w:ascii="Times New Roman" w:eastAsia="Times New Roman" w:hAnsi="Times New Roman" w:cs="Times New Roman"/>
                <w:b/>
                <w:bCs/>
                <w:color w:val="000000" w:themeColor="text1"/>
                <w:sz w:val="20"/>
                <w:szCs w:val="20"/>
                <w:lang w:val="en-US"/>
              </w:rPr>
              <w:t>Incentive concept tested</w:t>
            </w:r>
          </w:p>
        </w:tc>
        <w:tc>
          <w:tcPr>
            <w:tcW w:w="641" w:type="pct"/>
            <w:tcBorders>
              <w:top w:val="single" w:sz="4" w:space="0" w:color="auto"/>
              <w:left w:val="nil"/>
              <w:bottom w:val="single" w:sz="4" w:space="0" w:color="auto"/>
              <w:right w:val="nil"/>
            </w:tcBorders>
            <w:shd w:val="clear" w:color="auto" w:fill="auto"/>
            <w:vAlign w:val="center"/>
            <w:hideMark/>
          </w:tcPr>
          <w:p w:rsidR="006755F8" w:rsidRPr="0050231C" w:rsidRDefault="006755F8" w:rsidP="005F0DF0">
            <w:pPr>
              <w:spacing w:after="0" w:line="240" w:lineRule="auto"/>
              <w:jc w:val="center"/>
              <w:rPr>
                <w:rFonts w:ascii="Times New Roman" w:eastAsia="Times New Roman" w:hAnsi="Times New Roman" w:cs="Times New Roman"/>
                <w:b/>
                <w:bCs/>
                <w:color w:val="000000" w:themeColor="text1"/>
                <w:sz w:val="20"/>
                <w:szCs w:val="20"/>
                <w:lang w:val="en-US"/>
              </w:rPr>
            </w:pPr>
            <w:r w:rsidRPr="0050231C">
              <w:rPr>
                <w:rFonts w:ascii="Times New Roman" w:eastAsia="Times New Roman" w:hAnsi="Times New Roman" w:cs="Times New Roman"/>
                <w:b/>
                <w:bCs/>
                <w:color w:val="000000" w:themeColor="text1"/>
                <w:sz w:val="20"/>
                <w:szCs w:val="20"/>
                <w:lang w:val="en-US"/>
              </w:rPr>
              <w:t>Relative Importance (</w:t>
            </w:r>
            <w:proofErr w:type="spellStart"/>
            <w:r w:rsidRPr="0050231C">
              <w:rPr>
                <w:rFonts w:ascii="Times New Roman" w:eastAsia="Times New Roman" w:hAnsi="Times New Roman" w:cs="Times New Roman"/>
                <w:b/>
                <w:bCs/>
                <w:color w:val="000000" w:themeColor="text1"/>
                <w:sz w:val="20"/>
                <w:szCs w:val="20"/>
                <w:lang w:val="en-US"/>
              </w:rPr>
              <w:t>BWSi</w:t>
            </w:r>
            <w:proofErr w:type="spellEnd"/>
            <w:r w:rsidRPr="0050231C">
              <w:rPr>
                <w:rFonts w:ascii="Times New Roman" w:eastAsia="Times New Roman" w:hAnsi="Times New Roman" w:cs="Times New Roman"/>
                <w:b/>
                <w:bCs/>
                <w:color w:val="000000" w:themeColor="text1"/>
                <w:sz w:val="20"/>
                <w:szCs w:val="20"/>
                <w:lang w:val="en-US"/>
              </w:rPr>
              <w:t>)</w:t>
            </w:r>
          </w:p>
        </w:tc>
      </w:tr>
      <w:tr w:rsidR="006755F8" w:rsidRPr="00097A76" w:rsidTr="005F0DF0">
        <w:trPr>
          <w:trHeight w:val="315"/>
        </w:trPr>
        <w:tc>
          <w:tcPr>
            <w:tcW w:w="501" w:type="pct"/>
            <w:tcBorders>
              <w:top w:val="single" w:sz="4" w:space="0" w:color="auto"/>
              <w:left w:val="nil"/>
              <w:bottom w:val="nil"/>
              <w:right w:val="nil"/>
            </w:tcBorders>
            <w:shd w:val="clear" w:color="auto" w:fill="auto"/>
            <w:vAlign w:val="center"/>
            <w:hideMark/>
          </w:tcPr>
          <w:p w:rsidR="006755F8" w:rsidRPr="0050231C" w:rsidRDefault="006755F8" w:rsidP="005F0DF0">
            <w:pPr>
              <w:spacing w:after="0" w:line="240" w:lineRule="auto"/>
              <w:jc w:val="center"/>
              <w:rPr>
                <w:rFonts w:ascii="Times New Roman" w:eastAsia="Times New Roman" w:hAnsi="Times New Roman" w:cs="Times New Roman"/>
                <w:color w:val="000000" w:themeColor="text1"/>
                <w:sz w:val="20"/>
                <w:szCs w:val="20"/>
                <w:lang w:val="en-US"/>
              </w:rPr>
            </w:pPr>
            <w:r w:rsidRPr="0050231C">
              <w:rPr>
                <w:rFonts w:ascii="Times New Roman" w:eastAsia="Times New Roman" w:hAnsi="Times New Roman" w:cs="Times New Roman"/>
                <w:color w:val="000000" w:themeColor="text1"/>
                <w:sz w:val="20"/>
                <w:szCs w:val="20"/>
                <w:lang w:val="en-US"/>
              </w:rPr>
              <w:t>1</w:t>
            </w:r>
          </w:p>
        </w:tc>
        <w:tc>
          <w:tcPr>
            <w:tcW w:w="3857" w:type="pct"/>
            <w:tcBorders>
              <w:top w:val="single" w:sz="4" w:space="0" w:color="auto"/>
              <w:left w:val="nil"/>
              <w:bottom w:val="nil"/>
              <w:right w:val="nil"/>
            </w:tcBorders>
            <w:shd w:val="clear" w:color="auto" w:fill="auto"/>
            <w:vAlign w:val="center"/>
            <w:hideMark/>
          </w:tcPr>
          <w:p w:rsidR="006755F8" w:rsidRPr="0050231C" w:rsidRDefault="006755F8" w:rsidP="005F0DF0">
            <w:pPr>
              <w:spacing w:after="0" w:line="240" w:lineRule="auto"/>
              <w:rPr>
                <w:rFonts w:ascii="Times New Roman" w:eastAsia="Times New Roman" w:hAnsi="Times New Roman" w:cs="Times New Roman"/>
                <w:color w:val="000000" w:themeColor="text1"/>
                <w:sz w:val="20"/>
                <w:szCs w:val="20"/>
                <w:lang w:val="en-US"/>
              </w:rPr>
            </w:pPr>
            <w:r w:rsidRPr="0050231C">
              <w:rPr>
                <w:rFonts w:ascii="Times New Roman" w:eastAsia="Times New Roman" w:hAnsi="Times New Roman" w:cs="Times New Roman"/>
                <w:color w:val="000000" w:themeColor="text1"/>
                <w:sz w:val="20"/>
                <w:szCs w:val="20"/>
                <w:lang w:val="en-US"/>
              </w:rPr>
              <w:t xml:space="preserve">Student Involvement - </w:t>
            </w:r>
            <w:r w:rsidRPr="0050231C">
              <w:rPr>
                <w:rFonts w:ascii="Times New Roman" w:eastAsia="Times New Roman" w:hAnsi="Times New Roman" w:cs="Times New Roman"/>
                <w:i/>
                <w:iCs/>
                <w:color w:val="000000" w:themeColor="text1"/>
                <w:sz w:val="20"/>
                <w:szCs w:val="20"/>
                <w:lang w:val="en-US"/>
              </w:rPr>
              <w:t>the extent to which you engage your students</w:t>
            </w:r>
          </w:p>
        </w:tc>
        <w:tc>
          <w:tcPr>
            <w:tcW w:w="641" w:type="pct"/>
            <w:tcBorders>
              <w:top w:val="single" w:sz="4" w:space="0" w:color="auto"/>
              <w:left w:val="nil"/>
              <w:bottom w:val="nil"/>
              <w:right w:val="nil"/>
            </w:tcBorders>
            <w:shd w:val="clear" w:color="auto" w:fill="auto"/>
            <w:vAlign w:val="center"/>
            <w:hideMark/>
          </w:tcPr>
          <w:p w:rsidR="006755F8" w:rsidRPr="0050231C" w:rsidRDefault="006755F8" w:rsidP="005F0DF0">
            <w:pPr>
              <w:spacing w:after="0" w:line="240" w:lineRule="auto"/>
              <w:jc w:val="center"/>
              <w:rPr>
                <w:rFonts w:ascii="Times New Roman" w:eastAsia="Times New Roman" w:hAnsi="Times New Roman" w:cs="Times New Roman"/>
                <w:color w:val="000000" w:themeColor="text1"/>
                <w:sz w:val="20"/>
                <w:szCs w:val="20"/>
                <w:lang w:val="en-US"/>
              </w:rPr>
            </w:pPr>
            <w:r w:rsidRPr="0050231C">
              <w:rPr>
                <w:rFonts w:ascii="Times New Roman" w:eastAsia="Times New Roman" w:hAnsi="Times New Roman" w:cs="Times New Roman"/>
                <w:color w:val="000000" w:themeColor="text1"/>
                <w:sz w:val="20"/>
                <w:szCs w:val="20"/>
                <w:lang w:val="en-US"/>
              </w:rPr>
              <w:t>7.82</w:t>
            </w:r>
          </w:p>
        </w:tc>
      </w:tr>
      <w:tr w:rsidR="006755F8" w:rsidRPr="00097A76" w:rsidTr="005F0DF0">
        <w:trPr>
          <w:trHeight w:val="300"/>
        </w:trPr>
        <w:tc>
          <w:tcPr>
            <w:tcW w:w="501" w:type="pct"/>
            <w:tcBorders>
              <w:top w:val="nil"/>
              <w:left w:val="nil"/>
              <w:bottom w:val="nil"/>
              <w:right w:val="nil"/>
            </w:tcBorders>
            <w:shd w:val="clear" w:color="000000" w:fill="C8E3FF"/>
            <w:vAlign w:val="center"/>
            <w:hideMark/>
          </w:tcPr>
          <w:p w:rsidR="006755F8" w:rsidRPr="0050231C" w:rsidRDefault="006755F8" w:rsidP="005F0DF0">
            <w:pPr>
              <w:spacing w:after="0" w:line="240" w:lineRule="auto"/>
              <w:jc w:val="center"/>
              <w:rPr>
                <w:rFonts w:ascii="Times New Roman" w:eastAsia="Times New Roman" w:hAnsi="Times New Roman" w:cs="Times New Roman"/>
                <w:color w:val="000000" w:themeColor="text1"/>
                <w:sz w:val="20"/>
                <w:szCs w:val="20"/>
                <w:lang w:val="en-US"/>
              </w:rPr>
            </w:pPr>
            <w:r w:rsidRPr="0050231C">
              <w:rPr>
                <w:rFonts w:ascii="Times New Roman" w:eastAsia="Times New Roman" w:hAnsi="Times New Roman" w:cs="Times New Roman"/>
                <w:color w:val="000000" w:themeColor="text1"/>
                <w:sz w:val="20"/>
                <w:szCs w:val="20"/>
                <w:lang w:val="en-US"/>
              </w:rPr>
              <w:t>2</w:t>
            </w:r>
          </w:p>
        </w:tc>
        <w:tc>
          <w:tcPr>
            <w:tcW w:w="3857" w:type="pct"/>
            <w:tcBorders>
              <w:top w:val="nil"/>
              <w:left w:val="nil"/>
              <w:bottom w:val="nil"/>
              <w:right w:val="nil"/>
            </w:tcBorders>
            <w:shd w:val="clear" w:color="000000" w:fill="C8E3FF"/>
            <w:vAlign w:val="center"/>
            <w:hideMark/>
          </w:tcPr>
          <w:p w:rsidR="006755F8" w:rsidRPr="0050231C" w:rsidRDefault="006755F8" w:rsidP="005F0DF0">
            <w:pPr>
              <w:spacing w:after="0" w:line="240" w:lineRule="auto"/>
              <w:rPr>
                <w:rFonts w:ascii="Times New Roman" w:eastAsia="Times New Roman" w:hAnsi="Times New Roman" w:cs="Times New Roman"/>
                <w:color w:val="000000" w:themeColor="text1"/>
                <w:sz w:val="20"/>
                <w:szCs w:val="20"/>
                <w:lang w:val="en-US"/>
              </w:rPr>
            </w:pPr>
            <w:r w:rsidRPr="0050231C">
              <w:rPr>
                <w:rFonts w:ascii="Times New Roman" w:eastAsia="Times New Roman" w:hAnsi="Times New Roman" w:cs="Times New Roman"/>
                <w:color w:val="000000" w:themeColor="text1"/>
                <w:sz w:val="20"/>
                <w:szCs w:val="20"/>
                <w:lang w:val="en-US"/>
              </w:rPr>
              <w:t xml:space="preserve">Professional Challenge - </w:t>
            </w:r>
            <w:r w:rsidRPr="0050231C">
              <w:rPr>
                <w:rFonts w:ascii="Times New Roman" w:eastAsia="Times New Roman" w:hAnsi="Times New Roman" w:cs="Times New Roman"/>
                <w:i/>
                <w:iCs/>
                <w:color w:val="000000" w:themeColor="text1"/>
                <w:sz w:val="20"/>
                <w:szCs w:val="20"/>
                <w:lang w:val="en-US"/>
              </w:rPr>
              <w:t>the extent to which your work is professionally satisfying</w:t>
            </w:r>
          </w:p>
        </w:tc>
        <w:tc>
          <w:tcPr>
            <w:tcW w:w="641" w:type="pct"/>
            <w:tcBorders>
              <w:top w:val="nil"/>
              <w:left w:val="nil"/>
              <w:bottom w:val="nil"/>
              <w:right w:val="nil"/>
            </w:tcBorders>
            <w:shd w:val="clear" w:color="000000" w:fill="C8E3FF"/>
            <w:vAlign w:val="center"/>
            <w:hideMark/>
          </w:tcPr>
          <w:p w:rsidR="006755F8" w:rsidRPr="0050231C" w:rsidRDefault="006755F8" w:rsidP="005F0DF0">
            <w:pPr>
              <w:spacing w:after="0" w:line="240" w:lineRule="auto"/>
              <w:jc w:val="center"/>
              <w:rPr>
                <w:rFonts w:ascii="Times New Roman" w:eastAsia="Times New Roman" w:hAnsi="Times New Roman" w:cs="Times New Roman"/>
                <w:color w:val="000000" w:themeColor="text1"/>
                <w:sz w:val="20"/>
                <w:szCs w:val="20"/>
                <w:lang w:val="en-US"/>
              </w:rPr>
            </w:pPr>
            <w:r w:rsidRPr="0050231C">
              <w:rPr>
                <w:rFonts w:ascii="Times New Roman" w:eastAsia="Times New Roman" w:hAnsi="Times New Roman" w:cs="Times New Roman"/>
                <w:color w:val="000000" w:themeColor="text1"/>
                <w:sz w:val="20"/>
                <w:szCs w:val="20"/>
                <w:lang w:val="en-US"/>
              </w:rPr>
              <w:t>7.64</w:t>
            </w:r>
          </w:p>
        </w:tc>
      </w:tr>
      <w:tr w:rsidR="006755F8" w:rsidRPr="00097A76" w:rsidTr="005F0DF0">
        <w:trPr>
          <w:trHeight w:val="300"/>
        </w:trPr>
        <w:tc>
          <w:tcPr>
            <w:tcW w:w="501" w:type="pct"/>
            <w:tcBorders>
              <w:top w:val="nil"/>
              <w:left w:val="nil"/>
              <w:bottom w:val="nil"/>
              <w:right w:val="nil"/>
            </w:tcBorders>
            <w:shd w:val="clear" w:color="auto" w:fill="auto"/>
            <w:vAlign w:val="center"/>
            <w:hideMark/>
          </w:tcPr>
          <w:p w:rsidR="006755F8" w:rsidRPr="0050231C" w:rsidRDefault="006755F8" w:rsidP="005F0DF0">
            <w:pPr>
              <w:spacing w:after="0" w:line="240" w:lineRule="auto"/>
              <w:jc w:val="center"/>
              <w:rPr>
                <w:rFonts w:ascii="Times New Roman" w:eastAsia="Times New Roman" w:hAnsi="Times New Roman" w:cs="Times New Roman"/>
                <w:color w:val="000000" w:themeColor="text1"/>
                <w:sz w:val="20"/>
                <w:szCs w:val="20"/>
                <w:lang w:val="en-US"/>
              </w:rPr>
            </w:pPr>
            <w:r w:rsidRPr="0050231C">
              <w:rPr>
                <w:rFonts w:ascii="Times New Roman" w:eastAsia="Times New Roman" w:hAnsi="Times New Roman" w:cs="Times New Roman"/>
                <w:color w:val="000000" w:themeColor="text1"/>
                <w:sz w:val="20"/>
                <w:szCs w:val="20"/>
                <w:lang w:val="en-US"/>
              </w:rPr>
              <w:t>3</w:t>
            </w:r>
          </w:p>
        </w:tc>
        <w:tc>
          <w:tcPr>
            <w:tcW w:w="3857" w:type="pct"/>
            <w:tcBorders>
              <w:top w:val="nil"/>
              <w:left w:val="nil"/>
              <w:bottom w:val="nil"/>
              <w:right w:val="nil"/>
            </w:tcBorders>
            <w:shd w:val="clear" w:color="auto" w:fill="auto"/>
            <w:vAlign w:val="center"/>
            <w:hideMark/>
          </w:tcPr>
          <w:p w:rsidR="006755F8" w:rsidRPr="0050231C" w:rsidRDefault="006755F8" w:rsidP="005F0DF0">
            <w:pPr>
              <w:spacing w:after="0" w:line="240" w:lineRule="auto"/>
              <w:rPr>
                <w:rFonts w:ascii="Times New Roman" w:eastAsia="Times New Roman" w:hAnsi="Times New Roman" w:cs="Times New Roman"/>
                <w:color w:val="000000" w:themeColor="text1"/>
                <w:sz w:val="20"/>
                <w:szCs w:val="20"/>
                <w:lang w:val="en-US"/>
              </w:rPr>
            </w:pPr>
            <w:r w:rsidRPr="0050231C">
              <w:rPr>
                <w:rFonts w:ascii="Times New Roman" w:eastAsia="Times New Roman" w:hAnsi="Times New Roman" w:cs="Times New Roman"/>
                <w:color w:val="000000" w:themeColor="text1"/>
                <w:sz w:val="20"/>
                <w:szCs w:val="20"/>
                <w:lang w:val="en-US"/>
              </w:rPr>
              <w:t xml:space="preserve">Collegial Support – </w:t>
            </w:r>
            <w:r w:rsidRPr="0050231C">
              <w:rPr>
                <w:rFonts w:ascii="Times New Roman" w:eastAsia="Times New Roman" w:hAnsi="Times New Roman" w:cs="Times New Roman"/>
                <w:i/>
                <w:iCs/>
                <w:color w:val="000000" w:themeColor="text1"/>
                <w:sz w:val="20"/>
                <w:szCs w:val="20"/>
                <w:lang w:val="en-US"/>
              </w:rPr>
              <w:t>the level of support offered by other teachers</w:t>
            </w:r>
          </w:p>
        </w:tc>
        <w:tc>
          <w:tcPr>
            <w:tcW w:w="641" w:type="pct"/>
            <w:tcBorders>
              <w:top w:val="nil"/>
              <w:left w:val="nil"/>
              <w:bottom w:val="nil"/>
              <w:right w:val="nil"/>
            </w:tcBorders>
            <w:shd w:val="clear" w:color="auto" w:fill="auto"/>
            <w:vAlign w:val="center"/>
            <w:hideMark/>
          </w:tcPr>
          <w:p w:rsidR="006755F8" w:rsidRPr="0050231C" w:rsidRDefault="006755F8" w:rsidP="005F0DF0">
            <w:pPr>
              <w:spacing w:after="0" w:line="240" w:lineRule="auto"/>
              <w:jc w:val="center"/>
              <w:rPr>
                <w:rFonts w:ascii="Times New Roman" w:eastAsia="Times New Roman" w:hAnsi="Times New Roman" w:cs="Times New Roman"/>
                <w:color w:val="000000" w:themeColor="text1"/>
                <w:sz w:val="20"/>
                <w:szCs w:val="20"/>
                <w:lang w:val="en-US"/>
              </w:rPr>
            </w:pPr>
            <w:r w:rsidRPr="0050231C">
              <w:rPr>
                <w:rFonts w:ascii="Times New Roman" w:eastAsia="Times New Roman" w:hAnsi="Times New Roman" w:cs="Times New Roman"/>
                <w:color w:val="000000" w:themeColor="text1"/>
                <w:sz w:val="20"/>
                <w:szCs w:val="20"/>
                <w:lang w:val="en-US"/>
              </w:rPr>
              <w:t>7.24</w:t>
            </w:r>
          </w:p>
        </w:tc>
      </w:tr>
      <w:tr w:rsidR="006755F8" w:rsidRPr="00097A76" w:rsidTr="005F0DF0">
        <w:trPr>
          <w:trHeight w:val="330"/>
        </w:trPr>
        <w:tc>
          <w:tcPr>
            <w:tcW w:w="501" w:type="pct"/>
            <w:tcBorders>
              <w:top w:val="nil"/>
              <w:left w:val="nil"/>
              <w:bottom w:val="nil"/>
              <w:right w:val="nil"/>
            </w:tcBorders>
            <w:shd w:val="clear" w:color="000000" w:fill="C8E3FF"/>
            <w:vAlign w:val="center"/>
            <w:hideMark/>
          </w:tcPr>
          <w:p w:rsidR="006755F8" w:rsidRPr="0050231C" w:rsidRDefault="006755F8" w:rsidP="005F0DF0">
            <w:pPr>
              <w:spacing w:after="0" w:line="240" w:lineRule="auto"/>
              <w:jc w:val="center"/>
              <w:rPr>
                <w:rFonts w:ascii="Times New Roman" w:eastAsia="Times New Roman" w:hAnsi="Times New Roman" w:cs="Times New Roman"/>
                <w:color w:val="000000" w:themeColor="text1"/>
                <w:sz w:val="20"/>
                <w:szCs w:val="20"/>
                <w:lang w:val="en-US"/>
              </w:rPr>
            </w:pPr>
            <w:r w:rsidRPr="0050231C">
              <w:rPr>
                <w:rFonts w:ascii="Times New Roman" w:eastAsia="Times New Roman" w:hAnsi="Times New Roman" w:cs="Times New Roman"/>
                <w:color w:val="000000" w:themeColor="text1"/>
                <w:sz w:val="20"/>
                <w:szCs w:val="20"/>
                <w:lang w:val="en-US"/>
              </w:rPr>
              <w:t>4</w:t>
            </w:r>
          </w:p>
        </w:tc>
        <w:tc>
          <w:tcPr>
            <w:tcW w:w="3857" w:type="pct"/>
            <w:tcBorders>
              <w:top w:val="nil"/>
              <w:left w:val="nil"/>
              <w:bottom w:val="nil"/>
              <w:right w:val="nil"/>
            </w:tcBorders>
            <w:shd w:val="clear" w:color="000000" w:fill="C8E3FF"/>
            <w:vAlign w:val="center"/>
            <w:hideMark/>
          </w:tcPr>
          <w:p w:rsidR="006755F8" w:rsidRPr="0050231C" w:rsidRDefault="006755F8" w:rsidP="005F0DF0">
            <w:pPr>
              <w:spacing w:after="0" w:line="240" w:lineRule="auto"/>
              <w:rPr>
                <w:rFonts w:ascii="Times New Roman" w:eastAsia="Times New Roman" w:hAnsi="Times New Roman" w:cs="Times New Roman"/>
                <w:color w:val="000000" w:themeColor="text1"/>
                <w:sz w:val="20"/>
                <w:szCs w:val="20"/>
                <w:lang w:val="en-US"/>
              </w:rPr>
            </w:pPr>
            <w:r w:rsidRPr="0050231C">
              <w:rPr>
                <w:rFonts w:ascii="Times New Roman" w:eastAsia="Times New Roman" w:hAnsi="Times New Roman" w:cs="Times New Roman"/>
                <w:color w:val="000000" w:themeColor="text1"/>
                <w:sz w:val="20"/>
                <w:szCs w:val="20"/>
                <w:lang w:val="en-US"/>
              </w:rPr>
              <w:t xml:space="preserve">Professional Collaboration – </w:t>
            </w:r>
            <w:r w:rsidRPr="0050231C">
              <w:rPr>
                <w:rFonts w:ascii="Times New Roman" w:eastAsia="Times New Roman" w:hAnsi="Times New Roman" w:cs="Times New Roman"/>
                <w:i/>
                <w:iCs/>
                <w:color w:val="000000" w:themeColor="text1"/>
                <w:sz w:val="20"/>
                <w:szCs w:val="20"/>
                <w:lang w:val="en-US"/>
              </w:rPr>
              <w:t>the relationships you have with others who are involved in student learning</w:t>
            </w:r>
            <w:r w:rsidRPr="0050231C">
              <w:rPr>
                <w:rFonts w:ascii="Times New Roman" w:eastAsia="Times New Roman" w:hAnsi="Times New Roman" w:cs="Times New Roman"/>
                <w:color w:val="000000" w:themeColor="text1"/>
                <w:sz w:val="20"/>
                <w:szCs w:val="20"/>
                <w:lang w:val="en-US"/>
              </w:rPr>
              <w:t xml:space="preserve"> </w:t>
            </w:r>
            <w:r w:rsidRPr="0050231C">
              <w:rPr>
                <w:rFonts w:ascii="Times New Roman" w:eastAsia="Times New Roman" w:hAnsi="Times New Roman" w:cs="Times New Roman"/>
                <w:i/>
                <w:iCs/>
                <w:color w:val="000000" w:themeColor="text1"/>
                <w:sz w:val="20"/>
                <w:szCs w:val="20"/>
                <w:lang w:val="en-US"/>
              </w:rPr>
              <w:t>or welfare</w:t>
            </w:r>
          </w:p>
        </w:tc>
        <w:tc>
          <w:tcPr>
            <w:tcW w:w="641" w:type="pct"/>
            <w:tcBorders>
              <w:top w:val="nil"/>
              <w:left w:val="nil"/>
              <w:bottom w:val="nil"/>
              <w:right w:val="nil"/>
            </w:tcBorders>
            <w:shd w:val="clear" w:color="000000" w:fill="C8E3FF"/>
            <w:vAlign w:val="center"/>
            <w:hideMark/>
          </w:tcPr>
          <w:p w:rsidR="006755F8" w:rsidRPr="0050231C" w:rsidRDefault="006755F8" w:rsidP="005F0DF0">
            <w:pPr>
              <w:spacing w:after="0" w:line="240" w:lineRule="auto"/>
              <w:jc w:val="center"/>
              <w:rPr>
                <w:rFonts w:ascii="Times New Roman" w:eastAsia="Times New Roman" w:hAnsi="Times New Roman" w:cs="Times New Roman"/>
                <w:color w:val="000000" w:themeColor="text1"/>
                <w:sz w:val="20"/>
                <w:szCs w:val="20"/>
                <w:lang w:val="en-US"/>
              </w:rPr>
            </w:pPr>
            <w:r w:rsidRPr="0050231C">
              <w:rPr>
                <w:rFonts w:ascii="Times New Roman" w:eastAsia="Times New Roman" w:hAnsi="Times New Roman" w:cs="Times New Roman"/>
                <w:color w:val="000000" w:themeColor="text1"/>
                <w:sz w:val="20"/>
                <w:szCs w:val="20"/>
                <w:lang w:val="en-US"/>
              </w:rPr>
              <w:t>5.39</w:t>
            </w:r>
          </w:p>
        </w:tc>
      </w:tr>
      <w:tr w:rsidR="006755F8" w:rsidRPr="00097A76" w:rsidTr="005F0DF0">
        <w:trPr>
          <w:trHeight w:val="525"/>
        </w:trPr>
        <w:tc>
          <w:tcPr>
            <w:tcW w:w="501" w:type="pct"/>
            <w:tcBorders>
              <w:top w:val="nil"/>
              <w:left w:val="nil"/>
              <w:bottom w:val="nil"/>
              <w:right w:val="nil"/>
            </w:tcBorders>
            <w:shd w:val="clear" w:color="auto" w:fill="auto"/>
            <w:vAlign w:val="center"/>
            <w:hideMark/>
          </w:tcPr>
          <w:p w:rsidR="006755F8" w:rsidRPr="0050231C" w:rsidRDefault="006755F8" w:rsidP="005F0DF0">
            <w:pPr>
              <w:spacing w:after="0" w:line="240" w:lineRule="auto"/>
              <w:jc w:val="center"/>
              <w:rPr>
                <w:rFonts w:ascii="Times New Roman" w:eastAsia="Times New Roman" w:hAnsi="Times New Roman" w:cs="Times New Roman"/>
                <w:color w:val="000000" w:themeColor="text1"/>
                <w:sz w:val="20"/>
                <w:szCs w:val="20"/>
                <w:lang w:val="en-US"/>
              </w:rPr>
            </w:pPr>
            <w:r w:rsidRPr="0050231C">
              <w:rPr>
                <w:rFonts w:ascii="Times New Roman" w:eastAsia="Times New Roman" w:hAnsi="Times New Roman" w:cs="Times New Roman"/>
                <w:color w:val="000000" w:themeColor="text1"/>
                <w:sz w:val="20"/>
                <w:szCs w:val="20"/>
                <w:lang w:val="en-US"/>
              </w:rPr>
              <w:t>5</w:t>
            </w:r>
          </w:p>
        </w:tc>
        <w:tc>
          <w:tcPr>
            <w:tcW w:w="3857" w:type="pct"/>
            <w:tcBorders>
              <w:top w:val="nil"/>
              <w:left w:val="nil"/>
              <w:bottom w:val="nil"/>
              <w:right w:val="nil"/>
            </w:tcBorders>
            <w:shd w:val="clear" w:color="auto" w:fill="auto"/>
            <w:vAlign w:val="center"/>
            <w:hideMark/>
          </w:tcPr>
          <w:p w:rsidR="006755F8" w:rsidRPr="0050231C" w:rsidRDefault="006755F8" w:rsidP="005F0DF0">
            <w:pPr>
              <w:spacing w:after="0" w:line="240" w:lineRule="auto"/>
              <w:rPr>
                <w:rFonts w:ascii="Times New Roman" w:eastAsia="Times New Roman" w:hAnsi="Times New Roman" w:cs="Times New Roman"/>
                <w:color w:val="000000" w:themeColor="text1"/>
                <w:sz w:val="20"/>
                <w:szCs w:val="20"/>
                <w:lang w:val="en-US"/>
              </w:rPr>
            </w:pPr>
            <w:r w:rsidRPr="0050231C">
              <w:rPr>
                <w:rFonts w:ascii="Times New Roman" w:eastAsia="Times New Roman" w:hAnsi="Times New Roman" w:cs="Times New Roman"/>
                <w:color w:val="000000" w:themeColor="text1"/>
                <w:sz w:val="20"/>
                <w:szCs w:val="20"/>
                <w:lang w:val="en-US"/>
              </w:rPr>
              <w:t xml:space="preserve">The support you receive during your first year – </w:t>
            </w:r>
            <w:r w:rsidRPr="0050231C">
              <w:rPr>
                <w:rFonts w:ascii="Times New Roman" w:eastAsia="Times New Roman" w:hAnsi="Times New Roman" w:cs="Times New Roman"/>
                <w:i/>
                <w:iCs/>
                <w:color w:val="000000" w:themeColor="text1"/>
                <w:sz w:val="20"/>
                <w:szCs w:val="20"/>
                <w:lang w:val="en-US"/>
              </w:rPr>
              <w:t>the orientation you have to the school and system (e.g. structured supervision; mentoring)</w:t>
            </w:r>
          </w:p>
        </w:tc>
        <w:tc>
          <w:tcPr>
            <w:tcW w:w="641" w:type="pct"/>
            <w:tcBorders>
              <w:top w:val="nil"/>
              <w:left w:val="nil"/>
              <w:bottom w:val="nil"/>
              <w:right w:val="nil"/>
            </w:tcBorders>
            <w:shd w:val="clear" w:color="auto" w:fill="auto"/>
            <w:vAlign w:val="center"/>
            <w:hideMark/>
          </w:tcPr>
          <w:p w:rsidR="006755F8" w:rsidRPr="0050231C" w:rsidRDefault="006755F8" w:rsidP="005F0DF0">
            <w:pPr>
              <w:spacing w:after="0" w:line="240" w:lineRule="auto"/>
              <w:jc w:val="center"/>
              <w:rPr>
                <w:rFonts w:ascii="Times New Roman" w:eastAsia="Times New Roman" w:hAnsi="Times New Roman" w:cs="Times New Roman"/>
                <w:color w:val="000000" w:themeColor="text1"/>
                <w:sz w:val="20"/>
                <w:szCs w:val="20"/>
                <w:lang w:val="en-US"/>
              </w:rPr>
            </w:pPr>
            <w:r w:rsidRPr="0050231C">
              <w:rPr>
                <w:rFonts w:ascii="Times New Roman" w:eastAsia="Times New Roman" w:hAnsi="Times New Roman" w:cs="Times New Roman"/>
                <w:color w:val="000000" w:themeColor="text1"/>
                <w:sz w:val="20"/>
                <w:szCs w:val="20"/>
                <w:lang w:val="en-US"/>
              </w:rPr>
              <w:t>5.12</w:t>
            </w:r>
          </w:p>
        </w:tc>
      </w:tr>
      <w:tr w:rsidR="006755F8" w:rsidRPr="00097A76" w:rsidTr="005F0DF0">
        <w:trPr>
          <w:trHeight w:val="525"/>
        </w:trPr>
        <w:tc>
          <w:tcPr>
            <w:tcW w:w="501" w:type="pct"/>
            <w:tcBorders>
              <w:top w:val="nil"/>
              <w:left w:val="nil"/>
              <w:bottom w:val="nil"/>
              <w:right w:val="nil"/>
            </w:tcBorders>
            <w:shd w:val="clear" w:color="000000" w:fill="C8E3FF"/>
            <w:vAlign w:val="center"/>
            <w:hideMark/>
          </w:tcPr>
          <w:p w:rsidR="006755F8" w:rsidRPr="0050231C" w:rsidRDefault="006755F8" w:rsidP="005F0DF0">
            <w:pPr>
              <w:spacing w:after="0" w:line="240" w:lineRule="auto"/>
              <w:jc w:val="center"/>
              <w:rPr>
                <w:rFonts w:ascii="Times New Roman" w:eastAsia="Times New Roman" w:hAnsi="Times New Roman" w:cs="Times New Roman"/>
                <w:color w:val="000000" w:themeColor="text1"/>
                <w:sz w:val="20"/>
                <w:szCs w:val="20"/>
                <w:lang w:val="en-US"/>
              </w:rPr>
            </w:pPr>
            <w:r w:rsidRPr="0050231C">
              <w:rPr>
                <w:rFonts w:ascii="Times New Roman" w:eastAsia="Times New Roman" w:hAnsi="Times New Roman" w:cs="Times New Roman"/>
                <w:color w:val="000000" w:themeColor="text1"/>
                <w:sz w:val="20"/>
                <w:szCs w:val="20"/>
                <w:lang w:val="en-US"/>
              </w:rPr>
              <w:t>6</w:t>
            </w:r>
          </w:p>
        </w:tc>
        <w:tc>
          <w:tcPr>
            <w:tcW w:w="3857" w:type="pct"/>
            <w:tcBorders>
              <w:top w:val="nil"/>
              <w:left w:val="nil"/>
              <w:bottom w:val="nil"/>
              <w:right w:val="nil"/>
            </w:tcBorders>
            <w:shd w:val="clear" w:color="000000" w:fill="C8E3FF"/>
            <w:vAlign w:val="center"/>
            <w:hideMark/>
          </w:tcPr>
          <w:p w:rsidR="006755F8" w:rsidRPr="0050231C" w:rsidRDefault="006755F8" w:rsidP="005F0DF0">
            <w:pPr>
              <w:spacing w:after="0" w:line="240" w:lineRule="auto"/>
              <w:rPr>
                <w:rFonts w:ascii="Times New Roman" w:eastAsia="Times New Roman" w:hAnsi="Times New Roman" w:cs="Times New Roman"/>
                <w:color w:val="000000" w:themeColor="text1"/>
                <w:sz w:val="20"/>
                <w:szCs w:val="20"/>
                <w:lang w:val="en-US"/>
              </w:rPr>
            </w:pPr>
            <w:r w:rsidRPr="0050231C">
              <w:rPr>
                <w:rFonts w:ascii="Times New Roman" w:eastAsia="Times New Roman" w:hAnsi="Times New Roman" w:cs="Times New Roman"/>
                <w:color w:val="000000" w:themeColor="text1"/>
                <w:sz w:val="20"/>
                <w:szCs w:val="20"/>
                <w:lang w:val="en-US"/>
              </w:rPr>
              <w:t xml:space="preserve">Executive Support </w:t>
            </w:r>
            <w:r w:rsidRPr="0050231C">
              <w:rPr>
                <w:rFonts w:ascii="Times New Roman" w:eastAsia="Times New Roman" w:hAnsi="Times New Roman" w:cs="Times New Roman"/>
                <w:i/>
                <w:iCs/>
                <w:color w:val="000000" w:themeColor="text1"/>
                <w:sz w:val="20"/>
                <w:szCs w:val="20"/>
                <w:lang w:val="en-US"/>
              </w:rPr>
              <w:t>– the type of support that is provided by the school executive (principal, deputy, head teacher, assistant principal)</w:t>
            </w:r>
          </w:p>
        </w:tc>
        <w:tc>
          <w:tcPr>
            <w:tcW w:w="641" w:type="pct"/>
            <w:tcBorders>
              <w:top w:val="nil"/>
              <w:left w:val="nil"/>
              <w:bottom w:val="nil"/>
              <w:right w:val="nil"/>
            </w:tcBorders>
            <w:shd w:val="clear" w:color="000000" w:fill="C8E3FF"/>
            <w:vAlign w:val="center"/>
            <w:hideMark/>
          </w:tcPr>
          <w:p w:rsidR="006755F8" w:rsidRPr="0050231C" w:rsidRDefault="006755F8" w:rsidP="005F0DF0">
            <w:pPr>
              <w:spacing w:after="0" w:line="240" w:lineRule="auto"/>
              <w:jc w:val="center"/>
              <w:rPr>
                <w:rFonts w:ascii="Times New Roman" w:eastAsia="Times New Roman" w:hAnsi="Times New Roman" w:cs="Times New Roman"/>
                <w:color w:val="000000" w:themeColor="text1"/>
                <w:sz w:val="20"/>
                <w:szCs w:val="20"/>
                <w:lang w:val="en-US"/>
              </w:rPr>
            </w:pPr>
            <w:r w:rsidRPr="0050231C">
              <w:rPr>
                <w:rFonts w:ascii="Times New Roman" w:eastAsia="Times New Roman" w:hAnsi="Times New Roman" w:cs="Times New Roman"/>
                <w:color w:val="000000" w:themeColor="text1"/>
                <w:sz w:val="20"/>
                <w:szCs w:val="20"/>
                <w:lang w:val="en-US"/>
              </w:rPr>
              <w:t>5.00</w:t>
            </w:r>
          </w:p>
        </w:tc>
      </w:tr>
      <w:tr w:rsidR="006755F8" w:rsidRPr="00097A76" w:rsidTr="005F0DF0">
        <w:trPr>
          <w:trHeight w:val="300"/>
        </w:trPr>
        <w:tc>
          <w:tcPr>
            <w:tcW w:w="501" w:type="pct"/>
            <w:tcBorders>
              <w:top w:val="nil"/>
              <w:left w:val="nil"/>
              <w:bottom w:val="nil"/>
              <w:right w:val="nil"/>
            </w:tcBorders>
            <w:shd w:val="clear" w:color="auto" w:fill="auto"/>
            <w:vAlign w:val="center"/>
            <w:hideMark/>
          </w:tcPr>
          <w:p w:rsidR="006755F8" w:rsidRPr="0050231C" w:rsidRDefault="006755F8" w:rsidP="005F0DF0">
            <w:pPr>
              <w:spacing w:after="0" w:line="240" w:lineRule="auto"/>
              <w:jc w:val="center"/>
              <w:rPr>
                <w:rFonts w:ascii="Times New Roman" w:eastAsia="Times New Roman" w:hAnsi="Times New Roman" w:cs="Times New Roman"/>
                <w:color w:val="000000" w:themeColor="text1"/>
                <w:sz w:val="20"/>
                <w:szCs w:val="20"/>
                <w:lang w:val="en-US"/>
              </w:rPr>
            </w:pPr>
            <w:r w:rsidRPr="0050231C">
              <w:rPr>
                <w:rFonts w:ascii="Times New Roman" w:eastAsia="Times New Roman" w:hAnsi="Times New Roman" w:cs="Times New Roman"/>
                <w:color w:val="000000" w:themeColor="text1"/>
                <w:sz w:val="20"/>
                <w:szCs w:val="20"/>
                <w:lang w:val="en-US"/>
              </w:rPr>
              <w:t>7</w:t>
            </w:r>
          </w:p>
        </w:tc>
        <w:tc>
          <w:tcPr>
            <w:tcW w:w="3857" w:type="pct"/>
            <w:tcBorders>
              <w:top w:val="nil"/>
              <w:left w:val="nil"/>
              <w:bottom w:val="nil"/>
              <w:right w:val="nil"/>
            </w:tcBorders>
            <w:shd w:val="clear" w:color="auto" w:fill="auto"/>
            <w:vAlign w:val="center"/>
            <w:hideMark/>
          </w:tcPr>
          <w:p w:rsidR="006755F8" w:rsidRPr="0050231C" w:rsidRDefault="006755F8" w:rsidP="005F0DF0">
            <w:pPr>
              <w:spacing w:after="0" w:line="240" w:lineRule="auto"/>
              <w:rPr>
                <w:rFonts w:ascii="Times New Roman" w:eastAsia="Times New Roman" w:hAnsi="Times New Roman" w:cs="Times New Roman"/>
                <w:color w:val="000000" w:themeColor="text1"/>
                <w:sz w:val="20"/>
                <w:szCs w:val="20"/>
                <w:lang w:val="en-US"/>
              </w:rPr>
            </w:pPr>
            <w:r w:rsidRPr="0050231C">
              <w:rPr>
                <w:rFonts w:ascii="Times New Roman" w:eastAsia="Times New Roman" w:hAnsi="Times New Roman" w:cs="Times New Roman"/>
                <w:color w:val="000000" w:themeColor="text1"/>
                <w:sz w:val="20"/>
                <w:szCs w:val="20"/>
                <w:lang w:val="en-US"/>
              </w:rPr>
              <w:t xml:space="preserve">Staff Culture </w:t>
            </w:r>
            <w:r w:rsidRPr="0050231C">
              <w:rPr>
                <w:rFonts w:ascii="Times New Roman" w:eastAsia="Times New Roman" w:hAnsi="Times New Roman" w:cs="Times New Roman"/>
                <w:i/>
                <w:iCs/>
                <w:color w:val="000000" w:themeColor="text1"/>
                <w:sz w:val="20"/>
                <w:szCs w:val="20"/>
                <w:lang w:val="en-US"/>
              </w:rPr>
              <w:t>– the interaction and support among staff</w:t>
            </w:r>
          </w:p>
        </w:tc>
        <w:tc>
          <w:tcPr>
            <w:tcW w:w="641" w:type="pct"/>
            <w:tcBorders>
              <w:top w:val="nil"/>
              <w:left w:val="nil"/>
              <w:bottom w:val="nil"/>
              <w:right w:val="nil"/>
            </w:tcBorders>
            <w:shd w:val="clear" w:color="auto" w:fill="auto"/>
            <w:vAlign w:val="center"/>
            <w:hideMark/>
          </w:tcPr>
          <w:p w:rsidR="006755F8" w:rsidRPr="0050231C" w:rsidRDefault="006755F8" w:rsidP="005F0DF0">
            <w:pPr>
              <w:spacing w:after="0" w:line="240" w:lineRule="auto"/>
              <w:jc w:val="center"/>
              <w:rPr>
                <w:rFonts w:ascii="Times New Roman" w:eastAsia="Times New Roman" w:hAnsi="Times New Roman" w:cs="Times New Roman"/>
                <w:color w:val="000000" w:themeColor="text1"/>
                <w:sz w:val="20"/>
                <w:szCs w:val="20"/>
                <w:lang w:val="en-US"/>
              </w:rPr>
            </w:pPr>
            <w:r w:rsidRPr="0050231C">
              <w:rPr>
                <w:rFonts w:ascii="Times New Roman" w:eastAsia="Times New Roman" w:hAnsi="Times New Roman" w:cs="Times New Roman"/>
                <w:color w:val="000000" w:themeColor="text1"/>
                <w:sz w:val="20"/>
                <w:szCs w:val="20"/>
                <w:lang w:val="en-US"/>
              </w:rPr>
              <w:t>5.00</w:t>
            </w:r>
          </w:p>
        </w:tc>
      </w:tr>
      <w:tr w:rsidR="006755F8" w:rsidRPr="00097A76" w:rsidTr="005F0DF0">
        <w:trPr>
          <w:trHeight w:val="300"/>
        </w:trPr>
        <w:tc>
          <w:tcPr>
            <w:tcW w:w="501" w:type="pct"/>
            <w:tcBorders>
              <w:top w:val="nil"/>
              <w:left w:val="nil"/>
              <w:bottom w:val="nil"/>
              <w:right w:val="nil"/>
            </w:tcBorders>
            <w:shd w:val="clear" w:color="000000" w:fill="C8E3FF"/>
            <w:vAlign w:val="center"/>
            <w:hideMark/>
          </w:tcPr>
          <w:p w:rsidR="006755F8" w:rsidRPr="0050231C" w:rsidRDefault="006755F8" w:rsidP="005F0DF0">
            <w:pPr>
              <w:spacing w:after="0" w:line="240" w:lineRule="auto"/>
              <w:jc w:val="center"/>
              <w:rPr>
                <w:rFonts w:ascii="Times New Roman" w:eastAsia="Times New Roman" w:hAnsi="Times New Roman" w:cs="Times New Roman"/>
                <w:color w:val="000000" w:themeColor="text1"/>
                <w:sz w:val="20"/>
                <w:szCs w:val="20"/>
                <w:lang w:val="en-US"/>
              </w:rPr>
            </w:pPr>
            <w:r w:rsidRPr="0050231C">
              <w:rPr>
                <w:rFonts w:ascii="Times New Roman" w:eastAsia="Times New Roman" w:hAnsi="Times New Roman" w:cs="Times New Roman"/>
                <w:color w:val="000000" w:themeColor="text1"/>
                <w:sz w:val="20"/>
                <w:szCs w:val="20"/>
                <w:lang w:val="en-US"/>
              </w:rPr>
              <w:t>8</w:t>
            </w:r>
          </w:p>
        </w:tc>
        <w:tc>
          <w:tcPr>
            <w:tcW w:w="3857" w:type="pct"/>
            <w:tcBorders>
              <w:top w:val="nil"/>
              <w:left w:val="nil"/>
              <w:bottom w:val="nil"/>
              <w:right w:val="nil"/>
            </w:tcBorders>
            <w:shd w:val="clear" w:color="000000" w:fill="C8E3FF"/>
            <w:vAlign w:val="center"/>
            <w:hideMark/>
          </w:tcPr>
          <w:p w:rsidR="006755F8" w:rsidRPr="0050231C" w:rsidRDefault="006755F8" w:rsidP="005F0DF0">
            <w:pPr>
              <w:spacing w:after="0" w:line="240" w:lineRule="auto"/>
              <w:rPr>
                <w:rFonts w:ascii="Times New Roman" w:eastAsia="Times New Roman" w:hAnsi="Times New Roman" w:cs="Times New Roman"/>
                <w:color w:val="000000" w:themeColor="text1"/>
                <w:sz w:val="20"/>
                <w:szCs w:val="20"/>
                <w:lang w:val="en-US"/>
              </w:rPr>
            </w:pPr>
            <w:r w:rsidRPr="0050231C">
              <w:rPr>
                <w:rFonts w:ascii="Times New Roman" w:eastAsia="Times New Roman" w:hAnsi="Times New Roman" w:cs="Times New Roman"/>
                <w:color w:val="000000" w:themeColor="text1"/>
                <w:sz w:val="20"/>
                <w:szCs w:val="20"/>
                <w:lang w:val="en-US"/>
              </w:rPr>
              <w:t xml:space="preserve">School “Climate” </w:t>
            </w:r>
            <w:r w:rsidRPr="0050231C">
              <w:rPr>
                <w:rFonts w:ascii="Times New Roman" w:eastAsia="Times New Roman" w:hAnsi="Times New Roman" w:cs="Times New Roman"/>
                <w:i/>
                <w:iCs/>
                <w:color w:val="000000" w:themeColor="text1"/>
                <w:sz w:val="20"/>
                <w:szCs w:val="20"/>
                <w:lang w:val="en-US"/>
              </w:rPr>
              <w:t>– the “tone” of the school (welcoming atmosphere)</w:t>
            </w:r>
          </w:p>
        </w:tc>
        <w:tc>
          <w:tcPr>
            <w:tcW w:w="641" w:type="pct"/>
            <w:tcBorders>
              <w:top w:val="nil"/>
              <w:left w:val="nil"/>
              <w:bottom w:val="nil"/>
              <w:right w:val="nil"/>
            </w:tcBorders>
            <w:shd w:val="clear" w:color="000000" w:fill="C8E3FF"/>
            <w:vAlign w:val="center"/>
            <w:hideMark/>
          </w:tcPr>
          <w:p w:rsidR="006755F8" w:rsidRPr="0050231C" w:rsidRDefault="006755F8" w:rsidP="005F0DF0">
            <w:pPr>
              <w:spacing w:after="0" w:line="240" w:lineRule="auto"/>
              <w:jc w:val="center"/>
              <w:rPr>
                <w:rFonts w:ascii="Times New Roman" w:eastAsia="Times New Roman" w:hAnsi="Times New Roman" w:cs="Times New Roman"/>
                <w:color w:val="000000" w:themeColor="text1"/>
                <w:sz w:val="20"/>
                <w:szCs w:val="20"/>
                <w:lang w:val="en-US"/>
              </w:rPr>
            </w:pPr>
            <w:r w:rsidRPr="0050231C">
              <w:rPr>
                <w:rFonts w:ascii="Times New Roman" w:eastAsia="Times New Roman" w:hAnsi="Times New Roman" w:cs="Times New Roman"/>
                <w:color w:val="000000" w:themeColor="text1"/>
                <w:sz w:val="20"/>
                <w:szCs w:val="20"/>
                <w:lang w:val="en-US"/>
              </w:rPr>
              <w:t>4.97</w:t>
            </w:r>
          </w:p>
        </w:tc>
      </w:tr>
      <w:tr w:rsidR="006755F8" w:rsidRPr="00097A76" w:rsidTr="005F0DF0">
        <w:trPr>
          <w:trHeight w:val="300"/>
        </w:trPr>
        <w:tc>
          <w:tcPr>
            <w:tcW w:w="501" w:type="pct"/>
            <w:tcBorders>
              <w:top w:val="nil"/>
              <w:left w:val="nil"/>
              <w:bottom w:val="nil"/>
              <w:right w:val="nil"/>
            </w:tcBorders>
            <w:shd w:val="clear" w:color="auto" w:fill="auto"/>
            <w:vAlign w:val="center"/>
            <w:hideMark/>
          </w:tcPr>
          <w:p w:rsidR="006755F8" w:rsidRPr="0050231C" w:rsidRDefault="006755F8" w:rsidP="005F0DF0">
            <w:pPr>
              <w:spacing w:after="0" w:line="240" w:lineRule="auto"/>
              <w:jc w:val="center"/>
              <w:rPr>
                <w:rFonts w:ascii="Times New Roman" w:eastAsia="Times New Roman" w:hAnsi="Times New Roman" w:cs="Times New Roman"/>
                <w:color w:val="000000" w:themeColor="text1"/>
                <w:sz w:val="20"/>
                <w:szCs w:val="20"/>
                <w:lang w:val="en-US"/>
              </w:rPr>
            </w:pPr>
            <w:r w:rsidRPr="0050231C">
              <w:rPr>
                <w:rFonts w:ascii="Times New Roman" w:eastAsia="Times New Roman" w:hAnsi="Times New Roman" w:cs="Times New Roman"/>
                <w:color w:val="000000" w:themeColor="text1"/>
                <w:sz w:val="20"/>
                <w:szCs w:val="20"/>
                <w:lang w:val="en-US"/>
              </w:rPr>
              <w:t>9</w:t>
            </w:r>
          </w:p>
        </w:tc>
        <w:tc>
          <w:tcPr>
            <w:tcW w:w="3857" w:type="pct"/>
            <w:tcBorders>
              <w:top w:val="nil"/>
              <w:left w:val="nil"/>
              <w:bottom w:val="nil"/>
              <w:right w:val="nil"/>
            </w:tcBorders>
            <w:shd w:val="clear" w:color="auto" w:fill="auto"/>
            <w:vAlign w:val="center"/>
            <w:hideMark/>
          </w:tcPr>
          <w:p w:rsidR="006755F8" w:rsidRPr="0050231C" w:rsidRDefault="006755F8" w:rsidP="005F0DF0">
            <w:pPr>
              <w:spacing w:after="0" w:line="240" w:lineRule="auto"/>
              <w:rPr>
                <w:rFonts w:ascii="Times New Roman" w:eastAsia="Times New Roman" w:hAnsi="Times New Roman" w:cs="Times New Roman"/>
                <w:color w:val="000000" w:themeColor="text1"/>
                <w:sz w:val="20"/>
                <w:szCs w:val="20"/>
                <w:lang w:val="en-US"/>
              </w:rPr>
            </w:pPr>
            <w:r w:rsidRPr="0050231C">
              <w:rPr>
                <w:rFonts w:ascii="Times New Roman" w:eastAsia="Times New Roman" w:hAnsi="Times New Roman" w:cs="Times New Roman"/>
                <w:color w:val="000000" w:themeColor="text1"/>
                <w:sz w:val="20"/>
                <w:szCs w:val="20"/>
                <w:lang w:val="en-US"/>
              </w:rPr>
              <w:t xml:space="preserve">Pedagogical Support </w:t>
            </w:r>
            <w:r w:rsidRPr="0050231C">
              <w:rPr>
                <w:rFonts w:ascii="Times New Roman" w:eastAsia="Times New Roman" w:hAnsi="Times New Roman" w:cs="Times New Roman"/>
                <w:i/>
                <w:iCs/>
                <w:color w:val="000000" w:themeColor="text1"/>
                <w:sz w:val="20"/>
                <w:szCs w:val="20"/>
                <w:lang w:val="en-US"/>
              </w:rPr>
              <w:t>– the quality of support given to you for planning and delivering teaching and learning</w:t>
            </w:r>
          </w:p>
        </w:tc>
        <w:tc>
          <w:tcPr>
            <w:tcW w:w="641" w:type="pct"/>
            <w:tcBorders>
              <w:top w:val="nil"/>
              <w:left w:val="nil"/>
              <w:bottom w:val="nil"/>
              <w:right w:val="nil"/>
            </w:tcBorders>
            <w:shd w:val="clear" w:color="auto" w:fill="auto"/>
            <w:vAlign w:val="center"/>
            <w:hideMark/>
          </w:tcPr>
          <w:p w:rsidR="006755F8" w:rsidRPr="0050231C" w:rsidRDefault="006755F8" w:rsidP="005F0DF0">
            <w:pPr>
              <w:spacing w:after="0" w:line="240" w:lineRule="auto"/>
              <w:jc w:val="center"/>
              <w:rPr>
                <w:rFonts w:ascii="Times New Roman" w:eastAsia="Times New Roman" w:hAnsi="Times New Roman" w:cs="Times New Roman"/>
                <w:color w:val="000000" w:themeColor="text1"/>
                <w:sz w:val="20"/>
                <w:szCs w:val="20"/>
                <w:lang w:val="en-US"/>
              </w:rPr>
            </w:pPr>
            <w:r w:rsidRPr="0050231C">
              <w:rPr>
                <w:rFonts w:ascii="Times New Roman" w:eastAsia="Times New Roman" w:hAnsi="Times New Roman" w:cs="Times New Roman"/>
                <w:color w:val="000000" w:themeColor="text1"/>
                <w:sz w:val="20"/>
                <w:szCs w:val="20"/>
                <w:lang w:val="en-US"/>
              </w:rPr>
              <w:t>4.82</w:t>
            </w:r>
          </w:p>
        </w:tc>
      </w:tr>
      <w:tr w:rsidR="006755F8" w:rsidRPr="00097A76" w:rsidTr="005F0DF0">
        <w:trPr>
          <w:trHeight w:val="315"/>
        </w:trPr>
        <w:tc>
          <w:tcPr>
            <w:tcW w:w="501" w:type="pct"/>
            <w:tcBorders>
              <w:top w:val="nil"/>
              <w:left w:val="nil"/>
              <w:bottom w:val="nil"/>
              <w:right w:val="nil"/>
            </w:tcBorders>
            <w:shd w:val="clear" w:color="000000" w:fill="C8E3FF"/>
            <w:vAlign w:val="center"/>
            <w:hideMark/>
          </w:tcPr>
          <w:p w:rsidR="006755F8" w:rsidRPr="0050231C" w:rsidRDefault="006755F8" w:rsidP="005F0DF0">
            <w:pPr>
              <w:spacing w:after="0" w:line="240" w:lineRule="auto"/>
              <w:jc w:val="center"/>
              <w:rPr>
                <w:rFonts w:ascii="Times New Roman" w:eastAsia="Times New Roman" w:hAnsi="Times New Roman" w:cs="Times New Roman"/>
                <w:color w:val="000000" w:themeColor="text1"/>
                <w:sz w:val="20"/>
                <w:szCs w:val="20"/>
                <w:lang w:val="en-US"/>
              </w:rPr>
            </w:pPr>
            <w:r w:rsidRPr="0050231C">
              <w:rPr>
                <w:rFonts w:ascii="Times New Roman" w:eastAsia="Times New Roman" w:hAnsi="Times New Roman" w:cs="Times New Roman"/>
                <w:color w:val="000000" w:themeColor="text1"/>
                <w:sz w:val="20"/>
                <w:szCs w:val="20"/>
                <w:lang w:val="en-US"/>
              </w:rPr>
              <w:t>10</w:t>
            </w:r>
          </w:p>
        </w:tc>
        <w:tc>
          <w:tcPr>
            <w:tcW w:w="3857" w:type="pct"/>
            <w:tcBorders>
              <w:top w:val="nil"/>
              <w:left w:val="nil"/>
              <w:bottom w:val="nil"/>
              <w:right w:val="nil"/>
            </w:tcBorders>
            <w:shd w:val="clear" w:color="000000" w:fill="C8E3FF"/>
            <w:vAlign w:val="center"/>
            <w:hideMark/>
          </w:tcPr>
          <w:p w:rsidR="006755F8" w:rsidRPr="0050231C" w:rsidRDefault="006755F8" w:rsidP="005F0DF0">
            <w:pPr>
              <w:spacing w:after="0" w:line="240" w:lineRule="auto"/>
              <w:rPr>
                <w:rFonts w:ascii="Times New Roman" w:eastAsia="Times New Roman" w:hAnsi="Times New Roman" w:cs="Times New Roman"/>
                <w:color w:val="000000" w:themeColor="text1"/>
                <w:sz w:val="20"/>
                <w:szCs w:val="20"/>
                <w:lang w:val="en-US"/>
              </w:rPr>
            </w:pPr>
            <w:r w:rsidRPr="0050231C">
              <w:rPr>
                <w:rFonts w:ascii="Times New Roman" w:eastAsia="Times New Roman" w:hAnsi="Times New Roman" w:cs="Times New Roman"/>
                <w:color w:val="000000" w:themeColor="text1"/>
                <w:sz w:val="20"/>
                <w:szCs w:val="20"/>
                <w:lang w:val="en-US"/>
              </w:rPr>
              <w:t xml:space="preserve">Workload </w:t>
            </w:r>
            <w:r w:rsidRPr="0050231C">
              <w:rPr>
                <w:rFonts w:ascii="Times New Roman" w:eastAsia="Times New Roman" w:hAnsi="Times New Roman" w:cs="Times New Roman"/>
                <w:i/>
                <w:iCs/>
                <w:color w:val="000000" w:themeColor="text1"/>
                <w:sz w:val="20"/>
                <w:szCs w:val="20"/>
                <w:lang w:val="en-US"/>
              </w:rPr>
              <w:t>– the time and effort you commit to teach effectively</w:t>
            </w:r>
          </w:p>
        </w:tc>
        <w:tc>
          <w:tcPr>
            <w:tcW w:w="641" w:type="pct"/>
            <w:tcBorders>
              <w:top w:val="nil"/>
              <w:left w:val="nil"/>
              <w:bottom w:val="nil"/>
              <w:right w:val="nil"/>
            </w:tcBorders>
            <w:shd w:val="clear" w:color="000000" w:fill="C8E3FF"/>
            <w:vAlign w:val="center"/>
            <w:hideMark/>
          </w:tcPr>
          <w:p w:rsidR="006755F8" w:rsidRPr="0050231C" w:rsidRDefault="006755F8" w:rsidP="005F0DF0">
            <w:pPr>
              <w:spacing w:after="0" w:line="240" w:lineRule="auto"/>
              <w:jc w:val="center"/>
              <w:rPr>
                <w:rFonts w:ascii="Times New Roman" w:eastAsia="Times New Roman" w:hAnsi="Times New Roman" w:cs="Times New Roman"/>
                <w:color w:val="000000" w:themeColor="text1"/>
                <w:sz w:val="20"/>
                <w:szCs w:val="20"/>
                <w:lang w:val="en-US"/>
              </w:rPr>
            </w:pPr>
            <w:r w:rsidRPr="0050231C">
              <w:rPr>
                <w:rFonts w:ascii="Times New Roman" w:eastAsia="Times New Roman" w:hAnsi="Times New Roman" w:cs="Times New Roman"/>
                <w:color w:val="000000" w:themeColor="text1"/>
                <w:sz w:val="20"/>
                <w:szCs w:val="20"/>
                <w:lang w:val="en-US"/>
              </w:rPr>
              <w:t>4.64</w:t>
            </w:r>
          </w:p>
        </w:tc>
      </w:tr>
      <w:tr w:rsidR="006755F8" w:rsidRPr="00097A76" w:rsidTr="005F0DF0">
        <w:trPr>
          <w:trHeight w:val="315"/>
        </w:trPr>
        <w:tc>
          <w:tcPr>
            <w:tcW w:w="501" w:type="pct"/>
            <w:tcBorders>
              <w:top w:val="single" w:sz="12" w:space="0" w:color="BBE0E3"/>
              <w:left w:val="nil"/>
              <w:bottom w:val="nil"/>
              <w:right w:val="nil"/>
            </w:tcBorders>
            <w:shd w:val="clear" w:color="auto" w:fill="auto"/>
            <w:vAlign w:val="center"/>
            <w:hideMark/>
          </w:tcPr>
          <w:p w:rsidR="006755F8" w:rsidRPr="0050231C" w:rsidRDefault="006755F8" w:rsidP="005F0DF0">
            <w:pPr>
              <w:spacing w:after="0" w:line="240" w:lineRule="auto"/>
              <w:jc w:val="center"/>
              <w:rPr>
                <w:rFonts w:ascii="Times New Roman" w:eastAsia="Times New Roman" w:hAnsi="Times New Roman" w:cs="Times New Roman"/>
                <w:color w:val="000000" w:themeColor="text1"/>
                <w:sz w:val="20"/>
                <w:szCs w:val="20"/>
                <w:lang w:val="en-US"/>
              </w:rPr>
            </w:pPr>
            <w:r w:rsidRPr="0050231C">
              <w:rPr>
                <w:rFonts w:ascii="Times New Roman" w:eastAsia="Times New Roman" w:hAnsi="Times New Roman" w:cs="Times New Roman"/>
                <w:color w:val="000000" w:themeColor="text1"/>
                <w:sz w:val="20"/>
                <w:szCs w:val="20"/>
                <w:lang w:val="en-US"/>
              </w:rPr>
              <w:t>11</w:t>
            </w:r>
          </w:p>
        </w:tc>
        <w:tc>
          <w:tcPr>
            <w:tcW w:w="3857" w:type="pct"/>
            <w:tcBorders>
              <w:top w:val="single" w:sz="12" w:space="0" w:color="BBE0E3"/>
              <w:left w:val="nil"/>
              <w:bottom w:val="nil"/>
              <w:right w:val="nil"/>
            </w:tcBorders>
            <w:shd w:val="clear" w:color="auto" w:fill="auto"/>
            <w:vAlign w:val="center"/>
            <w:hideMark/>
          </w:tcPr>
          <w:p w:rsidR="006755F8" w:rsidRPr="0050231C" w:rsidRDefault="006755F8" w:rsidP="005F0DF0">
            <w:pPr>
              <w:spacing w:after="0" w:line="240" w:lineRule="auto"/>
              <w:rPr>
                <w:rFonts w:ascii="Times New Roman" w:eastAsia="Times New Roman" w:hAnsi="Times New Roman" w:cs="Times New Roman"/>
                <w:color w:val="000000" w:themeColor="text1"/>
                <w:sz w:val="20"/>
                <w:szCs w:val="20"/>
                <w:lang w:val="en-US"/>
              </w:rPr>
            </w:pPr>
            <w:r w:rsidRPr="0050231C">
              <w:rPr>
                <w:rFonts w:ascii="Times New Roman" w:eastAsia="Times New Roman" w:hAnsi="Times New Roman" w:cs="Times New Roman"/>
                <w:color w:val="000000" w:themeColor="text1"/>
                <w:sz w:val="20"/>
                <w:szCs w:val="20"/>
                <w:lang w:val="en-US"/>
              </w:rPr>
              <w:t xml:space="preserve">Special Needs  - </w:t>
            </w:r>
            <w:r w:rsidRPr="0050231C">
              <w:rPr>
                <w:rFonts w:ascii="Times New Roman" w:eastAsia="Times New Roman" w:hAnsi="Times New Roman" w:cs="Times New Roman"/>
                <w:i/>
                <w:iCs/>
                <w:color w:val="000000" w:themeColor="text1"/>
                <w:sz w:val="20"/>
                <w:szCs w:val="20"/>
                <w:lang w:val="en-US"/>
              </w:rPr>
              <w:t xml:space="preserve">support for your teaching of student with particular learning and/or </w:t>
            </w:r>
            <w:proofErr w:type="spellStart"/>
            <w:r w:rsidRPr="0050231C">
              <w:rPr>
                <w:rFonts w:ascii="Times New Roman" w:eastAsia="Times New Roman" w:hAnsi="Times New Roman" w:cs="Times New Roman"/>
                <w:i/>
                <w:iCs/>
                <w:color w:val="000000" w:themeColor="text1"/>
                <w:sz w:val="20"/>
                <w:szCs w:val="20"/>
                <w:lang w:val="en-US"/>
              </w:rPr>
              <w:t>behavioural</w:t>
            </w:r>
            <w:proofErr w:type="spellEnd"/>
            <w:r w:rsidRPr="0050231C">
              <w:rPr>
                <w:rFonts w:ascii="Times New Roman" w:eastAsia="Times New Roman" w:hAnsi="Times New Roman" w:cs="Times New Roman"/>
                <w:i/>
                <w:iCs/>
                <w:color w:val="000000" w:themeColor="text1"/>
                <w:sz w:val="20"/>
                <w:szCs w:val="20"/>
                <w:lang w:val="en-US"/>
              </w:rPr>
              <w:t xml:space="preserve"> challenges</w:t>
            </w:r>
          </w:p>
        </w:tc>
        <w:tc>
          <w:tcPr>
            <w:tcW w:w="641" w:type="pct"/>
            <w:tcBorders>
              <w:top w:val="single" w:sz="12" w:space="0" w:color="BBE0E3"/>
              <w:left w:val="nil"/>
              <w:bottom w:val="nil"/>
              <w:right w:val="nil"/>
            </w:tcBorders>
            <w:shd w:val="clear" w:color="auto" w:fill="auto"/>
            <w:vAlign w:val="center"/>
            <w:hideMark/>
          </w:tcPr>
          <w:p w:rsidR="006755F8" w:rsidRPr="0050231C" w:rsidRDefault="006755F8" w:rsidP="005F0DF0">
            <w:pPr>
              <w:spacing w:after="0" w:line="240" w:lineRule="auto"/>
              <w:jc w:val="center"/>
              <w:rPr>
                <w:rFonts w:ascii="Times New Roman" w:eastAsia="Times New Roman" w:hAnsi="Times New Roman" w:cs="Times New Roman"/>
                <w:color w:val="000000" w:themeColor="text1"/>
                <w:sz w:val="20"/>
                <w:szCs w:val="20"/>
                <w:lang w:val="en-US"/>
              </w:rPr>
            </w:pPr>
            <w:r w:rsidRPr="0050231C">
              <w:rPr>
                <w:rFonts w:ascii="Times New Roman" w:eastAsia="Times New Roman" w:hAnsi="Times New Roman" w:cs="Times New Roman"/>
                <w:color w:val="000000" w:themeColor="text1"/>
                <w:sz w:val="20"/>
                <w:szCs w:val="20"/>
                <w:lang w:val="en-US"/>
              </w:rPr>
              <w:t>4.00</w:t>
            </w:r>
          </w:p>
        </w:tc>
      </w:tr>
      <w:tr w:rsidR="006755F8" w:rsidRPr="00097A76" w:rsidTr="005F0DF0">
        <w:trPr>
          <w:trHeight w:val="300"/>
        </w:trPr>
        <w:tc>
          <w:tcPr>
            <w:tcW w:w="501" w:type="pct"/>
            <w:tcBorders>
              <w:top w:val="nil"/>
              <w:left w:val="nil"/>
              <w:bottom w:val="nil"/>
              <w:right w:val="nil"/>
            </w:tcBorders>
            <w:shd w:val="clear" w:color="000000" w:fill="C8E3FF"/>
            <w:vAlign w:val="center"/>
            <w:hideMark/>
          </w:tcPr>
          <w:p w:rsidR="006755F8" w:rsidRPr="0050231C" w:rsidRDefault="006755F8" w:rsidP="005F0DF0">
            <w:pPr>
              <w:spacing w:after="0" w:line="240" w:lineRule="auto"/>
              <w:jc w:val="center"/>
              <w:rPr>
                <w:rFonts w:ascii="Times New Roman" w:eastAsia="Times New Roman" w:hAnsi="Times New Roman" w:cs="Times New Roman"/>
                <w:color w:val="000000" w:themeColor="text1"/>
                <w:sz w:val="20"/>
                <w:szCs w:val="20"/>
                <w:lang w:val="en-US"/>
              </w:rPr>
            </w:pPr>
            <w:r w:rsidRPr="0050231C">
              <w:rPr>
                <w:rFonts w:ascii="Times New Roman" w:eastAsia="Times New Roman" w:hAnsi="Times New Roman" w:cs="Times New Roman"/>
                <w:color w:val="000000" w:themeColor="text1"/>
                <w:sz w:val="20"/>
                <w:szCs w:val="20"/>
                <w:lang w:val="en-US"/>
              </w:rPr>
              <w:t>12</w:t>
            </w:r>
          </w:p>
        </w:tc>
        <w:tc>
          <w:tcPr>
            <w:tcW w:w="3857" w:type="pct"/>
            <w:tcBorders>
              <w:top w:val="nil"/>
              <w:left w:val="nil"/>
              <w:bottom w:val="nil"/>
              <w:right w:val="nil"/>
            </w:tcBorders>
            <w:shd w:val="clear" w:color="000000" w:fill="C8E3FF"/>
            <w:vAlign w:val="center"/>
            <w:hideMark/>
          </w:tcPr>
          <w:p w:rsidR="006755F8" w:rsidRPr="0050231C" w:rsidRDefault="006755F8" w:rsidP="005F0DF0">
            <w:pPr>
              <w:spacing w:after="0" w:line="240" w:lineRule="auto"/>
              <w:rPr>
                <w:rFonts w:ascii="Times New Roman" w:eastAsia="Times New Roman" w:hAnsi="Times New Roman" w:cs="Times New Roman"/>
                <w:color w:val="000000" w:themeColor="text1"/>
                <w:sz w:val="20"/>
                <w:szCs w:val="20"/>
                <w:lang w:val="en-US"/>
              </w:rPr>
            </w:pPr>
            <w:r w:rsidRPr="0050231C">
              <w:rPr>
                <w:rFonts w:ascii="Times New Roman" w:eastAsia="Times New Roman" w:hAnsi="Times New Roman" w:cs="Times New Roman"/>
                <w:color w:val="000000" w:themeColor="text1"/>
                <w:sz w:val="20"/>
                <w:szCs w:val="20"/>
                <w:lang w:val="en-US"/>
              </w:rPr>
              <w:t xml:space="preserve">Student Behavior   - </w:t>
            </w:r>
            <w:r w:rsidRPr="0050231C">
              <w:rPr>
                <w:rFonts w:ascii="Times New Roman" w:eastAsia="Times New Roman" w:hAnsi="Times New Roman" w:cs="Times New Roman"/>
                <w:i/>
                <w:iCs/>
                <w:color w:val="000000" w:themeColor="text1"/>
                <w:sz w:val="20"/>
                <w:szCs w:val="20"/>
                <w:lang w:val="en-US"/>
              </w:rPr>
              <w:t>the way students behave at school</w:t>
            </w:r>
          </w:p>
        </w:tc>
        <w:tc>
          <w:tcPr>
            <w:tcW w:w="641" w:type="pct"/>
            <w:tcBorders>
              <w:top w:val="nil"/>
              <w:left w:val="nil"/>
              <w:bottom w:val="nil"/>
              <w:right w:val="nil"/>
            </w:tcBorders>
            <w:shd w:val="clear" w:color="000000" w:fill="C8E3FF"/>
            <w:vAlign w:val="center"/>
            <w:hideMark/>
          </w:tcPr>
          <w:p w:rsidR="006755F8" w:rsidRPr="0050231C" w:rsidRDefault="006755F8" w:rsidP="005F0DF0">
            <w:pPr>
              <w:spacing w:after="0" w:line="240" w:lineRule="auto"/>
              <w:jc w:val="center"/>
              <w:rPr>
                <w:rFonts w:ascii="Times New Roman" w:eastAsia="Times New Roman" w:hAnsi="Times New Roman" w:cs="Times New Roman"/>
                <w:color w:val="000000" w:themeColor="text1"/>
                <w:sz w:val="20"/>
                <w:szCs w:val="20"/>
                <w:lang w:val="en-US"/>
              </w:rPr>
            </w:pPr>
            <w:r w:rsidRPr="0050231C">
              <w:rPr>
                <w:rFonts w:ascii="Times New Roman" w:eastAsia="Times New Roman" w:hAnsi="Times New Roman" w:cs="Times New Roman"/>
                <w:color w:val="000000" w:themeColor="text1"/>
                <w:sz w:val="20"/>
                <w:szCs w:val="20"/>
                <w:lang w:val="en-US"/>
              </w:rPr>
              <w:t>3.39</w:t>
            </w:r>
          </w:p>
        </w:tc>
      </w:tr>
      <w:tr w:rsidR="006755F8" w:rsidRPr="00097A76" w:rsidTr="005F0DF0">
        <w:trPr>
          <w:trHeight w:val="300"/>
        </w:trPr>
        <w:tc>
          <w:tcPr>
            <w:tcW w:w="501" w:type="pct"/>
            <w:tcBorders>
              <w:top w:val="nil"/>
              <w:left w:val="nil"/>
              <w:bottom w:val="nil"/>
              <w:right w:val="nil"/>
            </w:tcBorders>
            <w:shd w:val="clear" w:color="auto" w:fill="auto"/>
            <w:vAlign w:val="center"/>
            <w:hideMark/>
          </w:tcPr>
          <w:p w:rsidR="006755F8" w:rsidRPr="0050231C" w:rsidRDefault="006755F8" w:rsidP="005F0DF0">
            <w:pPr>
              <w:spacing w:after="0" w:line="240" w:lineRule="auto"/>
              <w:jc w:val="center"/>
              <w:rPr>
                <w:rFonts w:ascii="Times New Roman" w:eastAsia="Times New Roman" w:hAnsi="Times New Roman" w:cs="Times New Roman"/>
                <w:color w:val="000000" w:themeColor="text1"/>
                <w:sz w:val="20"/>
                <w:szCs w:val="20"/>
                <w:lang w:val="en-US"/>
              </w:rPr>
            </w:pPr>
            <w:r w:rsidRPr="0050231C">
              <w:rPr>
                <w:rFonts w:ascii="Times New Roman" w:eastAsia="Times New Roman" w:hAnsi="Times New Roman" w:cs="Times New Roman"/>
                <w:color w:val="000000" w:themeColor="text1"/>
                <w:sz w:val="20"/>
                <w:szCs w:val="20"/>
                <w:lang w:val="en-US"/>
              </w:rPr>
              <w:t>13</w:t>
            </w:r>
          </w:p>
        </w:tc>
        <w:tc>
          <w:tcPr>
            <w:tcW w:w="3857" w:type="pct"/>
            <w:tcBorders>
              <w:top w:val="nil"/>
              <w:left w:val="nil"/>
              <w:bottom w:val="nil"/>
              <w:right w:val="nil"/>
            </w:tcBorders>
            <w:shd w:val="clear" w:color="auto" w:fill="auto"/>
            <w:vAlign w:val="center"/>
            <w:hideMark/>
          </w:tcPr>
          <w:p w:rsidR="006755F8" w:rsidRPr="0050231C" w:rsidRDefault="006755F8" w:rsidP="005F0DF0">
            <w:pPr>
              <w:spacing w:after="0" w:line="240" w:lineRule="auto"/>
              <w:rPr>
                <w:rFonts w:ascii="Times New Roman" w:eastAsia="Times New Roman" w:hAnsi="Times New Roman" w:cs="Times New Roman"/>
                <w:color w:val="000000" w:themeColor="text1"/>
                <w:sz w:val="20"/>
                <w:szCs w:val="20"/>
                <w:lang w:val="en-US"/>
              </w:rPr>
            </w:pPr>
            <w:r w:rsidRPr="0050231C">
              <w:rPr>
                <w:rFonts w:ascii="Times New Roman" w:eastAsia="Times New Roman" w:hAnsi="Times New Roman" w:cs="Times New Roman"/>
                <w:color w:val="000000" w:themeColor="text1"/>
                <w:sz w:val="20"/>
                <w:szCs w:val="20"/>
                <w:lang w:val="en-US"/>
              </w:rPr>
              <w:t xml:space="preserve">Resources– </w:t>
            </w:r>
            <w:r w:rsidRPr="0050231C">
              <w:rPr>
                <w:rFonts w:ascii="Times New Roman" w:eastAsia="Times New Roman" w:hAnsi="Times New Roman" w:cs="Times New Roman"/>
                <w:i/>
                <w:iCs/>
                <w:color w:val="000000" w:themeColor="text1"/>
                <w:sz w:val="20"/>
                <w:szCs w:val="20"/>
                <w:lang w:val="en-US"/>
              </w:rPr>
              <w:t>things that support you in your job (e.g. ICT, facilities, space, materials)</w:t>
            </w:r>
          </w:p>
        </w:tc>
        <w:tc>
          <w:tcPr>
            <w:tcW w:w="641" w:type="pct"/>
            <w:tcBorders>
              <w:top w:val="nil"/>
              <w:left w:val="nil"/>
              <w:bottom w:val="nil"/>
              <w:right w:val="nil"/>
            </w:tcBorders>
            <w:shd w:val="clear" w:color="auto" w:fill="auto"/>
            <w:vAlign w:val="center"/>
            <w:hideMark/>
          </w:tcPr>
          <w:p w:rsidR="006755F8" w:rsidRPr="0050231C" w:rsidRDefault="006755F8" w:rsidP="005F0DF0">
            <w:pPr>
              <w:spacing w:after="0" w:line="240" w:lineRule="auto"/>
              <w:jc w:val="center"/>
              <w:rPr>
                <w:rFonts w:ascii="Times New Roman" w:eastAsia="Times New Roman" w:hAnsi="Times New Roman" w:cs="Times New Roman"/>
                <w:color w:val="000000" w:themeColor="text1"/>
                <w:sz w:val="20"/>
                <w:szCs w:val="20"/>
                <w:lang w:val="en-US"/>
              </w:rPr>
            </w:pPr>
            <w:r w:rsidRPr="0050231C">
              <w:rPr>
                <w:rFonts w:ascii="Times New Roman" w:eastAsia="Times New Roman" w:hAnsi="Times New Roman" w:cs="Times New Roman"/>
                <w:color w:val="000000" w:themeColor="text1"/>
                <w:sz w:val="20"/>
                <w:szCs w:val="20"/>
                <w:lang w:val="en-US"/>
              </w:rPr>
              <w:t>3.39</w:t>
            </w:r>
          </w:p>
        </w:tc>
      </w:tr>
      <w:tr w:rsidR="006755F8" w:rsidRPr="00097A76" w:rsidTr="005F0DF0">
        <w:trPr>
          <w:trHeight w:val="300"/>
        </w:trPr>
        <w:tc>
          <w:tcPr>
            <w:tcW w:w="501" w:type="pct"/>
            <w:tcBorders>
              <w:top w:val="nil"/>
              <w:left w:val="nil"/>
              <w:bottom w:val="nil"/>
              <w:right w:val="nil"/>
            </w:tcBorders>
            <w:shd w:val="clear" w:color="000000" w:fill="C8E3FF"/>
            <w:vAlign w:val="center"/>
            <w:hideMark/>
          </w:tcPr>
          <w:p w:rsidR="006755F8" w:rsidRPr="0050231C" w:rsidRDefault="006755F8" w:rsidP="005F0DF0">
            <w:pPr>
              <w:spacing w:after="0" w:line="240" w:lineRule="auto"/>
              <w:jc w:val="center"/>
              <w:rPr>
                <w:rFonts w:ascii="Times New Roman" w:eastAsia="Times New Roman" w:hAnsi="Times New Roman" w:cs="Times New Roman"/>
                <w:color w:val="000000" w:themeColor="text1"/>
                <w:sz w:val="20"/>
                <w:szCs w:val="20"/>
                <w:lang w:val="en-US"/>
              </w:rPr>
            </w:pPr>
            <w:r w:rsidRPr="0050231C">
              <w:rPr>
                <w:rFonts w:ascii="Times New Roman" w:eastAsia="Times New Roman" w:hAnsi="Times New Roman" w:cs="Times New Roman"/>
                <w:color w:val="000000" w:themeColor="text1"/>
                <w:sz w:val="20"/>
                <w:szCs w:val="20"/>
                <w:lang w:val="en-US"/>
              </w:rPr>
              <w:t>14</w:t>
            </w:r>
          </w:p>
        </w:tc>
        <w:tc>
          <w:tcPr>
            <w:tcW w:w="3857" w:type="pct"/>
            <w:tcBorders>
              <w:top w:val="nil"/>
              <w:left w:val="nil"/>
              <w:bottom w:val="nil"/>
              <w:right w:val="nil"/>
            </w:tcBorders>
            <w:shd w:val="clear" w:color="000000" w:fill="C8E3FF"/>
            <w:vAlign w:val="center"/>
            <w:hideMark/>
          </w:tcPr>
          <w:p w:rsidR="006755F8" w:rsidRPr="0050231C" w:rsidRDefault="006755F8" w:rsidP="005F0DF0">
            <w:pPr>
              <w:spacing w:after="0" w:line="240" w:lineRule="auto"/>
              <w:rPr>
                <w:rFonts w:ascii="Times New Roman" w:eastAsia="Times New Roman" w:hAnsi="Times New Roman" w:cs="Times New Roman"/>
                <w:color w:val="000000" w:themeColor="text1"/>
                <w:sz w:val="20"/>
                <w:szCs w:val="20"/>
                <w:lang w:val="en-US"/>
              </w:rPr>
            </w:pPr>
            <w:r w:rsidRPr="0050231C">
              <w:rPr>
                <w:rFonts w:ascii="Times New Roman" w:eastAsia="Times New Roman" w:hAnsi="Times New Roman" w:cs="Times New Roman"/>
                <w:color w:val="000000" w:themeColor="text1"/>
                <w:sz w:val="20"/>
                <w:szCs w:val="20"/>
                <w:lang w:val="en-US"/>
              </w:rPr>
              <w:t xml:space="preserve">Philosophical Fit – </w:t>
            </w:r>
            <w:r w:rsidRPr="0050231C">
              <w:rPr>
                <w:rFonts w:ascii="Times New Roman" w:eastAsia="Times New Roman" w:hAnsi="Times New Roman" w:cs="Times New Roman"/>
                <w:i/>
                <w:iCs/>
                <w:color w:val="000000" w:themeColor="text1"/>
                <w:sz w:val="20"/>
                <w:szCs w:val="20"/>
                <w:lang w:val="en-US"/>
              </w:rPr>
              <w:t>the extent to which your beliefs about teaching match those of the school</w:t>
            </w:r>
          </w:p>
        </w:tc>
        <w:tc>
          <w:tcPr>
            <w:tcW w:w="641" w:type="pct"/>
            <w:tcBorders>
              <w:top w:val="nil"/>
              <w:left w:val="nil"/>
              <w:bottom w:val="nil"/>
              <w:right w:val="nil"/>
            </w:tcBorders>
            <w:shd w:val="clear" w:color="000000" w:fill="C8E3FF"/>
            <w:vAlign w:val="center"/>
            <w:hideMark/>
          </w:tcPr>
          <w:p w:rsidR="006755F8" w:rsidRPr="0050231C" w:rsidRDefault="006755F8" w:rsidP="005F0DF0">
            <w:pPr>
              <w:spacing w:after="0" w:line="240" w:lineRule="auto"/>
              <w:jc w:val="center"/>
              <w:rPr>
                <w:rFonts w:ascii="Times New Roman" w:eastAsia="Times New Roman" w:hAnsi="Times New Roman" w:cs="Times New Roman"/>
                <w:color w:val="000000" w:themeColor="text1"/>
                <w:sz w:val="20"/>
                <w:szCs w:val="20"/>
                <w:lang w:val="en-US"/>
              </w:rPr>
            </w:pPr>
            <w:r w:rsidRPr="0050231C">
              <w:rPr>
                <w:rFonts w:ascii="Times New Roman" w:eastAsia="Times New Roman" w:hAnsi="Times New Roman" w:cs="Times New Roman"/>
                <w:color w:val="000000" w:themeColor="text1"/>
                <w:sz w:val="20"/>
                <w:szCs w:val="20"/>
                <w:lang w:val="en-US"/>
              </w:rPr>
              <w:t>3.30</w:t>
            </w:r>
          </w:p>
        </w:tc>
      </w:tr>
      <w:tr w:rsidR="006755F8" w:rsidRPr="00097A76" w:rsidTr="005F0DF0">
        <w:trPr>
          <w:trHeight w:val="300"/>
        </w:trPr>
        <w:tc>
          <w:tcPr>
            <w:tcW w:w="501" w:type="pct"/>
            <w:tcBorders>
              <w:top w:val="nil"/>
              <w:left w:val="nil"/>
              <w:bottom w:val="nil"/>
              <w:right w:val="nil"/>
            </w:tcBorders>
            <w:shd w:val="clear" w:color="auto" w:fill="auto"/>
            <w:vAlign w:val="center"/>
            <w:hideMark/>
          </w:tcPr>
          <w:p w:rsidR="006755F8" w:rsidRPr="0050231C" w:rsidRDefault="006755F8" w:rsidP="005F0DF0">
            <w:pPr>
              <w:spacing w:after="0" w:line="240" w:lineRule="auto"/>
              <w:jc w:val="center"/>
              <w:rPr>
                <w:rFonts w:ascii="Times New Roman" w:eastAsia="Times New Roman" w:hAnsi="Times New Roman" w:cs="Times New Roman"/>
                <w:color w:val="000000" w:themeColor="text1"/>
                <w:sz w:val="20"/>
                <w:szCs w:val="20"/>
                <w:lang w:val="en-US"/>
              </w:rPr>
            </w:pPr>
            <w:r w:rsidRPr="0050231C">
              <w:rPr>
                <w:rFonts w:ascii="Times New Roman" w:eastAsia="Times New Roman" w:hAnsi="Times New Roman" w:cs="Times New Roman"/>
                <w:color w:val="000000" w:themeColor="text1"/>
                <w:sz w:val="20"/>
                <w:szCs w:val="20"/>
                <w:lang w:val="en-US"/>
              </w:rPr>
              <w:t>15</w:t>
            </w:r>
          </w:p>
        </w:tc>
        <w:tc>
          <w:tcPr>
            <w:tcW w:w="3857" w:type="pct"/>
            <w:tcBorders>
              <w:top w:val="nil"/>
              <w:left w:val="nil"/>
              <w:bottom w:val="nil"/>
              <w:right w:val="nil"/>
            </w:tcBorders>
            <w:shd w:val="clear" w:color="auto" w:fill="auto"/>
            <w:vAlign w:val="center"/>
            <w:hideMark/>
          </w:tcPr>
          <w:p w:rsidR="006755F8" w:rsidRPr="0050231C" w:rsidRDefault="006755F8" w:rsidP="005F0DF0">
            <w:pPr>
              <w:spacing w:after="0" w:line="240" w:lineRule="auto"/>
              <w:rPr>
                <w:rFonts w:ascii="Times New Roman" w:eastAsia="Times New Roman" w:hAnsi="Times New Roman" w:cs="Times New Roman"/>
                <w:color w:val="000000" w:themeColor="text1"/>
                <w:sz w:val="20"/>
                <w:szCs w:val="20"/>
                <w:lang w:val="en-US"/>
              </w:rPr>
            </w:pPr>
            <w:r w:rsidRPr="0050231C">
              <w:rPr>
                <w:rFonts w:ascii="Times New Roman" w:eastAsia="Times New Roman" w:hAnsi="Times New Roman" w:cs="Times New Roman"/>
                <w:color w:val="000000" w:themeColor="text1"/>
                <w:sz w:val="20"/>
                <w:szCs w:val="20"/>
                <w:lang w:val="en-US"/>
              </w:rPr>
              <w:t xml:space="preserve">School Culture – </w:t>
            </w:r>
            <w:r w:rsidRPr="0050231C">
              <w:rPr>
                <w:rFonts w:ascii="Times New Roman" w:eastAsia="Times New Roman" w:hAnsi="Times New Roman" w:cs="Times New Roman"/>
                <w:i/>
                <w:iCs/>
                <w:color w:val="000000" w:themeColor="text1"/>
                <w:sz w:val="20"/>
                <w:szCs w:val="20"/>
                <w:lang w:val="en-US"/>
              </w:rPr>
              <w:t>the way your school does things, whether explicit or unspoken</w:t>
            </w:r>
          </w:p>
        </w:tc>
        <w:tc>
          <w:tcPr>
            <w:tcW w:w="641" w:type="pct"/>
            <w:tcBorders>
              <w:top w:val="nil"/>
              <w:left w:val="nil"/>
              <w:bottom w:val="nil"/>
              <w:right w:val="nil"/>
            </w:tcBorders>
            <w:shd w:val="clear" w:color="auto" w:fill="auto"/>
            <w:vAlign w:val="center"/>
            <w:hideMark/>
          </w:tcPr>
          <w:p w:rsidR="006755F8" w:rsidRPr="0050231C" w:rsidRDefault="006755F8" w:rsidP="005F0DF0">
            <w:pPr>
              <w:spacing w:after="0" w:line="240" w:lineRule="auto"/>
              <w:jc w:val="center"/>
              <w:rPr>
                <w:rFonts w:ascii="Times New Roman" w:eastAsia="Times New Roman" w:hAnsi="Times New Roman" w:cs="Times New Roman"/>
                <w:color w:val="000000" w:themeColor="text1"/>
                <w:sz w:val="20"/>
                <w:szCs w:val="20"/>
                <w:lang w:val="en-US"/>
              </w:rPr>
            </w:pPr>
            <w:r w:rsidRPr="0050231C">
              <w:rPr>
                <w:rFonts w:ascii="Times New Roman" w:eastAsia="Times New Roman" w:hAnsi="Times New Roman" w:cs="Times New Roman"/>
                <w:color w:val="000000" w:themeColor="text1"/>
                <w:sz w:val="20"/>
                <w:szCs w:val="20"/>
                <w:lang w:val="en-US"/>
              </w:rPr>
              <w:t>3.03</w:t>
            </w:r>
          </w:p>
        </w:tc>
      </w:tr>
      <w:tr w:rsidR="006755F8" w:rsidRPr="00097A76" w:rsidTr="005F0DF0">
        <w:trPr>
          <w:trHeight w:val="300"/>
        </w:trPr>
        <w:tc>
          <w:tcPr>
            <w:tcW w:w="501" w:type="pct"/>
            <w:tcBorders>
              <w:top w:val="nil"/>
              <w:left w:val="nil"/>
              <w:bottom w:val="nil"/>
              <w:right w:val="nil"/>
            </w:tcBorders>
            <w:shd w:val="clear" w:color="000000" w:fill="C8E3FF"/>
            <w:vAlign w:val="center"/>
            <w:hideMark/>
          </w:tcPr>
          <w:p w:rsidR="006755F8" w:rsidRPr="0050231C" w:rsidRDefault="006755F8" w:rsidP="005F0DF0">
            <w:pPr>
              <w:spacing w:after="0" w:line="240" w:lineRule="auto"/>
              <w:jc w:val="center"/>
              <w:rPr>
                <w:rFonts w:ascii="Times New Roman" w:eastAsia="Times New Roman" w:hAnsi="Times New Roman" w:cs="Times New Roman"/>
                <w:color w:val="000000" w:themeColor="text1"/>
                <w:sz w:val="20"/>
                <w:szCs w:val="20"/>
                <w:lang w:val="en-US"/>
              </w:rPr>
            </w:pPr>
            <w:r w:rsidRPr="0050231C">
              <w:rPr>
                <w:rFonts w:ascii="Times New Roman" w:eastAsia="Times New Roman" w:hAnsi="Times New Roman" w:cs="Times New Roman"/>
                <w:color w:val="000000" w:themeColor="text1"/>
                <w:sz w:val="20"/>
                <w:szCs w:val="20"/>
                <w:lang w:val="en-US"/>
              </w:rPr>
              <w:t>16</w:t>
            </w:r>
          </w:p>
        </w:tc>
        <w:tc>
          <w:tcPr>
            <w:tcW w:w="3857" w:type="pct"/>
            <w:tcBorders>
              <w:top w:val="nil"/>
              <w:left w:val="nil"/>
              <w:bottom w:val="nil"/>
              <w:right w:val="nil"/>
            </w:tcBorders>
            <w:shd w:val="clear" w:color="000000" w:fill="C8E3FF"/>
            <w:vAlign w:val="center"/>
            <w:hideMark/>
          </w:tcPr>
          <w:p w:rsidR="006755F8" w:rsidRPr="0050231C" w:rsidRDefault="006755F8" w:rsidP="005F0DF0">
            <w:pPr>
              <w:spacing w:after="0" w:line="240" w:lineRule="auto"/>
              <w:rPr>
                <w:rFonts w:ascii="Times New Roman" w:eastAsia="Times New Roman" w:hAnsi="Times New Roman" w:cs="Times New Roman"/>
                <w:color w:val="000000" w:themeColor="text1"/>
                <w:sz w:val="20"/>
                <w:szCs w:val="20"/>
                <w:lang w:val="en-US"/>
              </w:rPr>
            </w:pPr>
            <w:r w:rsidRPr="0050231C">
              <w:rPr>
                <w:rFonts w:ascii="Times New Roman" w:eastAsia="Times New Roman" w:hAnsi="Times New Roman" w:cs="Times New Roman"/>
                <w:color w:val="000000" w:themeColor="text1"/>
                <w:sz w:val="20"/>
                <w:szCs w:val="20"/>
                <w:lang w:val="en-US"/>
              </w:rPr>
              <w:t xml:space="preserve">Future Career Opportunities </w:t>
            </w:r>
            <w:r w:rsidRPr="0050231C">
              <w:rPr>
                <w:rFonts w:ascii="Times New Roman" w:eastAsia="Times New Roman" w:hAnsi="Times New Roman" w:cs="Times New Roman"/>
                <w:i/>
                <w:iCs/>
                <w:color w:val="000000" w:themeColor="text1"/>
                <w:sz w:val="20"/>
                <w:szCs w:val="20"/>
                <w:lang w:val="en-US"/>
              </w:rPr>
              <w:t>– options available for future promotion and/or transfer</w:t>
            </w:r>
          </w:p>
        </w:tc>
        <w:tc>
          <w:tcPr>
            <w:tcW w:w="641" w:type="pct"/>
            <w:tcBorders>
              <w:top w:val="nil"/>
              <w:left w:val="nil"/>
              <w:bottom w:val="nil"/>
              <w:right w:val="nil"/>
            </w:tcBorders>
            <w:shd w:val="clear" w:color="000000" w:fill="C8E3FF"/>
            <w:vAlign w:val="center"/>
            <w:hideMark/>
          </w:tcPr>
          <w:p w:rsidR="006755F8" w:rsidRPr="0050231C" w:rsidRDefault="006755F8" w:rsidP="005F0DF0">
            <w:pPr>
              <w:spacing w:after="0" w:line="240" w:lineRule="auto"/>
              <w:jc w:val="center"/>
              <w:rPr>
                <w:rFonts w:ascii="Times New Roman" w:eastAsia="Times New Roman" w:hAnsi="Times New Roman" w:cs="Times New Roman"/>
                <w:color w:val="000000" w:themeColor="text1"/>
                <w:sz w:val="20"/>
                <w:szCs w:val="20"/>
                <w:lang w:val="en-US"/>
              </w:rPr>
            </w:pPr>
            <w:r w:rsidRPr="0050231C">
              <w:rPr>
                <w:rFonts w:ascii="Times New Roman" w:eastAsia="Times New Roman" w:hAnsi="Times New Roman" w:cs="Times New Roman"/>
                <w:color w:val="000000" w:themeColor="text1"/>
                <w:sz w:val="20"/>
                <w:szCs w:val="20"/>
                <w:lang w:val="en-US"/>
              </w:rPr>
              <w:t>3.00</w:t>
            </w:r>
          </w:p>
        </w:tc>
      </w:tr>
      <w:tr w:rsidR="006755F8" w:rsidRPr="00097A76" w:rsidTr="005F0DF0">
        <w:trPr>
          <w:trHeight w:val="300"/>
        </w:trPr>
        <w:tc>
          <w:tcPr>
            <w:tcW w:w="501" w:type="pct"/>
            <w:tcBorders>
              <w:top w:val="nil"/>
              <w:left w:val="nil"/>
              <w:bottom w:val="nil"/>
              <w:right w:val="nil"/>
            </w:tcBorders>
            <w:shd w:val="clear" w:color="auto" w:fill="auto"/>
            <w:vAlign w:val="center"/>
            <w:hideMark/>
          </w:tcPr>
          <w:p w:rsidR="006755F8" w:rsidRPr="0050231C" w:rsidRDefault="006755F8" w:rsidP="005F0DF0">
            <w:pPr>
              <w:spacing w:after="0" w:line="240" w:lineRule="auto"/>
              <w:jc w:val="center"/>
              <w:rPr>
                <w:rFonts w:ascii="Times New Roman" w:eastAsia="Times New Roman" w:hAnsi="Times New Roman" w:cs="Times New Roman"/>
                <w:color w:val="000000" w:themeColor="text1"/>
                <w:sz w:val="20"/>
                <w:szCs w:val="20"/>
                <w:lang w:val="en-US"/>
              </w:rPr>
            </w:pPr>
            <w:r w:rsidRPr="0050231C">
              <w:rPr>
                <w:rFonts w:ascii="Times New Roman" w:eastAsia="Times New Roman" w:hAnsi="Times New Roman" w:cs="Times New Roman"/>
                <w:color w:val="000000" w:themeColor="text1"/>
                <w:sz w:val="20"/>
                <w:szCs w:val="20"/>
                <w:lang w:val="en-US"/>
              </w:rPr>
              <w:t>17</w:t>
            </w:r>
          </w:p>
        </w:tc>
        <w:tc>
          <w:tcPr>
            <w:tcW w:w="3857" w:type="pct"/>
            <w:tcBorders>
              <w:top w:val="nil"/>
              <w:left w:val="nil"/>
              <w:bottom w:val="nil"/>
              <w:right w:val="nil"/>
            </w:tcBorders>
            <w:shd w:val="clear" w:color="auto" w:fill="auto"/>
            <w:vAlign w:val="center"/>
            <w:hideMark/>
          </w:tcPr>
          <w:p w:rsidR="006755F8" w:rsidRPr="0050231C" w:rsidRDefault="006755F8" w:rsidP="005F0DF0">
            <w:pPr>
              <w:spacing w:after="0" w:line="240" w:lineRule="auto"/>
              <w:rPr>
                <w:rFonts w:ascii="Times New Roman" w:eastAsia="Times New Roman" w:hAnsi="Times New Roman" w:cs="Times New Roman"/>
                <w:color w:val="000000" w:themeColor="text1"/>
                <w:sz w:val="20"/>
                <w:szCs w:val="20"/>
                <w:lang w:val="en-US"/>
              </w:rPr>
            </w:pPr>
            <w:r w:rsidRPr="0050231C">
              <w:rPr>
                <w:rFonts w:ascii="Times New Roman" w:eastAsia="Times New Roman" w:hAnsi="Times New Roman" w:cs="Times New Roman"/>
                <w:color w:val="000000" w:themeColor="text1"/>
                <w:sz w:val="20"/>
                <w:szCs w:val="20"/>
                <w:lang w:val="en-US"/>
              </w:rPr>
              <w:t xml:space="preserve">Professional Respect </w:t>
            </w:r>
            <w:r w:rsidRPr="0050231C">
              <w:rPr>
                <w:rFonts w:ascii="Times New Roman" w:eastAsia="Times New Roman" w:hAnsi="Times New Roman" w:cs="Times New Roman"/>
                <w:i/>
                <w:iCs/>
                <w:color w:val="000000" w:themeColor="text1"/>
                <w:sz w:val="20"/>
                <w:szCs w:val="20"/>
                <w:lang w:val="en-US"/>
              </w:rPr>
              <w:t>– opportunities to participate in school decision making</w:t>
            </w:r>
          </w:p>
        </w:tc>
        <w:tc>
          <w:tcPr>
            <w:tcW w:w="641" w:type="pct"/>
            <w:tcBorders>
              <w:top w:val="nil"/>
              <w:left w:val="nil"/>
              <w:bottom w:val="nil"/>
              <w:right w:val="nil"/>
            </w:tcBorders>
            <w:shd w:val="clear" w:color="auto" w:fill="auto"/>
            <w:vAlign w:val="center"/>
            <w:hideMark/>
          </w:tcPr>
          <w:p w:rsidR="006755F8" w:rsidRPr="0050231C" w:rsidRDefault="006755F8" w:rsidP="005F0DF0">
            <w:pPr>
              <w:spacing w:after="0" w:line="240" w:lineRule="auto"/>
              <w:jc w:val="center"/>
              <w:rPr>
                <w:rFonts w:ascii="Times New Roman" w:eastAsia="Times New Roman" w:hAnsi="Times New Roman" w:cs="Times New Roman"/>
                <w:color w:val="000000" w:themeColor="text1"/>
                <w:sz w:val="20"/>
                <w:szCs w:val="20"/>
                <w:lang w:val="en-US"/>
              </w:rPr>
            </w:pPr>
            <w:r w:rsidRPr="0050231C">
              <w:rPr>
                <w:rFonts w:ascii="Times New Roman" w:eastAsia="Times New Roman" w:hAnsi="Times New Roman" w:cs="Times New Roman"/>
                <w:color w:val="000000" w:themeColor="text1"/>
                <w:sz w:val="20"/>
                <w:szCs w:val="20"/>
                <w:lang w:val="en-US"/>
              </w:rPr>
              <w:t>2.91</w:t>
            </w:r>
          </w:p>
        </w:tc>
      </w:tr>
      <w:tr w:rsidR="006755F8" w:rsidRPr="00097A76" w:rsidTr="005F0DF0">
        <w:trPr>
          <w:trHeight w:val="300"/>
        </w:trPr>
        <w:tc>
          <w:tcPr>
            <w:tcW w:w="501" w:type="pct"/>
            <w:tcBorders>
              <w:top w:val="nil"/>
              <w:left w:val="nil"/>
              <w:bottom w:val="nil"/>
              <w:right w:val="nil"/>
            </w:tcBorders>
            <w:shd w:val="clear" w:color="000000" w:fill="C8E3FF"/>
            <w:vAlign w:val="center"/>
            <w:hideMark/>
          </w:tcPr>
          <w:p w:rsidR="006755F8" w:rsidRPr="0050231C" w:rsidRDefault="006755F8" w:rsidP="005F0DF0">
            <w:pPr>
              <w:spacing w:after="0" w:line="240" w:lineRule="auto"/>
              <w:jc w:val="center"/>
              <w:rPr>
                <w:rFonts w:ascii="Times New Roman" w:eastAsia="Times New Roman" w:hAnsi="Times New Roman" w:cs="Times New Roman"/>
                <w:color w:val="000000" w:themeColor="text1"/>
                <w:sz w:val="20"/>
                <w:szCs w:val="20"/>
                <w:lang w:val="en-US"/>
              </w:rPr>
            </w:pPr>
            <w:r w:rsidRPr="0050231C">
              <w:rPr>
                <w:rFonts w:ascii="Times New Roman" w:eastAsia="Times New Roman" w:hAnsi="Times New Roman" w:cs="Times New Roman"/>
                <w:color w:val="000000" w:themeColor="text1"/>
                <w:sz w:val="20"/>
                <w:szCs w:val="20"/>
                <w:lang w:val="en-US"/>
              </w:rPr>
              <w:t>18</w:t>
            </w:r>
          </w:p>
        </w:tc>
        <w:tc>
          <w:tcPr>
            <w:tcW w:w="3857" w:type="pct"/>
            <w:tcBorders>
              <w:top w:val="nil"/>
              <w:left w:val="nil"/>
              <w:bottom w:val="nil"/>
              <w:right w:val="nil"/>
            </w:tcBorders>
            <w:shd w:val="clear" w:color="000000" w:fill="C8E3FF"/>
            <w:vAlign w:val="center"/>
            <w:hideMark/>
          </w:tcPr>
          <w:p w:rsidR="006755F8" w:rsidRPr="0050231C" w:rsidRDefault="006755F8" w:rsidP="005F0DF0">
            <w:pPr>
              <w:spacing w:after="0" w:line="240" w:lineRule="auto"/>
              <w:rPr>
                <w:rFonts w:ascii="Times New Roman" w:eastAsia="Times New Roman" w:hAnsi="Times New Roman" w:cs="Times New Roman"/>
                <w:color w:val="000000" w:themeColor="text1"/>
                <w:sz w:val="20"/>
                <w:szCs w:val="20"/>
                <w:lang w:val="en-US"/>
              </w:rPr>
            </w:pPr>
            <w:r w:rsidRPr="0050231C">
              <w:rPr>
                <w:rFonts w:ascii="Times New Roman" w:eastAsia="Times New Roman" w:hAnsi="Times New Roman" w:cs="Times New Roman"/>
                <w:color w:val="000000" w:themeColor="text1"/>
                <w:sz w:val="20"/>
                <w:szCs w:val="20"/>
                <w:lang w:val="en-US"/>
              </w:rPr>
              <w:t xml:space="preserve">Scope of Role </w:t>
            </w:r>
            <w:r w:rsidRPr="0050231C">
              <w:rPr>
                <w:rFonts w:ascii="Times New Roman" w:eastAsia="Times New Roman" w:hAnsi="Times New Roman" w:cs="Times New Roman"/>
                <w:i/>
                <w:iCs/>
                <w:color w:val="000000" w:themeColor="text1"/>
                <w:sz w:val="20"/>
                <w:szCs w:val="20"/>
                <w:lang w:val="en-US"/>
              </w:rPr>
              <w:t>– the variety of tasks you have to perform</w:t>
            </w:r>
          </w:p>
        </w:tc>
        <w:tc>
          <w:tcPr>
            <w:tcW w:w="641" w:type="pct"/>
            <w:tcBorders>
              <w:top w:val="nil"/>
              <w:left w:val="nil"/>
              <w:bottom w:val="nil"/>
              <w:right w:val="nil"/>
            </w:tcBorders>
            <w:shd w:val="clear" w:color="000000" w:fill="C8E3FF"/>
            <w:vAlign w:val="center"/>
            <w:hideMark/>
          </w:tcPr>
          <w:p w:rsidR="006755F8" w:rsidRPr="0050231C" w:rsidRDefault="006755F8" w:rsidP="005F0DF0">
            <w:pPr>
              <w:spacing w:after="0" w:line="240" w:lineRule="auto"/>
              <w:jc w:val="center"/>
              <w:rPr>
                <w:rFonts w:ascii="Times New Roman" w:eastAsia="Times New Roman" w:hAnsi="Times New Roman" w:cs="Times New Roman"/>
                <w:color w:val="000000" w:themeColor="text1"/>
                <w:sz w:val="20"/>
                <w:szCs w:val="20"/>
                <w:lang w:val="en-US"/>
              </w:rPr>
            </w:pPr>
            <w:r w:rsidRPr="0050231C">
              <w:rPr>
                <w:rFonts w:ascii="Times New Roman" w:eastAsia="Times New Roman" w:hAnsi="Times New Roman" w:cs="Times New Roman"/>
                <w:color w:val="000000" w:themeColor="text1"/>
                <w:sz w:val="20"/>
                <w:szCs w:val="20"/>
                <w:lang w:val="en-US"/>
              </w:rPr>
              <w:t>2.52</w:t>
            </w:r>
          </w:p>
        </w:tc>
      </w:tr>
      <w:tr w:rsidR="006755F8" w:rsidRPr="00097A76" w:rsidTr="005F0DF0">
        <w:trPr>
          <w:trHeight w:val="300"/>
        </w:trPr>
        <w:tc>
          <w:tcPr>
            <w:tcW w:w="501" w:type="pct"/>
            <w:tcBorders>
              <w:top w:val="nil"/>
              <w:left w:val="nil"/>
              <w:bottom w:val="nil"/>
              <w:right w:val="nil"/>
            </w:tcBorders>
            <w:shd w:val="clear" w:color="auto" w:fill="auto"/>
            <w:vAlign w:val="center"/>
            <w:hideMark/>
          </w:tcPr>
          <w:p w:rsidR="006755F8" w:rsidRPr="0050231C" w:rsidRDefault="006755F8" w:rsidP="005F0DF0">
            <w:pPr>
              <w:spacing w:after="0" w:line="240" w:lineRule="auto"/>
              <w:jc w:val="center"/>
              <w:rPr>
                <w:rFonts w:ascii="Times New Roman" w:eastAsia="Times New Roman" w:hAnsi="Times New Roman" w:cs="Times New Roman"/>
                <w:color w:val="000000" w:themeColor="text1"/>
                <w:sz w:val="20"/>
                <w:szCs w:val="20"/>
                <w:lang w:val="en-US"/>
              </w:rPr>
            </w:pPr>
            <w:r w:rsidRPr="0050231C">
              <w:rPr>
                <w:rFonts w:ascii="Times New Roman" w:eastAsia="Times New Roman" w:hAnsi="Times New Roman" w:cs="Times New Roman"/>
                <w:color w:val="000000" w:themeColor="text1"/>
                <w:sz w:val="20"/>
                <w:szCs w:val="20"/>
                <w:lang w:val="en-US"/>
              </w:rPr>
              <w:t>19</w:t>
            </w:r>
          </w:p>
        </w:tc>
        <w:tc>
          <w:tcPr>
            <w:tcW w:w="3857" w:type="pct"/>
            <w:tcBorders>
              <w:top w:val="nil"/>
              <w:left w:val="nil"/>
              <w:bottom w:val="nil"/>
              <w:right w:val="nil"/>
            </w:tcBorders>
            <w:shd w:val="clear" w:color="auto" w:fill="auto"/>
            <w:vAlign w:val="center"/>
            <w:hideMark/>
          </w:tcPr>
          <w:p w:rsidR="006755F8" w:rsidRPr="0050231C" w:rsidRDefault="006755F8" w:rsidP="005F0DF0">
            <w:pPr>
              <w:spacing w:after="0" w:line="240" w:lineRule="auto"/>
              <w:rPr>
                <w:rFonts w:ascii="Times New Roman" w:eastAsia="Times New Roman" w:hAnsi="Times New Roman" w:cs="Times New Roman"/>
                <w:color w:val="000000" w:themeColor="text1"/>
                <w:sz w:val="20"/>
                <w:szCs w:val="20"/>
                <w:lang w:val="en-US"/>
              </w:rPr>
            </w:pPr>
            <w:r w:rsidRPr="0050231C">
              <w:rPr>
                <w:rFonts w:ascii="Times New Roman" w:eastAsia="Times New Roman" w:hAnsi="Times New Roman" w:cs="Times New Roman"/>
                <w:color w:val="000000" w:themeColor="text1"/>
                <w:sz w:val="20"/>
                <w:szCs w:val="20"/>
                <w:lang w:val="en-US"/>
              </w:rPr>
              <w:t xml:space="preserve">Salaries </w:t>
            </w:r>
            <w:r w:rsidRPr="0050231C">
              <w:rPr>
                <w:rFonts w:ascii="Times New Roman" w:eastAsia="Times New Roman" w:hAnsi="Times New Roman" w:cs="Times New Roman"/>
                <w:i/>
                <w:iCs/>
                <w:color w:val="000000" w:themeColor="text1"/>
                <w:sz w:val="20"/>
                <w:szCs w:val="20"/>
                <w:lang w:val="en-US"/>
              </w:rPr>
              <w:t>– the amount of money you get paid</w:t>
            </w:r>
          </w:p>
        </w:tc>
        <w:tc>
          <w:tcPr>
            <w:tcW w:w="641" w:type="pct"/>
            <w:tcBorders>
              <w:top w:val="nil"/>
              <w:left w:val="nil"/>
              <w:bottom w:val="nil"/>
              <w:right w:val="nil"/>
            </w:tcBorders>
            <w:shd w:val="clear" w:color="auto" w:fill="auto"/>
            <w:vAlign w:val="center"/>
            <w:hideMark/>
          </w:tcPr>
          <w:p w:rsidR="006755F8" w:rsidRPr="0050231C" w:rsidRDefault="006755F8" w:rsidP="005F0DF0">
            <w:pPr>
              <w:spacing w:after="0" w:line="240" w:lineRule="auto"/>
              <w:jc w:val="center"/>
              <w:rPr>
                <w:rFonts w:ascii="Times New Roman" w:eastAsia="Times New Roman" w:hAnsi="Times New Roman" w:cs="Times New Roman"/>
                <w:color w:val="000000" w:themeColor="text1"/>
                <w:sz w:val="20"/>
                <w:szCs w:val="20"/>
                <w:lang w:val="en-US"/>
              </w:rPr>
            </w:pPr>
            <w:r w:rsidRPr="0050231C">
              <w:rPr>
                <w:rFonts w:ascii="Times New Roman" w:eastAsia="Times New Roman" w:hAnsi="Times New Roman" w:cs="Times New Roman"/>
                <w:color w:val="000000" w:themeColor="text1"/>
                <w:sz w:val="20"/>
                <w:szCs w:val="20"/>
                <w:lang w:val="en-US"/>
              </w:rPr>
              <w:t>2.52</w:t>
            </w:r>
          </w:p>
        </w:tc>
      </w:tr>
      <w:tr w:rsidR="006755F8" w:rsidRPr="00097A76" w:rsidTr="005F0DF0">
        <w:trPr>
          <w:trHeight w:val="540"/>
        </w:trPr>
        <w:tc>
          <w:tcPr>
            <w:tcW w:w="501" w:type="pct"/>
            <w:tcBorders>
              <w:top w:val="nil"/>
              <w:left w:val="nil"/>
              <w:bottom w:val="nil"/>
              <w:right w:val="nil"/>
            </w:tcBorders>
            <w:shd w:val="clear" w:color="000000" w:fill="C8E3FF"/>
            <w:vAlign w:val="center"/>
            <w:hideMark/>
          </w:tcPr>
          <w:p w:rsidR="006755F8" w:rsidRPr="0050231C" w:rsidRDefault="006755F8" w:rsidP="005F0DF0">
            <w:pPr>
              <w:spacing w:after="0" w:line="240" w:lineRule="auto"/>
              <w:jc w:val="center"/>
              <w:rPr>
                <w:rFonts w:ascii="Times New Roman" w:eastAsia="Times New Roman" w:hAnsi="Times New Roman" w:cs="Times New Roman"/>
                <w:color w:val="000000" w:themeColor="text1"/>
                <w:sz w:val="20"/>
                <w:szCs w:val="20"/>
                <w:lang w:val="en-US"/>
              </w:rPr>
            </w:pPr>
            <w:r w:rsidRPr="0050231C">
              <w:rPr>
                <w:rFonts w:ascii="Times New Roman" w:eastAsia="Times New Roman" w:hAnsi="Times New Roman" w:cs="Times New Roman"/>
                <w:color w:val="000000" w:themeColor="text1"/>
                <w:sz w:val="20"/>
                <w:szCs w:val="20"/>
                <w:lang w:val="en-US"/>
              </w:rPr>
              <w:t>20</w:t>
            </w:r>
          </w:p>
        </w:tc>
        <w:tc>
          <w:tcPr>
            <w:tcW w:w="3857" w:type="pct"/>
            <w:tcBorders>
              <w:top w:val="nil"/>
              <w:left w:val="nil"/>
              <w:bottom w:val="nil"/>
              <w:right w:val="nil"/>
            </w:tcBorders>
            <w:shd w:val="clear" w:color="000000" w:fill="C8E3FF"/>
            <w:vAlign w:val="center"/>
            <w:hideMark/>
          </w:tcPr>
          <w:p w:rsidR="006755F8" w:rsidRPr="0050231C" w:rsidRDefault="006755F8" w:rsidP="005F0DF0">
            <w:pPr>
              <w:spacing w:after="0" w:line="240" w:lineRule="auto"/>
              <w:rPr>
                <w:rFonts w:ascii="Times New Roman" w:eastAsia="Times New Roman" w:hAnsi="Times New Roman" w:cs="Times New Roman"/>
                <w:color w:val="000000" w:themeColor="text1"/>
                <w:sz w:val="20"/>
                <w:szCs w:val="20"/>
                <w:lang w:val="en-US"/>
              </w:rPr>
            </w:pPr>
            <w:r w:rsidRPr="0050231C">
              <w:rPr>
                <w:rFonts w:ascii="Times New Roman" w:eastAsia="Times New Roman" w:hAnsi="Times New Roman" w:cs="Times New Roman"/>
                <w:color w:val="000000" w:themeColor="text1"/>
                <w:sz w:val="20"/>
                <w:szCs w:val="20"/>
                <w:lang w:val="en-US"/>
              </w:rPr>
              <w:t xml:space="preserve">Local Conditions </w:t>
            </w:r>
            <w:r w:rsidRPr="0050231C">
              <w:rPr>
                <w:rFonts w:ascii="Times New Roman" w:eastAsia="Times New Roman" w:hAnsi="Times New Roman" w:cs="Times New Roman"/>
                <w:i/>
                <w:iCs/>
                <w:color w:val="000000" w:themeColor="text1"/>
                <w:sz w:val="20"/>
                <w:szCs w:val="20"/>
                <w:lang w:val="en-US"/>
              </w:rPr>
              <w:t>– environmental factors that affect your daily life as a teacher (e.g. geographic, housing, classroom, web access, isolation)</w:t>
            </w:r>
          </w:p>
        </w:tc>
        <w:tc>
          <w:tcPr>
            <w:tcW w:w="641" w:type="pct"/>
            <w:tcBorders>
              <w:top w:val="nil"/>
              <w:left w:val="nil"/>
              <w:bottom w:val="nil"/>
              <w:right w:val="nil"/>
            </w:tcBorders>
            <w:shd w:val="clear" w:color="000000" w:fill="C8E3FF"/>
            <w:vAlign w:val="center"/>
            <w:hideMark/>
          </w:tcPr>
          <w:p w:rsidR="006755F8" w:rsidRPr="0050231C" w:rsidRDefault="006755F8" w:rsidP="005F0DF0">
            <w:pPr>
              <w:spacing w:after="0" w:line="240" w:lineRule="auto"/>
              <w:jc w:val="center"/>
              <w:rPr>
                <w:rFonts w:ascii="Times New Roman" w:eastAsia="Times New Roman" w:hAnsi="Times New Roman" w:cs="Times New Roman"/>
                <w:color w:val="000000" w:themeColor="text1"/>
                <w:sz w:val="20"/>
                <w:szCs w:val="20"/>
                <w:lang w:val="en-US"/>
              </w:rPr>
            </w:pPr>
            <w:r w:rsidRPr="0050231C">
              <w:rPr>
                <w:rFonts w:ascii="Times New Roman" w:eastAsia="Times New Roman" w:hAnsi="Times New Roman" w:cs="Times New Roman"/>
                <w:color w:val="000000" w:themeColor="text1"/>
                <w:sz w:val="20"/>
                <w:szCs w:val="20"/>
                <w:lang w:val="en-US"/>
              </w:rPr>
              <w:t>2.42</w:t>
            </w:r>
          </w:p>
        </w:tc>
      </w:tr>
      <w:tr w:rsidR="006755F8" w:rsidRPr="00097A76" w:rsidTr="005F0DF0">
        <w:trPr>
          <w:trHeight w:val="315"/>
        </w:trPr>
        <w:tc>
          <w:tcPr>
            <w:tcW w:w="501" w:type="pct"/>
            <w:tcBorders>
              <w:top w:val="single" w:sz="12" w:space="0" w:color="BBE0E3"/>
              <w:left w:val="nil"/>
              <w:bottom w:val="nil"/>
              <w:right w:val="nil"/>
            </w:tcBorders>
            <w:shd w:val="clear" w:color="auto" w:fill="auto"/>
            <w:vAlign w:val="center"/>
            <w:hideMark/>
          </w:tcPr>
          <w:p w:rsidR="006755F8" w:rsidRPr="0050231C" w:rsidRDefault="006755F8" w:rsidP="005F0DF0">
            <w:pPr>
              <w:spacing w:after="0" w:line="240" w:lineRule="auto"/>
              <w:jc w:val="center"/>
              <w:rPr>
                <w:rFonts w:ascii="Times New Roman" w:eastAsia="Times New Roman" w:hAnsi="Times New Roman" w:cs="Times New Roman"/>
                <w:color w:val="000000" w:themeColor="text1"/>
                <w:sz w:val="20"/>
                <w:szCs w:val="20"/>
                <w:lang w:val="en-US"/>
              </w:rPr>
            </w:pPr>
            <w:r w:rsidRPr="0050231C">
              <w:rPr>
                <w:rFonts w:ascii="Times New Roman" w:eastAsia="Times New Roman" w:hAnsi="Times New Roman" w:cs="Times New Roman"/>
                <w:color w:val="000000" w:themeColor="text1"/>
                <w:sz w:val="20"/>
                <w:szCs w:val="20"/>
                <w:lang w:val="en-US"/>
              </w:rPr>
              <w:t>21</w:t>
            </w:r>
          </w:p>
        </w:tc>
        <w:tc>
          <w:tcPr>
            <w:tcW w:w="3857" w:type="pct"/>
            <w:tcBorders>
              <w:top w:val="single" w:sz="12" w:space="0" w:color="BBE0E3"/>
              <w:left w:val="nil"/>
              <w:bottom w:val="nil"/>
              <w:right w:val="nil"/>
            </w:tcBorders>
            <w:shd w:val="clear" w:color="auto" w:fill="auto"/>
            <w:vAlign w:val="center"/>
            <w:hideMark/>
          </w:tcPr>
          <w:p w:rsidR="006755F8" w:rsidRPr="0050231C" w:rsidRDefault="006755F8" w:rsidP="005F0DF0">
            <w:pPr>
              <w:spacing w:after="0" w:line="240" w:lineRule="auto"/>
              <w:rPr>
                <w:rFonts w:ascii="Times New Roman" w:eastAsia="Times New Roman" w:hAnsi="Times New Roman" w:cs="Times New Roman"/>
                <w:color w:val="000000" w:themeColor="text1"/>
                <w:sz w:val="20"/>
                <w:szCs w:val="20"/>
                <w:lang w:val="en-US"/>
              </w:rPr>
            </w:pPr>
            <w:r w:rsidRPr="0050231C">
              <w:rPr>
                <w:rFonts w:ascii="Times New Roman" w:eastAsia="Times New Roman" w:hAnsi="Times New Roman" w:cs="Times New Roman"/>
                <w:color w:val="000000" w:themeColor="text1"/>
                <w:sz w:val="20"/>
                <w:szCs w:val="20"/>
                <w:lang w:val="en-US"/>
              </w:rPr>
              <w:t xml:space="preserve">School Appreciation  </w:t>
            </w:r>
            <w:r w:rsidRPr="0050231C">
              <w:rPr>
                <w:rFonts w:ascii="Times New Roman" w:eastAsia="Times New Roman" w:hAnsi="Times New Roman" w:cs="Times New Roman"/>
                <w:i/>
                <w:iCs/>
                <w:color w:val="000000" w:themeColor="text1"/>
                <w:sz w:val="20"/>
                <w:szCs w:val="20"/>
                <w:lang w:val="en-US"/>
              </w:rPr>
              <w:t>-The school community’s acknowledgement of your efforts and/or achievements</w:t>
            </w:r>
          </w:p>
        </w:tc>
        <w:tc>
          <w:tcPr>
            <w:tcW w:w="641" w:type="pct"/>
            <w:tcBorders>
              <w:top w:val="single" w:sz="12" w:space="0" w:color="BBE0E3"/>
              <w:left w:val="nil"/>
              <w:bottom w:val="nil"/>
              <w:right w:val="nil"/>
            </w:tcBorders>
            <w:shd w:val="clear" w:color="auto" w:fill="auto"/>
            <w:vAlign w:val="center"/>
            <w:hideMark/>
          </w:tcPr>
          <w:p w:rsidR="006755F8" w:rsidRPr="0050231C" w:rsidRDefault="006755F8" w:rsidP="005F0DF0">
            <w:pPr>
              <w:spacing w:after="0" w:line="240" w:lineRule="auto"/>
              <w:jc w:val="center"/>
              <w:rPr>
                <w:rFonts w:ascii="Times New Roman" w:eastAsia="Times New Roman" w:hAnsi="Times New Roman" w:cs="Times New Roman"/>
                <w:color w:val="000000" w:themeColor="text1"/>
                <w:sz w:val="20"/>
                <w:szCs w:val="20"/>
                <w:lang w:val="en-US"/>
              </w:rPr>
            </w:pPr>
            <w:r w:rsidRPr="0050231C">
              <w:rPr>
                <w:rFonts w:ascii="Times New Roman" w:eastAsia="Times New Roman" w:hAnsi="Times New Roman" w:cs="Times New Roman"/>
                <w:color w:val="000000" w:themeColor="text1"/>
                <w:sz w:val="20"/>
                <w:szCs w:val="20"/>
                <w:lang w:val="en-US"/>
              </w:rPr>
              <w:t>2.39</w:t>
            </w:r>
          </w:p>
        </w:tc>
      </w:tr>
      <w:tr w:rsidR="006755F8" w:rsidRPr="00097A76" w:rsidTr="005F0DF0">
        <w:trPr>
          <w:trHeight w:val="525"/>
        </w:trPr>
        <w:tc>
          <w:tcPr>
            <w:tcW w:w="501" w:type="pct"/>
            <w:tcBorders>
              <w:top w:val="nil"/>
              <w:left w:val="nil"/>
              <w:bottom w:val="nil"/>
              <w:right w:val="nil"/>
            </w:tcBorders>
            <w:shd w:val="clear" w:color="000000" w:fill="C8E3FF"/>
            <w:vAlign w:val="center"/>
            <w:hideMark/>
          </w:tcPr>
          <w:p w:rsidR="006755F8" w:rsidRPr="0050231C" w:rsidRDefault="006755F8" w:rsidP="005F0DF0">
            <w:pPr>
              <w:spacing w:after="0" w:line="240" w:lineRule="auto"/>
              <w:jc w:val="center"/>
              <w:rPr>
                <w:rFonts w:ascii="Times New Roman" w:eastAsia="Times New Roman" w:hAnsi="Times New Roman" w:cs="Times New Roman"/>
                <w:color w:val="000000" w:themeColor="text1"/>
                <w:sz w:val="20"/>
                <w:szCs w:val="20"/>
                <w:lang w:val="en-US"/>
              </w:rPr>
            </w:pPr>
            <w:r w:rsidRPr="0050231C">
              <w:rPr>
                <w:rFonts w:ascii="Times New Roman" w:eastAsia="Times New Roman" w:hAnsi="Times New Roman" w:cs="Times New Roman"/>
                <w:color w:val="000000" w:themeColor="text1"/>
                <w:sz w:val="20"/>
                <w:szCs w:val="20"/>
                <w:lang w:val="en-US"/>
              </w:rPr>
              <w:t>22</w:t>
            </w:r>
          </w:p>
        </w:tc>
        <w:tc>
          <w:tcPr>
            <w:tcW w:w="3857" w:type="pct"/>
            <w:tcBorders>
              <w:top w:val="nil"/>
              <w:left w:val="nil"/>
              <w:bottom w:val="nil"/>
              <w:right w:val="nil"/>
            </w:tcBorders>
            <w:shd w:val="clear" w:color="000000" w:fill="C8E3FF"/>
            <w:vAlign w:val="center"/>
            <w:hideMark/>
          </w:tcPr>
          <w:p w:rsidR="006755F8" w:rsidRPr="0050231C" w:rsidRDefault="006755F8" w:rsidP="005F0DF0">
            <w:pPr>
              <w:spacing w:after="0" w:line="240" w:lineRule="auto"/>
              <w:rPr>
                <w:rFonts w:ascii="Times New Roman" w:eastAsia="Times New Roman" w:hAnsi="Times New Roman" w:cs="Times New Roman"/>
                <w:color w:val="000000" w:themeColor="text1"/>
                <w:sz w:val="20"/>
                <w:szCs w:val="20"/>
                <w:lang w:val="en-US"/>
              </w:rPr>
            </w:pPr>
            <w:r w:rsidRPr="0050231C">
              <w:rPr>
                <w:rFonts w:ascii="Times New Roman" w:eastAsia="Times New Roman" w:hAnsi="Times New Roman" w:cs="Times New Roman"/>
                <w:color w:val="000000" w:themeColor="text1"/>
                <w:sz w:val="20"/>
                <w:szCs w:val="20"/>
                <w:lang w:val="en-US"/>
              </w:rPr>
              <w:t>Incentives –</w:t>
            </w:r>
            <w:r w:rsidRPr="0050231C">
              <w:rPr>
                <w:rFonts w:ascii="Times New Roman" w:eastAsia="Times New Roman" w:hAnsi="Times New Roman" w:cs="Times New Roman"/>
                <w:i/>
                <w:iCs/>
                <w:color w:val="000000" w:themeColor="text1"/>
                <w:sz w:val="20"/>
                <w:szCs w:val="20"/>
                <w:lang w:val="en-US"/>
              </w:rPr>
              <w:t xml:space="preserve"> This includes both financials incentives such as locality allowance, and non-financial incentives such as leave, etc.</w:t>
            </w:r>
          </w:p>
        </w:tc>
        <w:tc>
          <w:tcPr>
            <w:tcW w:w="641" w:type="pct"/>
            <w:tcBorders>
              <w:top w:val="nil"/>
              <w:left w:val="nil"/>
              <w:bottom w:val="nil"/>
              <w:right w:val="nil"/>
            </w:tcBorders>
            <w:shd w:val="clear" w:color="000000" w:fill="C8E3FF"/>
            <w:vAlign w:val="center"/>
            <w:hideMark/>
          </w:tcPr>
          <w:p w:rsidR="006755F8" w:rsidRPr="0050231C" w:rsidRDefault="006755F8" w:rsidP="005F0DF0">
            <w:pPr>
              <w:spacing w:after="0" w:line="240" w:lineRule="auto"/>
              <w:jc w:val="center"/>
              <w:rPr>
                <w:rFonts w:ascii="Times New Roman" w:eastAsia="Times New Roman" w:hAnsi="Times New Roman" w:cs="Times New Roman"/>
                <w:color w:val="000000" w:themeColor="text1"/>
                <w:sz w:val="20"/>
                <w:szCs w:val="20"/>
                <w:lang w:val="en-US"/>
              </w:rPr>
            </w:pPr>
            <w:r w:rsidRPr="0050231C">
              <w:rPr>
                <w:rFonts w:ascii="Times New Roman" w:eastAsia="Times New Roman" w:hAnsi="Times New Roman" w:cs="Times New Roman"/>
                <w:color w:val="000000" w:themeColor="text1"/>
                <w:sz w:val="20"/>
                <w:szCs w:val="20"/>
                <w:lang w:val="en-US"/>
              </w:rPr>
              <w:t>2.00</w:t>
            </w:r>
          </w:p>
        </w:tc>
      </w:tr>
      <w:tr w:rsidR="006755F8" w:rsidRPr="00097A76" w:rsidTr="005F0DF0">
        <w:trPr>
          <w:trHeight w:val="525"/>
        </w:trPr>
        <w:tc>
          <w:tcPr>
            <w:tcW w:w="501" w:type="pct"/>
            <w:tcBorders>
              <w:top w:val="nil"/>
              <w:left w:val="nil"/>
              <w:bottom w:val="nil"/>
              <w:right w:val="nil"/>
            </w:tcBorders>
            <w:shd w:val="clear" w:color="auto" w:fill="auto"/>
            <w:vAlign w:val="center"/>
            <w:hideMark/>
          </w:tcPr>
          <w:p w:rsidR="006755F8" w:rsidRPr="0050231C" w:rsidRDefault="006755F8" w:rsidP="005F0DF0">
            <w:pPr>
              <w:spacing w:after="0" w:line="240" w:lineRule="auto"/>
              <w:jc w:val="center"/>
              <w:rPr>
                <w:rFonts w:ascii="Times New Roman" w:eastAsia="Times New Roman" w:hAnsi="Times New Roman" w:cs="Times New Roman"/>
                <w:color w:val="000000" w:themeColor="text1"/>
                <w:sz w:val="20"/>
                <w:szCs w:val="20"/>
                <w:lang w:val="en-US"/>
              </w:rPr>
            </w:pPr>
            <w:r w:rsidRPr="0050231C">
              <w:rPr>
                <w:rFonts w:ascii="Times New Roman" w:eastAsia="Times New Roman" w:hAnsi="Times New Roman" w:cs="Times New Roman"/>
                <w:color w:val="000000" w:themeColor="text1"/>
                <w:sz w:val="20"/>
                <w:szCs w:val="20"/>
                <w:lang w:val="en-US"/>
              </w:rPr>
              <w:t>23</w:t>
            </w:r>
          </w:p>
        </w:tc>
        <w:tc>
          <w:tcPr>
            <w:tcW w:w="3857" w:type="pct"/>
            <w:tcBorders>
              <w:top w:val="nil"/>
              <w:left w:val="nil"/>
              <w:bottom w:val="nil"/>
              <w:right w:val="nil"/>
            </w:tcBorders>
            <w:shd w:val="clear" w:color="auto" w:fill="auto"/>
            <w:vAlign w:val="center"/>
            <w:hideMark/>
          </w:tcPr>
          <w:p w:rsidR="006755F8" w:rsidRPr="0050231C" w:rsidRDefault="006755F8" w:rsidP="005F0DF0">
            <w:pPr>
              <w:spacing w:after="0" w:line="240" w:lineRule="auto"/>
              <w:rPr>
                <w:rFonts w:ascii="Times New Roman" w:eastAsia="Times New Roman" w:hAnsi="Times New Roman" w:cs="Times New Roman"/>
                <w:color w:val="000000" w:themeColor="text1"/>
                <w:sz w:val="20"/>
                <w:szCs w:val="20"/>
                <w:lang w:val="en-US"/>
              </w:rPr>
            </w:pPr>
            <w:r w:rsidRPr="0050231C">
              <w:rPr>
                <w:rFonts w:ascii="Times New Roman" w:eastAsia="Times New Roman" w:hAnsi="Times New Roman" w:cs="Times New Roman"/>
                <w:color w:val="000000" w:themeColor="text1"/>
                <w:sz w:val="20"/>
                <w:szCs w:val="20"/>
                <w:lang w:val="en-US"/>
              </w:rPr>
              <w:t xml:space="preserve">Accreditation Requirements – </w:t>
            </w:r>
            <w:r w:rsidRPr="0050231C">
              <w:rPr>
                <w:rFonts w:ascii="Times New Roman" w:eastAsia="Times New Roman" w:hAnsi="Times New Roman" w:cs="Times New Roman"/>
                <w:i/>
                <w:iCs/>
                <w:color w:val="000000" w:themeColor="text1"/>
                <w:sz w:val="20"/>
                <w:szCs w:val="20"/>
                <w:lang w:val="en-US"/>
              </w:rPr>
              <w:t>support provided to assist you to meet the requirements of the Professional Teaching Standards</w:t>
            </w:r>
          </w:p>
        </w:tc>
        <w:tc>
          <w:tcPr>
            <w:tcW w:w="641" w:type="pct"/>
            <w:tcBorders>
              <w:top w:val="nil"/>
              <w:left w:val="nil"/>
              <w:bottom w:val="nil"/>
              <w:right w:val="nil"/>
            </w:tcBorders>
            <w:shd w:val="clear" w:color="auto" w:fill="auto"/>
            <w:vAlign w:val="center"/>
            <w:hideMark/>
          </w:tcPr>
          <w:p w:rsidR="006755F8" w:rsidRPr="0050231C" w:rsidRDefault="006755F8" w:rsidP="005F0DF0">
            <w:pPr>
              <w:spacing w:after="0" w:line="240" w:lineRule="auto"/>
              <w:jc w:val="center"/>
              <w:rPr>
                <w:rFonts w:ascii="Times New Roman" w:eastAsia="Times New Roman" w:hAnsi="Times New Roman" w:cs="Times New Roman"/>
                <w:color w:val="000000" w:themeColor="text1"/>
                <w:sz w:val="20"/>
                <w:szCs w:val="20"/>
                <w:lang w:val="en-US"/>
              </w:rPr>
            </w:pPr>
            <w:r w:rsidRPr="0050231C">
              <w:rPr>
                <w:rFonts w:ascii="Times New Roman" w:eastAsia="Times New Roman" w:hAnsi="Times New Roman" w:cs="Times New Roman"/>
                <w:color w:val="000000" w:themeColor="text1"/>
                <w:sz w:val="20"/>
                <w:szCs w:val="20"/>
                <w:lang w:val="en-US"/>
              </w:rPr>
              <w:t>1.91</w:t>
            </w:r>
          </w:p>
        </w:tc>
      </w:tr>
      <w:tr w:rsidR="006755F8" w:rsidRPr="00097A76" w:rsidTr="005F0DF0">
        <w:trPr>
          <w:trHeight w:val="300"/>
        </w:trPr>
        <w:tc>
          <w:tcPr>
            <w:tcW w:w="501" w:type="pct"/>
            <w:tcBorders>
              <w:top w:val="nil"/>
              <w:left w:val="nil"/>
              <w:bottom w:val="nil"/>
              <w:right w:val="nil"/>
            </w:tcBorders>
            <w:shd w:val="clear" w:color="000000" w:fill="C8E3FF"/>
            <w:vAlign w:val="center"/>
            <w:hideMark/>
          </w:tcPr>
          <w:p w:rsidR="006755F8" w:rsidRPr="0050231C" w:rsidRDefault="006755F8" w:rsidP="005F0DF0">
            <w:pPr>
              <w:spacing w:after="0" w:line="240" w:lineRule="auto"/>
              <w:jc w:val="center"/>
              <w:rPr>
                <w:rFonts w:ascii="Times New Roman" w:eastAsia="Times New Roman" w:hAnsi="Times New Roman" w:cs="Times New Roman"/>
                <w:color w:val="000000" w:themeColor="text1"/>
                <w:sz w:val="20"/>
                <w:szCs w:val="20"/>
                <w:lang w:val="en-US"/>
              </w:rPr>
            </w:pPr>
            <w:r w:rsidRPr="0050231C">
              <w:rPr>
                <w:rFonts w:ascii="Times New Roman" w:eastAsia="Times New Roman" w:hAnsi="Times New Roman" w:cs="Times New Roman"/>
                <w:color w:val="000000" w:themeColor="text1"/>
                <w:sz w:val="20"/>
                <w:szCs w:val="20"/>
                <w:lang w:val="en-US"/>
              </w:rPr>
              <w:t>24</w:t>
            </w:r>
          </w:p>
        </w:tc>
        <w:tc>
          <w:tcPr>
            <w:tcW w:w="3857" w:type="pct"/>
            <w:tcBorders>
              <w:top w:val="nil"/>
              <w:left w:val="nil"/>
              <w:bottom w:val="nil"/>
              <w:right w:val="nil"/>
            </w:tcBorders>
            <w:shd w:val="clear" w:color="000000" w:fill="C8E3FF"/>
            <w:vAlign w:val="center"/>
            <w:hideMark/>
          </w:tcPr>
          <w:p w:rsidR="006755F8" w:rsidRPr="0050231C" w:rsidRDefault="006755F8" w:rsidP="005F0DF0">
            <w:pPr>
              <w:spacing w:after="0" w:line="240" w:lineRule="auto"/>
              <w:rPr>
                <w:rFonts w:ascii="Times New Roman" w:eastAsia="Times New Roman" w:hAnsi="Times New Roman" w:cs="Times New Roman"/>
                <w:color w:val="000000" w:themeColor="text1"/>
                <w:sz w:val="20"/>
                <w:szCs w:val="20"/>
                <w:lang w:val="en-US"/>
              </w:rPr>
            </w:pPr>
            <w:r w:rsidRPr="0050231C">
              <w:rPr>
                <w:rFonts w:ascii="Times New Roman" w:eastAsia="Times New Roman" w:hAnsi="Times New Roman" w:cs="Times New Roman"/>
                <w:color w:val="000000" w:themeColor="text1"/>
                <w:sz w:val="20"/>
                <w:szCs w:val="20"/>
                <w:lang w:val="en-US"/>
              </w:rPr>
              <w:t>Teacher Preparation</w:t>
            </w:r>
            <w:r w:rsidRPr="0050231C">
              <w:rPr>
                <w:rFonts w:ascii="Times New Roman" w:eastAsia="Times New Roman" w:hAnsi="Times New Roman" w:cs="Times New Roman"/>
                <w:i/>
                <w:iCs/>
                <w:color w:val="000000" w:themeColor="text1"/>
                <w:sz w:val="20"/>
                <w:szCs w:val="20"/>
                <w:lang w:val="en-US"/>
              </w:rPr>
              <w:t xml:space="preserve"> – extent to which your teacher education program prepared you for teaching</w:t>
            </w:r>
          </w:p>
        </w:tc>
        <w:tc>
          <w:tcPr>
            <w:tcW w:w="641" w:type="pct"/>
            <w:tcBorders>
              <w:top w:val="nil"/>
              <w:left w:val="nil"/>
              <w:bottom w:val="nil"/>
              <w:right w:val="nil"/>
            </w:tcBorders>
            <w:shd w:val="clear" w:color="000000" w:fill="C8E3FF"/>
            <w:vAlign w:val="center"/>
            <w:hideMark/>
          </w:tcPr>
          <w:p w:rsidR="006755F8" w:rsidRPr="0050231C" w:rsidRDefault="006755F8" w:rsidP="005F0DF0">
            <w:pPr>
              <w:spacing w:after="0" w:line="240" w:lineRule="auto"/>
              <w:jc w:val="center"/>
              <w:rPr>
                <w:rFonts w:ascii="Times New Roman" w:eastAsia="Times New Roman" w:hAnsi="Times New Roman" w:cs="Times New Roman"/>
                <w:color w:val="000000" w:themeColor="text1"/>
                <w:sz w:val="20"/>
                <w:szCs w:val="20"/>
                <w:lang w:val="en-US"/>
              </w:rPr>
            </w:pPr>
            <w:r w:rsidRPr="0050231C">
              <w:rPr>
                <w:rFonts w:ascii="Times New Roman" w:eastAsia="Times New Roman" w:hAnsi="Times New Roman" w:cs="Times New Roman"/>
                <w:color w:val="000000" w:themeColor="text1"/>
                <w:sz w:val="20"/>
                <w:szCs w:val="20"/>
                <w:lang w:val="en-US"/>
              </w:rPr>
              <w:t>1.85</w:t>
            </w:r>
          </w:p>
        </w:tc>
      </w:tr>
      <w:tr w:rsidR="006755F8" w:rsidRPr="00097A76" w:rsidTr="005F0DF0">
        <w:trPr>
          <w:trHeight w:val="300"/>
        </w:trPr>
        <w:tc>
          <w:tcPr>
            <w:tcW w:w="501" w:type="pct"/>
            <w:tcBorders>
              <w:top w:val="nil"/>
              <w:left w:val="nil"/>
              <w:bottom w:val="nil"/>
              <w:right w:val="nil"/>
            </w:tcBorders>
            <w:shd w:val="clear" w:color="auto" w:fill="auto"/>
            <w:vAlign w:val="center"/>
            <w:hideMark/>
          </w:tcPr>
          <w:p w:rsidR="006755F8" w:rsidRPr="0050231C" w:rsidRDefault="006755F8" w:rsidP="005F0DF0">
            <w:pPr>
              <w:spacing w:after="0" w:line="240" w:lineRule="auto"/>
              <w:jc w:val="center"/>
              <w:rPr>
                <w:rFonts w:ascii="Times New Roman" w:eastAsia="Times New Roman" w:hAnsi="Times New Roman" w:cs="Times New Roman"/>
                <w:color w:val="000000" w:themeColor="text1"/>
                <w:sz w:val="20"/>
                <w:szCs w:val="20"/>
                <w:lang w:val="en-US"/>
              </w:rPr>
            </w:pPr>
            <w:r w:rsidRPr="0050231C">
              <w:rPr>
                <w:rFonts w:ascii="Times New Roman" w:eastAsia="Times New Roman" w:hAnsi="Times New Roman" w:cs="Times New Roman"/>
                <w:color w:val="000000" w:themeColor="text1"/>
                <w:sz w:val="20"/>
                <w:szCs w:val="20"/>
                <w:lang w:val="en-US"/>
              </w:rPr>
              <w:t>25</w:t>
            </w:r>
          </w:p>
        </w:tc>
        <w:tc>
          <w:tcPr>
            <w:tcW w:w="3857" w:type="pct"/>
            <w:tcBorders>
              <w:top w:val="nil"/>
              <w:left w:val="nil"/>
              <w:bottom w:val="nil"/>
              <w:right w:val="nil"/>
            </w:tcBorders>
            <w:shd w:val="clear" w:color="auto" w:fill="auto"/>
            <w:vAlign w:val="center"/>
            <w:hideMark/>
          </w:tcPr>
          <w:p w:rsidR="006755F8" w:rsidRPr="0050231C" w:rsidRDefault="006755F8" w:rsidP="005F0DF0">
            <w:pPr>
              <w:spacing w:after="0" w:line="240" w:lineRule="auto"/>
              <w:rPr>
                <w:rFonts w:ascii="Times New Roman" w:eastAsia="Times New Roman" w:hAnsi="Times New Roman" w:cs="Times New Roman"/>
                <w:color w:val="000000" w:themeColor="text1"/>
                <w:sz w:val="20"/>
                <w:szCs w:val="20"/>
                <w:lang w:val="en-US"/>
              </w:rPr>
            </w:pPr>
            <w:r w:rsidRPr="0050231C">
              <w:rPr>
                <w:rFonts w:ascii="Times New Roman" w:eastAsia="Times New Roman" w:hAnsi="Times New Roman" w:cs="Times New Roman"/>
                <w:color w:val="000000" w:themeColor="text1"/>
                <w:sz w:val="20"/>
                <w:szCs w:val="20"/>
                <w:lang w:val="en-US"/>
              </w:rPr>
              <w:t xml:space="preserve">Class Size – </w:t>
            </w:r>
            <w:r w:rsidRPr="0050231C">
              <w:rPr>
                <w:rFonts w:ascii="Times New Roman" w:eastAsia="Times New Roman" w:hAnsi="Times New Roman" w:cs="Times New Roman"/>
                <w:i/>
                <w:iCs/>
                <w:color w:val="000000" w:themeColor="text1"/>
                <w:sz w:val="20"/>
                <w:szCs w:val="20"/>
                <w:lang w:val="en-US"/>
              </w:rPr>
              <w:t>the number of students in your classroom</w:t>
            </w:r>
          </w:p>
        </w:tc>
        <w:tc>
          <w:tcPr>
            <w:tcW w:w="641" w:type="pct"/>
            <w:tcBorders>
              <w:top w:val="nil"/>
              <w:left w:val="nil"/>
              <w:bottom w:val="nil"/>
              <w:right w:val="nil"/>
            </w:tcBorders>
            <w:shd w:val="clear" w:color="auto" w:fill="auto"/>
            <w:vAlign w:val="center"/>
            <w:hideMark/>
          </w:tcPr>
          <w:p w:rsidR="006755F8" w:rsidRPr="0050231C" w:rsidRDefault="006755F8" w:rsidP="005F0DF0">
            <w:pPr>
              <w:spacing w:after="0" w:line="240" w:lineRule="auto"/>
              <w:jc w:val="center"/>
              <w:rPr>
                <w:rFonts w:ascii="Times New Roman" w:eastAsia="Times New Roman" w:hAnsi="Times New Roman" w:cs="Times New Roman"/>
                <w:color w:val="000000" w:themeColor="text1"/>
                <w:sz w:val="20"/>
                <w:szCs w:val="20"/>
                <w:lang w:val="en-US"/>
              </w:rPr>
            </w:pPr>
            <w:r w:rsidRPr="0050231C">
              <w:rPr>
                <w:rFonts w:ascii="Times New Roman" w:eastAsia="Times New Roman" w:hAnsi="Times New Roman" w:cs="Times New Roman"/>
                <w:color w:val="000000" w:themeColor="text1"/>
                <w:sz w:val="20"/>
                <w:szCs w:val="20"/>
                <w:lang w:val="en-US"/>
              </w:rPr>
              <w:t>1.73</w:t>
            </w:r>
          </w:p>
        </w:tc>
      </w:tr>
      <w:tr w:rsidR="006755F8" w:rsidRPr="00097A76" w:rsidTr="005F0DF0">
        <w:trPr>
          <w:trHeight w:val="300"/>
        </w:trPr>
        <w:tc>
          <w:tcPr>
            <w:tcW w:w="501" w:type="pct"/>
            <w:tcBorders>
              <w:top w:val="nil"/>
              <w:left w:val="nil"/>
              <w:bottom w:val="nil"/>
              <w:right w:val="nil"/>
            </w:tcBorders>
            <w:shd w:val="clear" w:color="000000" w:fill="C8E3FF"/>
            <w:vAlign w:val="center"/>
            <w:hideMark/>
          </w:tcPr>
          <w:p w:rsidR="006755F8" w:rsidRPr="0050231C" w:rsidRDefault="006755F8" w:rsidP="005F0DF0">
            <w:pPr>
              <w:spacing w:after="0" w:line="240" w:lineRule="auto"/>
              <w:jc w:val="center"/>
              <w:rPr>
                <w:rFonts w:ascii="Times New Roman" w:eastAsia="Times New Roman" w:hAnsi="Times New Roman" w:cs="Times New Roman"/>
                <w:color w:val="000000" w:themeColor="text1"/>
                <w:sz w:val="20"/>
                <w:szCs w:val="20"/>
                <w:lang w:val="en-US"/>
              </w:rPr>
            </w:pPr>
            <w:r w:rsidRPr="0050231C">
              <w:rPr>
                <w:rFonts w:ascii="Times New Roman" w:eastAsia="Times New Roman" w:hAnsi="Times New Roman" w:cs="Times New Roman"/>
                <w:color w:val="000000" w:themeColor="text1"/>
                <w:sz w:val="20"/>
                <w:szCs w:val="20"/>
                <w:lang w:val="en-US"/>
              </w:rPr>
              <w:t>26</w:t>
            </w:r>
          </w:p>
        </w:tc>
        <w:tc>
          <w:tcPr>
            <w:tcW w:w="3857" w:type="pct"/>
            <w:tcBorders>
              <w:top w:val="nil"/>
              <w:left w:val="nil"/>
              <w:bottom w:val="nil"/>
              <w:right w:val="nil"/>
            </w:tcBorders>
            <w:shd w:val="clear" w:color="000000" w:fill="C8E3FF"/>
            <w:vAlign w:val="center"/>
            <w:hideMark/>
          </w:tcPr>
          <w:p w:rsidR="006755F8" w:rsidRPr="0050231C" w:rsidRDefault="006755F8" w:rsidP="005F0DF0">
            <w:pPr>
              <w:spacing w:after="0" w:line="240" w:lineRule="auto"/>
              <w:rPr>
                <w:rFonts w:ascii="Times New Roman" w:eastAsia="Times New Roman" w:hAnsi="Times New Roman" w:cs="Times New Roman"/>
                <w:color w:val="000000" w:themeColor="text1"/>
                <w:sz w:val="20"/>
                <w:szCs w:val="20"/>
                <w:lang w:val="en-US"/>
              </w:rPr>
            </w:pPr>
            <w:r w:rsidRPr="0050231C">
              <w:rPr>
                <w:rFonts w:ascii="Times New Roman" w:eastAsia="Times New Roman" w:hAnsi="Times New Roman" w:cs="Times New Roman"/>
                <w:color w:val="000000" w:themeColor="text1"/>
                <w:sz w:val="20"/>
                <w:szCs w:val="20"/>
                <w:lang w:val="en-US"/>
              </w:rPr>
              <w:t>Professional Isolation</w:t>
            </w:r>
            <w:r w:rsidRPr="0050231C">
              <w:rPr>
                <w:rFonts w:ascii="Times New Roman" w:eastAsia="Times New Roman" w:hAnsi="Times New Roman" w:cs="Times New Roman"/>
                <w:i/>
                <w:iCs/>
                <w:color w:val="000000" w:themeColor="text1"/>
                <w:sz w:val="20"/>
                <w:szCs w:val="20"/>
                <w:lang w:val="en-US"/>
              </w:rPr>
              <w:t xml:space="preserve"> – your feelings of working alone</w:t>
            </w:r>
          </w:p>
        </w:tc>
        <w:tc>
          <w:tcPr>
            <w:tcW w:w="641" w:type="pct"/>
            <w:tcBorders>
              <w:top w:val="nil"/>
              <w:left w:val="nil"/>
              <w:bottom w:val="nil"/>
              <w:right w:val="nil"/>
            </w:tcBorders>
            <w:shd w:val="clear" w:color="000000" w:fill="C8E3FF"/>
            <w:vAlign w:val="center"/>
            <w:hideMark/>
          </w:tcPr>
          <w:p w:rsidR="006755F8" w:rsidRPr="0050231C" w:rsidRDefault="006755F8" w:rsidP="005F0DF0">
            <w:pPr>
              <w:spacing w:after="0" w:line="240" w:lineRule="auto"/>
              <w:jc w:val="center"/>
              <w:rPr>
                <w:rFonts w:ascii="Times New Roman" w:eastAsia="Times New Roman" w:hAnsi="Times New Roman" w:cs="Times New Roman"/>
                <w:color w:val="000000" w:themeColor="text1"/>
                <w:sz w:val="20"/>
                <w:szCs w:val="20"/>
                <w:lang w:val="en-US"/>
              </w:rPr>
            </w:pPr>
            <w:r w:rsidRPr="0050231C">
              <w:rPr>
                <w:rFonts w:ascii="Times New Roman" w:eastAsia="Times New Roman" w:hAnsi="Times New Roman" w:cs="Times New Roman"/>
                <w:color w:val="000000" w:themeColor="text1"/>
                <w:sz w:val="20"/>
                <w:szCs w:val="20"/>
                <w:lang w:val="en-US"/>
              </w:rPr>
              <w:t>1.64</w:t>
            </w:r>
          </w:p>
        </w:tc>
      </w:tr>
      <w:tr w:rsidR="006755F8" w:rsidRPr="00097A76" w:rsidTr="005F0DF0">
        <w:trPr>
          <w:trHeight w:val="300"/>
        </w:trPr>
        <w:tc>
          <w:tcPr>
            <w:tcW w:w="501" w:type="pct"/>
            <w:tcBorders>
              <w:top w:val="nil"/>
              <w:left w:val="nil"/>
              <w:bottom w:val="nil"/>
              <w:right w:val="nil"/>
            </w:tcBorders>
            <w:shd w:val="clear" w:color="auto" w:fill="auto"/>
            <w:vAlign w:val="center"/>
            <w:hideMark/>
          </w:tcPr>
          <w:p w:rsidR="006755F8" w:rsidRPr="0050231C" w:rsidRDefault="006755F8" w:rsidP="005F0DF0">
            <w:pPr>
              <w:spacing w:after="0" w:line="240" w:lineRule="auto"/>
              <w:jc w:val="center"/>
              <w:rPr>
                <w:rFonts w:ascii="Times New Roman" w:eastAsia="Times New Roman" w:hAnsi="Times New Roman" w:cs="Times New Roman"/>
                <w:color w:val="000000" w:themeColor="text1"/>
                <w:sz w:val="20"/>
                <w:szCs w:val="20"/>
                <w:lang w:val="en-US"/>
              </w:rPr>
            </w:pPr>
            <w:r w:rsidRPr="0050231C">
              <w:rPr>
                <w:rFonts w:ascii="Times New Roman" w:eastAsia="Times New Roman" w:hAnsi="Times New Roman" w:cs="Times New Roman"/>
                <w:color w:val="000000" w:themeColor="text1"/>
                <w:sz w:val="20"/>
                <w:szCs w:val="20"/>
                <w:lang w:val="en-US"/>
              </w:rPr>
              <w:t>27</w:t>
            </w:r>
          </w:p>
        </w:tc>
        <w:tc>
          <w:tcPr>
            <w:tcW w:w="3857" w:type="pct"/>
            <w:tcBorders>
              <w:top w:val="nil"/>
              <w:left w:val="nil"/>
              <w:bottom w:val="nil"/>
              <w:right w:val="nil"/>
            </w:tcBorders>
            <w:shd w:val="clear" w:color="auto" w:fill="auto"/>
            <w:vAlign w:val="center"/>
            <w:hideMark/>
          </w:tcPr>
          <w:p w:rsidR="006755F8" w:rsidRPr="0050231C" w:rsidRDefault="006755F8" w:rsidP="005F0DF0">
            <w:pPr>
              <w:spacing w:after="0" w:line="240" w:lineRule="auto"/>
              <w:rPr>
                <w:rFonts w:ascii="Times New Roman" w:eastAsia="Times New Roman" w:hAnsi="Times New Roman" w:cs="Times New Roman"/>
                <w:color w:val="000000" w:themeColor="text1"/>
                <w:sz w:val="20"/>
                <w:szCs w:val="20"/>
                <w:lang w:val="en-US"/>
              </w:rPr>
            </w:pPr>
            <w:r w:rsidRPr="0050231C">
              <w:rPr>
                <w:rFonts w:ascii="Times New Roman" w:eastAsia="Times New Roman" w:hAnsi="Times New Roman" w:cs="Times New Roman"/>
                <w:color w:val="000000" w:themeColor="text1"/>
                <w:sz w:val="20"/>
                <w:szCs w:val="20"/>
                <w:lang w:val="en-US"/>
              </w:rPr>
              <w:t>Support of Parents</w:t>
            </w:r>
            <w:r w:rsidRPr="0050231C">
              <w:rPr>
                <w:rFonts w:ascii="Times New Roman" w:eastAsia="Times New Roman" w:hAnsi="Times New Roman" w:cs="Times New Roman"/>
                <w:i/>
                <w:iCs/>
                <w:color w:val="000000" w:themeColor="text1"/>
                <w:sz w:val="20"/>
                <w:szCs w:val="20"/>
                <w:lang w:val="en-US"/>
              </w:rPr>
              <w:t xml:space="preserve"> – the support of parents in classroom</w:t>
            </w:r>
          </w:p>
        </w:tc>
        <w:tc>
          <w:tcPr>
            <w:tcW w:w="641" w:type="pct"/>
            <w:tcBorders>
              <w:top w:val="nil"/>
              <w:left w:val="nil"/>
              <w:bottom w:val="nil"/>
              <w:right w:val="nil"/>
            </w:tcBorders>
            <w:shd w:val="clear" w:color="auto" w:fill="auto"/>
            <w:vAlign w:val="center"/>
            <w:hideMark/>
          </w:tcPr>
          <w:p w:rsidR="006755F8" w:rsidRPr="0050231C" w:rsidRDefault="006755F8" w:rsidP="005F0DF0">
            <w:pPr>
              <w:spacing w:after="0" w:line="240" w:lineRule="auto"/>
              <w:jc w:val="center"/>
              <w:rPr>
                <w:rFonts w:ascii="Times New Roman" w:eastAsia="Times New Roman" w:hAnsi="Times New Roman" w:cs="Times New Roman"/>
                <w:color w:val="000000" w:themeColor="text1"/>
                <w:sz w:val="20"/>
                <w:szCs w:val="20"/>
                <w:lang w:val="en-US"/>
              </w:rPr>
            </w:pPr>
            <w:r w:rsidRPr="0050231C">
              <w:rPr>
                <w:rFonts w:ascii="Times New Roman" w:eastAsia="Times New Roman" w:hAnsi="Times New Roman" w:cs="Times New Roman"/>
                <w:color w:val="000000" w:themeColor="text1"/>
                <w:sz w:val="20"/>
                <w:szCs w:val="20"/>
                <w:lang w:val="en-US"/>
              </w:rPr>
              <w:t>1.30</w:t>
            </w:r>
          </w:p>
        </w:tc>
      </w:tr>
      <w:tr w:rsidR="006755F8" w:rsidRPr="00097A76" w:rsidTr="005F0DF0">
        <w:trPr>
          <w:trHeight w:val="300"/>
        </w:trPr>
        <w:tc>
          <w:tcPr>
            <w:tcW w:w="501" w:type="pct"/>
            <w:tcBorders>
              <w:top w:val="nil"/>
              <w:left w:val="nil"/>
              <w:bottom w:val="nil"/>
              <w:right w:val="nil"/>
            </w:tcBorders>
            <w:shd w:val="clear" w:color="000000" w:fill="C8E3FF"/>
            <w:vAlign w:val="center"/>
            <w:hideMark/>
          </w:tcPr>
          <w:p w:rsidR="006755F8" w:rsidRPr="0050231C" w:rsidRDefault="006755F8" w:rsidP="005F0DF0">
            <w:pPr>
              <w:spacing w:after="0" w:line="240" w:lineRule="auto"/>
              <w:jc w:val="center"/>
              <w:rPr>
                <w:rFonts w:ascii="Times New Roman" w:eastAsia="Times New Roman" w:hAnsi="Times New Roman" w:cs="Times New Roman"/>
                <w:color w:val="000000" w:themeColor="text1"/>
                <w:sz w:val="20"/>
                <w:szCs w:val="20"/>
                <w:lang w:val="en-US"/>
              </w:rPr>
            </w:pPr>
            <w:r w:rsidRPr="0050231C">
              <w:rPr>
                <w:rFonts w:ascii="Times New Roman" w:eastAsia="Times New Roman" w:hAnsi="Times New Roman" w:cs="Times New Roman"/>
                <w:color w:val="000000" w:themeColor="text1"/>
                <w:sz w:val="20"/>
                <w:szCs w:val="20"/>
                <w:lang w:val="en-US"/>
              </w:rPr>
              <w:t>28</w:t>
            </w:r>
          </w:p>
        </w:tc>
        <w:tc>
          <w:tcPr>
            <w:tcW w:w="3857" w:type="pct"/>
            <w:tcBorders>
              <w:top w:val="nil"/>
              <w:left w:val="nil"/>
              <w:bottom w:val="nil"/>
              <w:right w:val="nil"/>
            </w:tcBorders>
            <w:shd w:val="clear" w:color="000000" w:fill="C8E3FF"/>
            <w:vAlign w:val="center"/>
            <w:hideMark/>
          </w:tcPr>
          <w:p w:rsidR="006755F8" w:rsidRPr="0050231C" w:rsidRDefault="006755F8" w:rsidP="005F0DF0">
            <w:pPr>
              <w:spacing w:after="0" w:line="240" w:lineRule="auto"/>
              <w:rPr>
                <w:rFonts w:ascii="Times New Roman" w:eastAsia="Times New Roman" w:hAnsi="Times New Roman" w:cs="Times New Roman"/>
                <w:color w:val="000000" w:themeColor="text1"/>
                <w:sz w:val="20"/>
                <w:szCs w:val="20"/>
                <w:lang w:val="en-US"/>
              </w:rPr>
            </w:pPr>
            <w:r w:rsidRPr="0050231C">
              <w:rPr>
                <w:rFonts w:ascii="Times New Roman" w:eastAsia="Times New Roman" w:hAnsi="Times New Roman" w:cs="Times New Roman"/>
                <w:color w:val="000000" w:themeColor="text1"/>
                <w:sz w:val="20"/>
                <w:szCs w:val="20"/>
                <w:lang w:val="en-US"/>
              </w:rPr>
              <w:t>Administrative Requirements</w:t>
            </w:r>
            <w:r w:rsidRPr="0050231C">
              <w:rPr>
                <w:rFonts w:ascii="Times New Roman" w:eastAsia="Times New Roman" w:hAnsi="Times New Roman" w:cs="Times New Roman"/>
                <w:i/>
                <w:iCs/>
                <w:color w:val="000000" w:themeColor="text1"/>
                <w:sz w:val="20"/>
                <w:szCs w:val="20"/>
                <w:lang w:val="en-US"/>
              </w:rPr>
              <w:t xml:space="preserve"> – the daily paperwork required</w:t>
            </w:r>
          </w:p>
        </w:tc>
        <w:tc>
          <w:tcPr>
            <w:tcW w:w="641" w:type="pct"/>
            <w:tcBorders>
              <w:top w:val="nil"/>
              <w:left w:val="nil"/>
              <w:bottom w:val="nil"/>
              <w:right w:val="nil"/>
            </w:tcBorders>
            <w:shd w:val="clear" w:color="000000" w:fill="C8E3FF"/>
            <w:vAlign w:val="center"/>
            <w:hideMark/>
          </w:tcPr>
          <w:p w:rsidR="006755F8" w:rsidRPr="0050231C" w:rsidRDefault="006755F8" w:rsidP="005F0DF0">
            <w:pPr>
              <w:spacing w:after="0" w:line="240" w:lineRule="auto"/>
              <w:jc w:val="center"/>
              <w:rPr>
                <w:rFonts w:ascii="Times New Roman" w:eastAsia="Times New Roman" w:hAnsi="Times New Roman" w:cs="Times New Roman"/>
                <w:color w:val="000000" w:themeColor="text1"/>
                <w:sz w:val="20"/>
                <w:szCs w:val="20"/>
                <w:lang w:val="en-US"/>
              </w:rPr>
            </w:pPr>
            <w:r w:rsidRPr="0050231C">
              <w:rPr>
                <w:rFonts w:ascii="Times New Roman" w:eastAsia="Times New Roman" w:hAnsi="Times New Roman" w:cs="Times New Roman"/>
                <w:color w:val="000000" w:themeColor="text1"/>
                <w:sz w:val="20"/>
                <w:szCs w:val="20"/>
                <w:lang w:val="en-US"/>
              </w:rPr>
              <w:t>1.30</w:t>
            </w:r>
          </w:p>
        </w:tc>
      </w:tr>
      <w:tr w:rsidR="006755F8" w:rsidRPr="00097A76" w:rsidTr="005F0DF0">
        <w:trPr>
          <w:trHeight w:val="300"/>
        </w:trPr>
        <w:tc>
          <w:tcPr>
            <w:tcW w:w="501" w:type="pct"/>
            <w:tcBorders>
              <w:top w:val="nil"/>
              <w:left w:val="nil"/>
              <w:bottom w:val="nil"/>
              <w:right w:val="nil"/>
            </w:tcBorders>
            <w:shd w:val="clear" w:color="auto" w:fill="auto"/>
            <w:vAlign w:val="center"/>
            <w:hideMark/>
          </w:tcPr>
          <w:p w:rsidR="006755F8" w:rsidRPr="0050231C" w:rsidRDefault="006755F8" w:rsidP="005F0DF0">
            <w:pPr>
              <w:spacing w:after="0" w:line="240" w:lineRule="auto"/>
              <w:jc w:val="center"/>
              <w:rPr>
                <w:rFonts w:ascii="Times New Roman" w:eastAsia="Times New Roman" w:hAnsi="Times New Roman" w:cs="Times New Roman"/>
                <w:color w:val="000000" w:themeColor="text1"/>
                <w:sz w:val="20"/>
                <w:szCs w:val="20"/>
                <w:lang w:val="en-US"/>
              </w:rPr>
            </w:pPr>
            <w:r w:rsidRPr="0050231C">
              <w:rPr>
                <w:rFonts w:ascii="Times New Roman" w:eastAsia="Times New Roman" w:hAnsi="Times New Roman" w:cs="Times New Roman"/>
                <w:color w:val="000000" w:themeColor="text1"/>
                <w:sz w:val="20"/>
                <w:szCs w:val="20"/>
                <w:lang w:val="en-US"/>
              </w:rPr>
              <w:t>29</w:t>
            </w:r>
          </w:p>
        </w:tc>
        <w:tc>
          <w:tcPr>
            <w:tcW w:w="3857" w:type="pct"/>
            <w:tcBorders>
              <w:top w:val="nil"/>
              <w:left w:val="nil"/>
              <w:bottom w:val="nil"/>
              <w:right w:val="nil"/>
            </w:tcBorders>
            <w:shd w:val="clear" w:color="auto" w:fill="auto"/>
            <w:vAlign w:val="center"/>
            <w:hideMark/>
          </w:tcPr>
          <w:p w:rsidR="006755F8" w:rsidRPr="0050231C" w:rsidRDefault="006755F8" w:rsidP="005F0DF0">
            <w:pPr>
              <w:spacing w:after="0" w:line="240" w:lineRule="auto"/>
              <w:rPr>
                <w:rFonts w:ascii="Times New Roman" w:eastAsia="Times New Roman" w:hAnsi="Times New Roman" w:cs="Times New Roman"/>
                <w:color w:val="000000" w:themeColor="text1"/>
                <w:sz w:val="20"/>
                <w:szCs w:val="20"/>
                <w:lang w:val="en-US"/>
              </w:rPr>
            </w:pPr>
            <w:r w:rsidRPr="0050231C">
              <w:rPr>
                <w:rFonts w:ascii="Times New Roman" w:eastAsia="Times New Roman" w:hAnsi="Times New Roman" w:cs="Times New Roman"/>
                <w:color w:val="000000" w:themeColor="text1"/>
                <w:sz w:val="20"/>
                <w:szCs w:val="20"/>
                <w:lang w:val="en-US"/>
              </w:rPr>
              <w:t>Policies and Procedures</w:t>
            </w:r>
            <w:r w:rsidRPr="0050231C">
              <w:rPr>
                <w:rFonts w:ascii="Times New Roman" w:eastAsia="Times New Roman" w:hAnsi="Times New Roman" w:cs="Times New Roman"/>
                <w:i/>
                <w:iCs/>
                <w:color w:val="000000" w:themeColor="text1"/>
                <w:sz w:val="20"/>
                <w:szCs w:val="20"/>
                <w:lang w:val="en-US"/>
              </w:rPr>
              <w:t xml:space="preserve"> – the policies you are required to implement in your teaching</w:t>
            </w:r>
          </w:p>
        </w:tc>
        <w:tc>
          <w:tcPr>
            <w:tcW w:w="641" w:type="pct"/>
            <w:tcBorders>
              <w:top w:val="nil"/>
              <w:left w:val="nil"/>
              <w:bottom w:val="nil"/>
              <w:right w:val="nil"/>
            </w:tcBorders>
            <w:shd w:val="clear" w:color="auto" w:fill="auto"/>
            <w:vAlign w:val="center"/>
            <w:hideMark/>
          </w:tcPr>
          <w:p w:rsidR="006755F8" w:rsidRPr="0050231C" w:rsidRDefault="006755F8" w:rsidP="005F0DF0">
            <w:pPr>
              <w:spacing w:after="0" w:line="240" w:lineRule="auto"/>
              <w:jc w:val="center"/>
              <w:rPr>
                <w:rFonts w:ascii="Times New Roman" w:eastAsia="Times New Roman" w:hAnsi="Times New Roman" w:cs="Times New Roman"/>
                <w:color w:val="000000" w:themeColor="text1"/>
                <w:sz w:val="20"/>
                <w:szCs w:val="20"/>
                <w:lang w:val="en-US"/>
              </w:rPr>
            </w:pPr>
            <w:r w:rsidRPr="0050231C">
              <w:rPr>
                <w:rFonts w:ascii="Times New Roman" w:eastAsia="Times New Roman" w:hAnsi="Times New Roman" w:cs="Times New Roman"/>
                <w:color w:val="000000" w:themeColor="text1"/>
                <w:sz w:val="20"/>
                <w:szCs w:val="20"/>
                <w:lang w:val="en-US"/>
              </w:rPr>
              <w:t>1.18</w:t>
            </w:r>
          </w:p>
        </w:tc>
      </w:tr>
      <w:tr w:rsidR="006755F8" w:rsidRPr="00097A76" w:rsidTr="005F0DF0">
        <w:trPr>
          <w:trHeight w:val="300"/>
        </w:trPr>
        <w:tc>
          <w:tcPr>
            <w:tcW w:w="501" w:type="pct"/>
            <w:tcBorders>
              <w:top w:val="nil"/>
              <w:left w:val="nil"/>
              <w:right w:val="nil"/>
            </w:tcBorders>
            <w:shd w:val="clear" w:color="000000" w:fill="C8E3FF"/>
            <w:vAlign w:val="center"/>
            <w:hideMark/>
          </w:tcPr>
          <w:p w:rsidR="006755F8" w:rsidRPr="0050231C" w:rsidRDefault="006755F8" w:rsidP="005F0DF0">
            <w:pPr>
              <w:spacing w:after="0" w:line="240" w:lineRule="auto"/>
              <w:jc w:val="center"/>
              <w:rPr>
                <w:rFonts w:ascii="Times New Roman" w:eastAsia="Times New Roman" w:hAnsi="Times New Roman" w:cs="Times New Roman"/>
                <w:color w:val="000000" w:themeColor="text1"/>
                <w:sz w:val="20"/>
                <w:szCs w:val="20"/>
                <w:lang w:val="en-US"/>
              </w:rPr>
            </w:pPr>
            <w:r w:rsidRPr="0050231C">
              <w:rPr>
                <w:rFonts w:ascii="Times New Roman" w:eastAsia="Times New Roman" w:hAnsi="Times New Roman" w:cs="Times New Roman"/>
                <w:color w:val="000000" w:themeColor="text1"/>
                <w:sz w:val="20"/>
                <w:szCs w:val="20"/>
                <w:lang w:val="en-US"/>
              </w:rPr>
              <w:t>30</w:t>
            </w:r>
          </w:p>
        </w:tc>
        <w:tc>
          <w:tcPr>
            <w:tcW w:w="3857" w:type="pct"/>
            <w:tcBorders>
              <w:top w:val="nil"/>
              <w:left w:val="nil"/>
              <w:right w:val="nil"/>
            </w:tcBorders>
            <w:shd w:val="clear" w:color="000000" w:fill="C8E3FF"/>
            <w:vAlign w:val="center"/>
            <w:hideMark/>
          </w:tcPr>
          <w:p w:rsidR="006755F8" w:rsidRPr="0050231C" w:rsidRDefault="006755F8" w:rsidP="005F0DF0">
            <w:pPr>
              <w:spacing w:after="0" w:line="240" w:lineRule="auto"/>
              <w:rPr>
                <w:rFonts w:ascii="Times New Roman" w:eastAsia="Times New Roman" w:hAnsi="Times New Roman" w:cs="Times New Roman"/>
                <w:color w:val="000000" w:themeColor="text1"/>
                <w:sz w:val="20"/>
                <w:szCs w:val="20"/>
                <w:lang w:val="en-US"/>
              </w:rPr>
            </w:pPr>
            <w:r w:rsidRPr="0050231C">
              <w:rPr>
                <w:rFonts w:ascii="Times New Roman" w:eastAsia="Times New Roman" w:hAnsi="Times New Roman" w:cs="Times New Roman"/>
                <w:color w:val="000000" w:themeColor="text1"/>
                <w:sz w:val="20"/>
                <w:szCs w:val="20"/>
                <w:lang w:val="en-US"/>
              </w:rPr>
              <w:t>Parental Expectations</w:t>
            </w:r>
            <w:r w:rsidRPr="0050231C">
              <w:rPr>
                <w:rFonts w:ascii="Times New Roman" w:eastAsia="Times New Roman" w:hAnsi="Times New Roman" w:cs="Times New Roman"/>
                <w:i/>
                <w:iCs/>
                <w:color w:val="000000" w:themeColor="text1"/>
                <w:sz w:val="20"/>
                <w:szCs w:val="20"/>
                <w:lang w:val="en-US"/>
              </w:rPr>
              <w:t xml:space="preserve"> – the parents’ expectations of you as a teacher</w:t>
            </w:r>
          </w:p>
        </w:tc>
        <w:tc>
          <w:tcPr>
            <w:tcW w:w="641" w:type="pct"/>
            <w:tcBorders>
              <w:top w:val="nil"/>
              <w:left w:val="nil"/>
              <w:right w:val="nil"/>
            </w:tcBorders>
            <w:shd w:val="clear" w:color="000000" w:fill="C8E3FF"/>
            <w:vAlign w:val="center"/>
            <w:hideMark/>
          </w:tcPr>
          <w:p w:rsidR="006755F8" w:rsidRPr="0050231C" w:rsidRDefault="006755F8" w:rsidP="005F0DF0">
            <w:pPr>
              <w:spacing w:after="0" w:line="240" w:lineRule="auto"/>
              <w:jc w:val="center"/>
              <w:rPr>
                <w:rFonts w:ascii="Times New Roman" w:eastAsia="Times New Roman" w:hAnsi="Times New Roman" w:cs="Times New Roman"/>
                <w:color w:val="000000" w:themeColor="text1"/>
                <w:sz w:val="20"/>
                <w:szCs w:val="20"/>
                <w:lang w:val="en-US"/>
              </w:rPr>
            </w:pPr>
            <w:r w:rsidRPr="0050231C">
              <w:rPr>
                <w:rFonts w:ascii="Times New Roman" w:eastAsia="Times New Roman" w:hAnsi="Times New Roman" w:cs="Times New Roman"/>
                <w:color w:val="000000" w:themeColor="text1"/>
                <w:sz w:val="20"/>
                <w:szCs w:val="20"/>
                <w:lang w:val="en-US"/>
              </w:rPr>
              <w:t>1.12</w:t>
            </w:r>
          </w:p>
        </w:tc>
      </w:tr>
      <w:tr w:rsidR="006755F8" w:rsidRPr="00097A76" w:rsidTr="005F0DF0">
        <w:trPr>
          <w:trHeight w:val="300"/>
        </w:trPr>
        <w:tc>
          <w:tcPr>
            <w:tcW w:w="501" w:type="pct"/>
            <w:tcBorders>
              <w:top w:val="nil"/>
              <w:left w:val="nil"/>
              <w:bottom w:val="single" w:sz="4" w:space="0" w:color="auto"/>
              <w:right w:val="nil"/>
            </w:tcBorders>
            <w:shd w:val="clear" w:color="auto" w:fill="auto"/>
            <w:vAlign w:val="center"/>
            <w:hideMark/>
          </w:tcPr>
          <w:p w:rsidR="006755F8" w:rsidRPr="0050231C" w:rsidRDefault="006755F8" w:rsidP="005F0DF0">
            <w:pPr>
              <w:spacing w:after="0" w:line="240" w:lineRule="auto"/>
              <w:jc w:val="center"/>
              <w:rPr>
                <w:rFonts w:ascii="Times New Roman" w:eastAsia="Times New Roman" w:hAnsi="Times New Roman" w:cs="Times New Roman"/>
                <w:color w:val="000000" w:themeColor="text1"/>
                <w:sz w:val="20"/>
                <w:szCs w:val="20"/>
                <w:lang w:val="en-US"/>
              </w:rPr>
            </w:pPr>
            <w:r w:rsidRPr="0050231C">
              <w:rPr>
                <w:rFonts w:ascii="Times New Roman" w:eastAsia="Times New Roman" w:hAnsi="Times New Roman" w:cs="Times New Roman"/>
                <w:color w:val="000000" w:themeColor="text1"/>
                <w:sz w:val="20"/>
                <w:szCs w:val="20"/>
                <w:lang w:val="en-US"/>
              </w:rPr>
              <w:t>31</w:t>
            </w:r>
          </w:p>
        </w:tc>
        <w:tc>
          <w:tcPr>
            <w:tcW w:w="3857" w:type="pct"/>
            <w:tcBorders>
              <w:top w:val="nil"/>
              <w:left w:val="nil"/>
              <w:bottom w:val="single" w:sz="4" w:space="0" w:color="auto"/>
              <w:right w:val="nil"/>
            </w:tcBorders>
            <w:shd w:val="clear" w:color="auto" w:fill="auto"/>
            <w:vAlign w:val="center"/>
            <w:hideMark/>
          </w:tcPr>
          <w:p w:rsidR="006755F8" w:rsidRPr="0050231C" w:rsidRDefault="006755F8" w:rsidP="005F0DF0">
            <w:pPr>
              <w:spacing w:after="0" w:line="240" w:lineRule="auto"/>
              <w:rPr>
                <w:rFonts w:ascii="Times New Roman" w:eastAsia="Times New Roman" w:hAnsi="Times New Roman" w:cs="Times New Roman"/>
                <w:color w:val="000000" w:themeColor="text1"/>
                <w:sz w:val="20"/>
                <w:szCs w:val="20"/>
                <w:lang w:val="en-US"/>
              </w:rPr>
            </w:pPr>
            <w:proofErr w:type="spellStart"/>
            <w:r w:rsidRPr="0050231C">
              <w:rPr>
                <w:rFonts w:ascii="Times New Roman" w:eastAsia="Times New Roman" w:hAnsi="Times New Roman" w:cs="Times New Roman"/>
                <w:color w:val="000000" w:themeColor="text1"/>
                <w:sz w:val="20"/>
                <w:szCs w:val="20"/>
                <w:lang w:val="en-US"/>
              </w:rPr>
              <w:t>Socialising</w:t>
            </w:r>
            <w:proofErr w:type="spellEnd"/>
            <w:r w:rsidRPr="0050231C">
              <w:rPr>
                <w:rFonts w:ascii="Times New Roman" w:eastAsia="Times New Roman" w:hAnsi="Times New Roman" w:cs="Times New Roman"/>
                <w:color w:val="000000" w:themeColor="text1"/>
                <w:sz w:val="20"/>
                <w:szCs w:val="20"/>
                <w:lang w:val="en-US"/>
              </w:rPr>
              <w:t xml:space="preserve"> </w:t>
            </w:r>
            <w:r w:rsidRPr="0050231C">
              <w:rPr>
                <w:rFonts w:ascii="Times New Roman" w:eastAsia="Times New Roman" w:hAnsi="Times New Roman" w:cs="Times New Roman"/>
                <w:i/>
                <w:iCs/>
                <w:color w:val="000000" w:themeColor="text1"/>
                <w:sz w:val="20"/>
                <w:szCs w:val="20"/>
                <w:lang w:val="en-US"/>
              </w:rPr>
              <w:t>– opportunities to participate in social activities</w:t>
            </w:r>
          </w:p>
        </w:tc>
        <w:tc>
          <w:tcPr>
            <w:tcW w:w="641" w:type="pct"/>
            <w:tcBorders>
              <w:top w:val="nil"/>
              <w:left w:val="nil"/>
              <w:bottom w:val="single" w:sz="4" w:space="0" w:color="auto"/>
              <w:right w:val="nil"/>
            </w:tcBorders>
            <w:shd w:val="clear" w:color="auto" w:fill="auto"/>
            <w:vAlign w:val="center"/>
            <w:hideMark/>
          </w:tcPr>
          <w:p w:rsidR="006755F8" w:rsidRPr="0050231C" w:rsidRDefault="006755F8" w:rsidP="005F0DF0">
            <w:pPr>
              <w:spacing w:after="0" w:line="240" w:lineRule="auto"/>
              <w:jc w:val="center"/>
              <w:rPr>
                <w:rFonts w:ascii="Times New Roman" w:eastAsia="Times New Roman" w:hAnsi="Times New Roman" w:cs="Times New Roman"/>
                <w:color w:val="000000" w:themeColor="text1"/>
                <w:sz w:val="20"/>
                <w:szCs w:val="20"/>
                <w:lang w:val="en-US"/>
              </w:rPr>
            </w:pPr>
            <w:r w:rsidRPr="0050231C">
              <w:rPr>
                <w:rFonts w:ascii="Times New Roman" w:eastAsia="Times New Roman" w:hAnsi="Times New Roman" w:cs="Times New Roman"/>
                <w:color w:val="000000" w:themeColor="text1"/>
                <w:sz w:val="20"/>
                <w:szCs w:val="20"/>
                <w:lang w:val="en-US"/>
              </w:rPr>
              <w:t>1.00</w:t>
            </w:r>
          </w:p>
        </w:tc>
      </w:tr>
    </w:tbl>
    <w:p w:rsidR="006755F8" w:rsidRDefault="006755F8" w:rsidP="006755F8">
      <w:pPr>
        <w:rPr>
          <w:vertAlign w:val="superscript"/>
        </w:rPr>
      </w:pPr>
    </w:p>
    <w:p w:rsidR="0023757D" w:rsidRDefault="0023757D" w:rsidP="00073B55"/>
    <w:sectPr w:rsidR="0023757D" w:rsidSect="005F1751">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F2C" w:rsidRDefault="00840F2C">
      <w:pPr>
        <w:pPrChange w:id="1" w:author="867558" w:date="2012-07-24T14:28:00Z">
          <w:pPr>
            <w:spacing w:after="0" w:line="240" w:lineRule="auto"/>
          </w:pPr>
        </w:pPrChange>
      </w:pPr>
      <w:r>
        <w:separator/>
      </w:r>
    </w:p>
  </w:endnote>
  <w:endnote w:type="continuationSeparator" w:id="0">
    <w:p w:rsidR="00840F2C" w:rsidRDefault="00840F2C">
      <w:pPr>
        <w:pPrChange w:id="2" w:author="867558" w:date="2012-07-24T14:28:00Z">
          <w:pPr>
            <w:spacing w:after="0" w:line="240" w:lineRule="auto"/>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0297"/>
      <w:docPartObj>
        <w:docPartGallery w:val="Page Numbers (Bottom of Page)"/>
        <w:docPartUnique/>
      </w:docPartObj>
    </w:sdtPr>
    <w:sdtEndPr/>
    <w:sdtContent>
      <w:sdt>
        <w:sdtPr>
          <w:id w:val="565050523"/>
          <w:docPartObj>
            <w:docPartGallery w:val="Page Numbers (Top of Page)"/>
            <w:docPartUnique/>
          </w:docPartObj>
        </w:sdtPr>
        <w:sdtEndPr/>
        <w:sdtContent>
          <w:p w:rsidR="00840F2C" w:rsidRDefault="00840F2C">
            <w:pPr>
              <w:pStyle w:val="Footer"/>
            </w:pPr>
            <w:r>
              <w:t xml:space="preserve">Page </w:t>
            </w:r>
            <w:r w:rsidR="00FF068D">
              <w:fldChar w:fldCharType="begin"/>
            </w:r>
            <w:r w:rsidR="00FF068D">
              <w:instrText xml:space="preserve"> PAGE </w:instrText>
            </w:r>
            <w:r w:rsidR="00FF068D">
              <w:fldChar w:fldCharType="separate"/>
            </w:r>
            <w:r w:rsidR="00FF068D">
              <w:rPr>
                <w:noProof/>
              </w:rPr>
              <w:t>22</w:t>
            </w:r>
            <w:r w:rsidR="00FF068D">
              <w:rPr>
                <w:noProof/>
              </w:rPr>
              <w:fldChar w:fldCharType="end"/>
            </w:r>
            <w:r>
              <w:t xml:space="preserve"> of </w:t>
            </w:r>
            <w:r w:rsidR="00FF068D">
              <w:fldChar w:fldCharType="begin"/>
            </w:r>
            <w:r w:rsidR="00FF068D">
              <w:instrText xml:space="preserve"> NUMPAGES  </w:instrText>
            </w:r>
            <w:r w:rsidR="00FF068D">
              <w:fldChar w:fldCharType="separate"/>
            </w:r>
            <w:r w:rsidR="00FF068D">
              <w:rPr>
                <w:noProof/>
              </w:rPr>
              <w:t>22</w:t>
            </w:r>
            <w:r w:rsidR="00FF068D">
              <w:rPr>
                <w:noProof/>
              </w:rPr>
              <w:fldChar w:fldCharType="end"/>
            </w:r>
          </w:p>
        </w:sdtContent>
      </w:sdt>
    </w:sdtContent>
  </w:sdt>
  <w:p w:rsidR="00840F2C" w:rsidRDefault="00840F2C" w:rsidP="00073B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F2C" w:rsidRDefault="00840F2C">
      <w:r>
        <w:separator/>
      </w:r>
    </w:p>
  </w:footnote>
  <w:footnote w:type="continuationSeparator" w:id="0">
    <w:p w:rsidR="00840F2C" w:rsidRDefault="00840F2C">
      <w:pPr>
        <w:pPrChange w:id="0" w:author="867558" w:date="2012-07-24T14:28:00Z">
          <w:pPr>
            <w:spacing w:after="0" w:line="240" w:lineRule="auto"/>
          </w:pPr>
        </w:pPrChange>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94EFB7E"/>
    <w:lvl w:ilvl="0">
      <w:start w:val="1"/>
      <w:numFmt w:val="bullet"/>
      <w:pStyle w:val="ListBullet3"/>
      <w:lvlText w:val=""/>
      <w:lvlJc w:val="left"/>
      <w:pPr>
        <w:tabs>
          <w:tab w:val="num" w:pos="926"/>
        </w:tabs>
        <w:ind w:left="926" w:hanging="360"/>
      </w:pPr>
      <w:rPr>
        <w:rFonts w:ascii="Symbol" w:hAnsi="Symbol" w:hint="default"/>
        <w:sz w:val="20"/>
        <w:szCs w:val="20"/>
      </w:rPr>
    </w:lvl>
  </w:abstractNum>
  <w:abstractNum w:abstractNumId="1">
    <w:nsid w:val="09E7044B"/>
    <w:multiLevelType w:val="hybridMultilevel"/>
    <w:tmpl w:val="301E6DE0"/>
    <w:lvl w:ilvl="0" w:tplc="0C09000F">
      <w:start w:val="1"/>
      <w:numFmt w:val="decimal"/>
      <w:lvlText w:val="%1."/>
      <w:lvlJc w:val="left"/>
      <w:pPr>
        <w:ind w:left="720" w:hanging="360"/>
      </w:pPr>
      <w:rPr>
        <w:rFonts w:hint="default"/>
      </w:rPr>
    </w:lvl>
    <w:lvl w:ilvl="1" w:tplc="0C09000F">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9557627"/>
    <w:multiLevelType w:val="multilevel"/>
    <w:tmpl w:val="EAA2DB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B3C44CE"/>
    <w:multiLevelType w:val="hybridMultilevel"/>
    <w:tmpl w:val="C5D0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CF4C82"/>
    <w:multiLevelType w:val="multilevel"/>
    <w:tmpl w:val="BFDAA6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2454A21"/>
    <w:multiLevelType w:val="hybridMultilevel"/>
    <w:tmpl w:val="595EFCEA"/>
    <w:lvl w:ilvl="0" w:tplc="837CC49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55F32FE"/>
    <w:multiLevelType w:val="multilevel"/>
    <w:tmpl w:val="CE18EC1C"/>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nsid w:val="6CB07813"/>
    <w:multiLevelType w:val="hybridMultilevel"/>
    <w:tmpl w:val="301E6DE0"/>
    <w:lvl w:ilvl="0" w:tplc="0C09000F">
      <w:start w:val="1"/>
      <w:numFmt w:val="decimal"/>
      <w:lvlText w:val="%1."/>
      <w:lvlJc w:val="left"/>
      <w:pPr>
        <w:ind w:left="720" w:hanging="360"/>
      </w:pPr>
      <w:rPr>
        <w:rFonts w:hint="default"/>
      </w:rPr>
    </w:lvl>
    <w:lvl w:ilvl="1" w:tplc="0C09000F">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12205EB"/>
    <w:multiLevelType w:val="hybridMultilevel"/>
    <w:tmpl w:val="75DCF19E"/>
    <w:lvl w:ilvl="0" w:tplc="04090003">
      <w:start w:val="1"/>
      <w:numFmt w:val="bullet"/>
      <w:lvlText w:val="o"/>
      <w:lvlJc w:val="left"/>
      <w:pPr>
        <w:ind w:left="1646" w:hanging="360"/>
      </w:pPr>
      <w:rPr>
        <w:rFonts w:ascii="Courier New" w:hAnsi="Courier New" w:cs="Courier New" w:hint="default"/>
      </w:rPr>
    </w:lvl>
    <w:lvl w:ilvl="1" w:tplc="04090003" w:tentative="1">
      <w:start w:val="1"/>
      <w:numFmt w:val="bullet"/>
      <w:lvlText w:val="o"/>
      <w:lvlJc w:val="left"/>
      <w:pPr>
        <w:ind w:left="2366" w:hanging="360"/>
      </w:pPr>
      <w:rPr>
        <w:rFonts w:ascii="Courier New" w:hAnsi="Courier New" w:cs="Courier New" w:hint="default"/>
      </w:rPr>
    </w:lvl>
    <w:lvl w:ilvl="2" w:tplc="04090005" w:tentative="1">
      <w:start w:val="1"/>
      <w:numFmt w:val="bullet"/>
      <w:lvlText w:val=""/>
      <w:lvlJc w:val="left"/>
      <w:pPr>
        <w:ind w:left="3086" w:hanging="360"/>
      </w:pPr>
      <w:rPr>
        <w:rFonts w:ascii="Wingdings" w:hAnsi="Wingdings" w:hint="default"/>
      </w:rPr>
    </w:lvl>
    <w:lvl w:ilvl="3" w:tplc="04090001" w:tentative="1">
      <w:start w:val="1"/>
      <w:numFmt w:val="bullet"/>
      <w:lvlText w:val=""/>
      <w:lvlJc w:val="left"/>
      <w:pPr>
        <w:ind w:left="3806" w:hanging="360"/>
      </w:pPr>
      <w:rPr>
        <w:rFonts w:ascii="Symbol" w:hAnsi="Symbol" w:hint="default"/>
      </w:rPr>
    </w:lvl>
    <w:lvl w:ilvl="4" w:tplc="04090003" w:tentative="1">
      <w:start w:val="1"/>
      <w:numFmt w:val="bullet"/>
      <w:lvlText w:val="o"/>
      <w:lvlJc w:val="left"/>
      <w:pPr>
        <w:ind w:left="4526" w:hanging="360"/>
      </w:pPr>
      <w:rPr>
        <w:rFonts w:ascii="Courier New" w:hAnsi="Courier New" w:cs="Courier New" w:hint="default"/>
      </w:rPr>
    </w:lvl>
    <w:lvl w:ilvl="5" w:tplc="04090005" w:tentative="1">
      <w:start w:val="1"/>
      <w:numFmt w:val="bullet"/>
      <w:lvlText w:val=""/>
      <w:lvlJc w:val="left"/>
      <w:pPr>
        <w:ind w:left="5246" w:hanging="360"/>
      </w:pPr>
      <w:rPr>
        <w:rFonts w:ascii="Wingdings" w:hAnsi="Wingdings" w:hint="default"/>
      </w:rPr>
    </w:lvl>
    <w:lvl w:ilvl="6" w:tplc="04090001" w:tentative="1">
      <w:start w:val="1"/>
      <w:numFmt w:val="bullet"/>
      <w:lvlText w:val=""/>
      <w:lvlJc w:val="left"/>
      <w:pPr>
        <w:ind w:left="5966" w:hanging="360"/>
      </w:pPr>
      <w:rPr>
        <w:rFonts w:ascii="Symbol" w:hAnsi="Symbol" w:hint="default"/>
      </w:rPr>
    </w:lvl>
    <w:lvl w:ilvl="7" w:tplc="04090003" w:tentative="1">
      <w:start w:val="1"/>
      <w:numFmt w:val="bullet"/>
      <w:lvlText w:val="o"/>
      <w:lvlJc w:val="left"/>
      <w:pPr>
        <w:ind w:left="6686" w:hanging="360"/>
      </w:pPr>
      <w:rPr>
        <w:rFonts w:ascii="Courier New" w:hAnsi="Courier New" w:cs="Courier New" w:hint="default"/>
      </w:rPr>
    </w:lvl>
    <w:lvl w:ilvl="8" w:tplc="04090005" w:tentative="1">
      <w:start w:val="1"/>
      <w:numFmt w:val="bullet"/>
      <w:lvlText w:val=""/>
      <w:lvlJc w:val="left"/>
      <w:pPr>
        <w:ind w:left="7406" w:hanging="360"/>
      </w:pPr>
      <w:rPr>
        <w:rFonts w:ascii="Wingdings" w:hAnsi="Wingdings" w:hint="default"/>
      </w:rPr>
    </w:lvl>
  </w:abstractNum>
  <w:num w:numId="1">
    <w:abstractNumId w:val="0"/>
  </w:num>
  <w:num w:numId="2">
    <w:abstractNumId w:val="8"/>
  </w:num>
  <w:num w:numId="3">
    <w:abstractNumId w:val="1"/>
  </w:num>
  <w:num w:numId="4">
    <w:abstractNumId w:val="6"/>
  </w:num>
  <w:num w:numId="5">
    <w:abstractNumId w:val="2"/>
  </w:num>
  <w:num w:numId="6">
    <w:abstractNumId w:val="4"/>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46833"/>
    <w:rsid w:val="00005E8E"/>
    <w:rsid w:val="00013FB6"/>
    <w:rsid w:val="000141E5"/>
    <w:rsid w:val="00014CA4"/>
    <w:rsid w:val="00021F92"/>
    <w:rsid w:val="00022946"/>
    <w:rsid w:val="00025FD6"/>
    <w:rsid w:val="00032A8A"/>
    <w:rsid w:val="0003735E"/>
    <w:rsid w:val="00060338"/>
    <w:rsid w:val="00062449"/>
    <w:rsid w:val="00073B55"/>
    <w:rsid w:val="00087141"/>
    <w:rsid w:val="000879D5"/>
    <w:rsid w:val="00093269"/>
    <w:rsid w:val="000939D6"/>
    <w:rsid w:val="0009495D"/>
    <w:rsid w:val="00095853"/>
    <w:rsid w:val="000A2EB7"/>
    <w:rsid w:val="000A61D1"/>
    <w:rsid w:val="000B72E5"/>
    <w:rsid w:val="000D3798"/>
    <w:rsid w:val="000D582E"/>
    <w:rsid w:val="000E6669"/>
    <w:rsid w:val="000F4BD9"/>
    <w:rsid w:val="0010448E"/>
    <w:rsid w:val="00105011"/>
    <w:rsid w:val="00112998"/>
    <w:rsid w:val="001154C1"/>
    <w:rsid w:val="001447BF"/>
    <w:rsid w:val="00146A5A"/>
    <w:rsid w:val="00153A15"/>
    <w:rsid w:val="00171D1F"/>
    <w:rsid w:val="00177E8B"/>
    <w:rsid w:val="001A750F"/>
    <w:rsid w:val="001C03CC"/>
    <w:rsid w:val="001C2A80"/>
    <w:rsid w:val="001C71CB"/>
    <w:rsid w:val="001D1E21"/>
    <w:rsid w:val="001D29F5"/>
    <w:rsid w:val="001D4666"/>
    <w:rsid w:val="001E27C8"/>
    <w:rsid w:val="001E33C5"/>
    <w:rsid w:val="001E7B36"/>
    <w:rsid w:val="00200054"/>
    <w:rsid w:val="002036BA"/>
    <w:rsid w:val="00210420"/>
    <w:rsid w:val="00223D18"/>
    <w:rsid w:val="002305C7"/>
    <w:rsid w:val="0023545F"/>
    <w:rsid w:val="0023757D"/>
    <w:rsid w:val="00247281"/>
    <w:rsid w:val="00264BD0"/>
    <w:rsid w:val="002658C6"/>
    <w:rsid w:val="00284D3B"/>
    <w:rsid w:val="00286DF8"/>
    <w:rsid w:val="002A6508"/>
    <w:rsid w:val="002A7DB2"/>
    <w:rsid w:val="002B2BAC"/>
    <w:rsid w:val="002B3994"/>
    <w:rsid w:val="002B4F04"/>
    <w:rsid w:val="002B4FB4"/>
    <w:rsid w:val="002D00D7"/>
    <w:rsid w:val="002D2B2C"/>
    <w:rsid w:val="002D5A96"/>
    <w:rsid w:val="002E39EB"/>
    <w:rsid w:val="002E515F"/>
    <w:rsid w:val="002E6231"/>
    <w:rsid w:val="002F588D"/>
    <w:rsid w:val="00304C30"/>
    <w:rsid w:val="0030533B"/>
    <w:rsid w:val="003172E7"/>
    <w:rsid w:val="00325BE6"/>
    <w:rsid w:val="00327DFC"/>
    <w:rsid w:val="00331A72"/>
    <w:rsid w:val="00342CA8"/>
    <w:rsid w:val="00354068"/>
    <w:rsid w:val="0035558B"/>
    <w:rsid w:val="00367E07"/>
    <w:rsid w:val="00387448"/>
    <w:rsid w:val="00387F69"/>
    <w:rsid w:val="003A0A6F"/>
    <w:rsid w:val="003A395D"/>
    <w:rsid w:val="003B2001"/>
    <w:rsid w:val="003B3E56"/>
    <w:rsid w:val="003B55BA"/>
    <w:rsid w:val="003C0A78"/>
    <w:rsid w:val="003C3241"/>
    <w:rsid w:val="003C5CF3"/>
    <w:rsid w:val="003C76CD"/>
    <w:rsid w:val="003D25E5"/>
    <w:rsid w:val="003E7914"/>
    <w:rsid w:val="003F79DC"/>
    <w:rsid w:val="00422D62"/>
    <w:rsid w:val="00425E05"/>
    <w:rsid w:val="004301E1"/>
    <w:rsid w:val="00437ED0"/>
    <w:rsid w:val="00452868"/>
    <w:rsid w:val="0045797D"/>
    <w:rsid w:val="00464576"/>
    <w:rsid w:val="00482720"/>
    <w:rsid w:val="00482EF7"/>
    <w:rsid w:val="004B121D"/>
    <w:rsid w:val="004B4818"/>
    <w:rsid w:val="004C0CE0"/>
    <w:rsid w:val="004C3E79"/>
    <w:rsid w:val="004C458C"/>
    <w:rsid w:val="004D5F0D"/>
    <w:rsid w:val="004D6280"/>
    <w:rsid w:val="004E224D"/>
    <w:rsid w:val="004F0ED4"/>
    <w:rsid w:val="004F794C"/>
    <w:rsid w:val="004F7F23"/>
    <w:rsid w:val="0051191C"/>
    <w:rsid w:val="00513C90"/>
    <w:rsid w:val="00550BEB"/>
    <w:rsid w:val="00556995"/>
    <w:rsid w:val="00572493"/>
    <w:rsid w:val="005738C9"/>
    <w:rsid w:val="00575D31"/>
    <w:rsid w:val="00581EC8"/>
    <w:rsid w:val="00587501"/>
    <w:rsid w:val="0059612E"/>
    <w:rsid w:val="00597278"/>
    <w:rsid w:val="005A32B7"/>
    <w:rsid w:val="005A6D1D"/>
    <w:rsid w:val="005B1FDA"/>
    <w:rsid w:val="005B2A54"/>
    <w:rsid w:val="005B3123"/>
    <w:rsid w:val="005C56DE"/>
    <w:rsid w:val="005E347D"/>
    <w:rsid w:val="005E3E8D"/>
    <w:rsid w:val="005E636F"/>
    <w:rsid w:val="005E7E69"/>
    <w:rsid w:val="005F0DF0"/>
    <w:rsid w:val="005F1751"/>
    <w:rsid w:val="005F2D57"/>
    <w:rsid w:val="005F5CFB"/>
    <w:rsid w:val="00601145"/>
    <w:rsid w:val="00601B29"/>
    <w:rsid w:val="00605E28"/>
    <w:rsid w:val="00614BC6"/>
    <w:rsid w:val="00616D99"/>
    <w:rsid w:val="00621103"/>
    <w:rsid w:val="0062354A"/>
    <w:rsid w:val="00642463"/>
    <w:rsid w:val="0064379C"/>
    <w:rsid w:val="00655385"/>
    <w:rsid w:val="006555A8"/>
    <w:rsid w:val="00661699"/>
    <w:rsid w:val="00661AA2"/>
    <w:rsid w:val="00661B99"/>
    <w:rsid w:val="006713C8"/>
    <w:rsid w:val="006729BE"/>
    <w:rsid w:val="0067547E"/>
    <w:rsid w:val="006755F8"/>
    <w:rsid w:val="006803E5"/>
    <w:rsid w:val="00683A97"/>
    <w:rsid w:val="00683CE5"/>
    <w:rsid w:val="0069281D"/>
    <w:rsid w:val="00692A92"/>
    <w:rsid w:val="00692EE5"/>
    <w:rsid w:val="006945FA"/>
    <w:rsid w:val="006B0A72"/>
    <w:rsid w:val="006B36CE"/>
    <w:rsid w:val="006B420F"/>
    <w:rsid w:val="006B6209"/>
    <w:rsid w:val="006C296F"/>
    <w:rsid w:val="006C3489"/>
    <w:rsid w:val="006C727B"/>
    <w:rsid w:val="006D1D78"/>
    <w:rsid w:val="006F1B1A"/>
    <w:rsid w:val="006F3CD3"/>
    <w:rsid w:val="006F414E"/>
    <w:rsid w:val="006F4F53"/>
    <w:rsid w:val="00707A91"/>
    <w:rsid w:val="00721140"/>
    <w:rsid w:val="0072200E"/>
    <w:rsid w:val="00730B8F"/>
    <w:rsid w:val="00730CFB"/>
    <w:rsid w:val="00731964"/>
    <w:rsid w:val="007379B7"/>
    <w:rsid w:val="0074200C"/>
    <w:rsid w:val="0075096C"/>
    <w:rsid w:val="007515A5"/>
    <w:rsid w:val="00760DD9"/>
    <w:rsid w:val="00771CAD"/>
    <w:rsid w:val="0077645B"/>
    <w:rsid w:val="0078757F"/>
    <w:rsid w:val="00791AE7"/>
    <w:rsid w:val="00797253"/>
    <w:rsid w:val="007B6C7B"/>
    <w:rsid w:val="007B6D0A"/>
    <w:rsid w:val="007C4839"/>
    <w:rsid w:val="007C616C"/>
    <w:rsid w:val="007D1071"/>
    <w:rsid w:val="007D739E"/>
    <w:rsid w:val="00812375"/>
    <w:rsid w:val="00813EDE"/>
    <w:rsid w:val="00820256"/>
    <w:rsid w:val="00823A2D"/>
    <w:rsid w:val="00840F2C"/>
    <w:rsid w:val="00844497"/>
    <w:rsid w:val="00844F5F"/>
    <w:rsid w:val="00846053"/>
    <w:rsid w:val="00863226"/>
    <w:rsid w:val="00872AE2"/>
    <w:rsid w:val="0088068E"/>
    <w:rsid w:val="0088581D"/>
    <w:rsid w:val="00885E36"/>
    <w:rsid w:val="00894539"/>
    <w:rsid w:val="008B2124"/>
    <w:rsid w:val="008D2153"/>
    <w:rsid w:val="008E16C5"/>
    <w:rsid w:val="0090502E"/>
    <w:rsid w:val="00911BC3"/>
    <w:rsid w:val="00917C73"/>
    <w:rsid w:val="00930CEA"/>
    <w:rsid w:val="00936C01"/>
    <w:rsid w:val="009557CA"/>
    <w:rsid w:val="00955C7B"/>
    <w:rsid w:val="00974F9F"/>
    <w:rsid w:val="00980362"/>
    <w:rsid w:val="009D22B3"/>
    <w:rsid w:val="009D246E"/>
    <w:rsid w:val="009F25B7"/>
    <w:rsid w:val="00A00839"/>
    <w:rsid w:val="00A13F8F"/>
    <w:rsid w:val="00A250F9"/>
    <w:rsid w:val="00A32683"/>
    <w:rsid w:val="00A35D7D"/>
    <w:rsid w:val="00A407AF"/>
    <w:rsid w:val="00A57811"/>
    <w:rsid w:val="00A85180"/>
    <w:rsid w:val="00A879B3"/>
    <w:rsid w:val="00A923E0"/>
    <w:rsid w:val="00A92A69"/>
    <w:rsid w:val="00AA6837"/>
    <w:rsid w:val="00AB5541"/>
    <w:rsid w:val="00AB6448"/>
    <w:rsid w:val="00AC3F94"/>
    <w:rsid w:val="00AD03B7"/>
    <w:rsid w:val="00AE35A9"/>
    <w:rsid w:val="00AE5A9E"/>
    <w:rsid w:val="00AE72FA"/>
    <w:rsid w:val="00B009CB"/>
    <w:rsid w:val="00B00D04"/>
    <w:rsid w:val="00B059EE"/>
    <w:rsid w:val="00B063DE"/>
    <w:rsid w:val="00B21BEF"/>
    <w:rsid w:val="00B233C7"/>
    <w:rsid w:val="00B34303"/>
    <w:rsid w:val="00B43C11"/>
    <w:rsid w:val="00B45EFE"/>
    <w:rsid w:val="00B5206C"/>
    <w:rsid w:val="00B5258D"/>
    <w:rsid w:val="00B62278"/>
    <w:rsid w:val="00B636FA"/>
    <w:rsid w:val="00B63951"/>
    <w:rsid w:val="00B65FC4"/>
    <w:rsid w:val="00B73B5E"/>
    <w:rsid w:val="00B916D6"/>
    <w:rsid w:val="00B95988"/>
    <w:rsid w:val="00BA0E49"/>
    <w:rsid w:val="00BA26BE"/>
    <w:rsid w:val="00BC255A"/>
    <w:rsid w:val="00BC4FB1"/>
    <w:rsid w:val="00BD371A"/>
    <w:rsid w:val="00BD620B"/>
    <w:rsid w:val="00C06F61"/>
    <w:rsid w:val="00C1147F"/>
    <w:rsid w:val="00C35F4B"/>
    <w:rsid w:val="00C503F7"/>
    <w:rsid w:val="00C50E93"/>
    <w:rsid w:val="00C659C8"/>
    <w:rsid w:val="00C65FDD"/>
    <w:rsid w:val="00C71696"/>
    <w:rsid w:val="00C73465"/>
    <w:rsid w:val="00C7499C"/>
    <w:rsid w:val="00C77CD3"/>
    <w:rsid w:val="00C824BC"/>
    <w:rsid w:val="00CE35DD"/>
    <w:rsid w:val="00CE6331"/>
    <w:rsid w:val="00D11D0F"/>
    <w:rsid w:val="00D11E1B"/>
    <w:rsid w:val="00D146EA"/>
    <w:rsid w:val="00D20286"/>
    <w:rsid w:val="00D2558A"/>
    <w:rsid w:val="00D27089"/>
    <w:rsid w:val="00D3368A"/>
    <w:rsid w:val="00D35B0E"/>
    <w:rsid w:val="00D42E62"/>
    <w:rsid w:val="00D45A1B"/>
    <w:rsid w:val="00D56F68"/>
    <w:rsid w:val="00D57244"/>
    <w:rsid w:val="00D723E5"/>
    <w:rsid w:val="00D96C9E"/>
    <w:rsid w:val="00DA2C55"/>
    <w:rsid w:val="00DA613C"/>
    <w:rsid w:val="00DB28D7"/>
    <w:rsid w:val="00DB5621"/>
    <w:rsid w:val="00DB685C"/>
    <w:rsid w:val="00DB7760"/>
    <w:rsid w:val="00DD05DB"/>
    <w:rsid w:val="00DD1E25"/>
    <w:rsid w:val="00DD50A3"/>
    <w:rsid w:val="00DF0B27"/>
    <w:rsid w:val="00E106D4"/>
    <w:rsid w:val="00E14CB8"/>
    <w:rsid w:val="00E33016"/>
    <w:rsid w:val="00E43C33"/>
    <w:rsid w:val="00E45A18"/>
    <w:rsid w:val="00E46833"/>
    <w:rsid w:val="00E538E1"/>
    <w:rsid w:val="00E540F1"/>
    <w:rsid w:val="00E54D48"/>
    <w:rsid w:val="00E72198"/>
    <w:rsid w:val="00E77842"/>
    <w:rsid w:val="00E80BAA"/>
    <w:rsid w:val="00EA0CF5"/>
    <w:rsid w:val="00EA3BAD"/>
    <w:rsid w:val="00EA4009"/>
    <w:rsid w:val="00EA57BC"/>
    <w:rsid w:val="00EB571D"/>
    <w:rsid w:val="00EC1DD3"/>
    <w:rsid w:val="00EE1355"/>
    <w:rsid w:val="00EE6BEB"/>
    <w:rsid w:val="00EE71B0"/>
    <w:rsid w:val="00EF0D2B"/>
    <w:rsid w:val="00EF16A1"/>
    <w:rsid w:val="00EF3780"/>
    <w:rsid w:val="00F01210"/>
    <w:rsid w:val="00F1036A"/>
    <w:rsid w:val="00F111F6"/>
    <w:rsid w:val="00F14BA5"/>
    <w:rsid w:val="00F307BD"/>
    <w:rsid w:val="00F32ADC"/>
    <w:rsid w:val="00F37E28"/>
    <w:rsid w:val="00F51841"/>
    <w:rsid w:val="00F60ED9"/>
    <w:rsid w:val="00F63502"/>
    <w:rsid w:val="00F670BF"/>
    <w:rsid w:val="00F7025F"/>
    <w:rsid w:val="00F75F7D"/>
    <w:rsid w:val="00F9008F"/>
    <w:rsid w:val="00F921A7"/>
    <w:rsid w:val="00FA0933"/>
    <w:rsid w:val="00FA2B8C"/>
    <w:rsid w:val="00FA5B8A"/>
    <w:rsid w:val="00FA5F8A"/>
    <w:rsid w:val="00FB3FAC"/>
    <w:rsid w:val="00FC05F7"/>
    <w:rsid w:val="00FC3BC2"/>
    <w:rsid w:val="00FC541F"/>
    <w:rsid w:val="00FD4AFF"/>
    <w:rsid w:val="00FE6E30"/>
    <w:rsid w:val="00FF068D"/>
    <w:rsid w:val="00FF60C0"/>
    <w:rsid w:val="00FF789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7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D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D48"/>
  </w:style>
  <w:style w:type="paragraph" w:styleId="Footer">
    <w:name w:val="footer"/>
    <w:basedOn w:val="Normal"/>
    <w:link w:val="FooterChar"/>
    <w:uiPriority w:val="99"/>
    <w:unhideWhenUsed/>
    <w:rsid w:val="00E54D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D48"/>
  </w:style>
  <w:style w:type="paragraph" w:styleId="BalloonText">
    <w:name w:val="Balloon Text"/>
    <w:basedOn w:val="Normal"/>
    <w:link w:val="BalloonTextChar"/>
    <w:uiPriority w:val="99"/>
    <w:semiHidden/>
    <w:unhideWhenUsed/>
    <w:rsid w:val="00692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81D"/>
    <w:rPr>
      <w:rFonts w:ascii="Tahoma" w:hAnsi="Tahoma" w:cs="Tahoma"/>
      <w:sz w:val="16"/>
      <w:szCs w:val="16"/>
    </w:rPr>
  </w:style>
  <w:style w:type="character" w:styleId="Hyperlink">
    <w:name w:val="Hyperlink"/>
    <w:basedOn w:val="DefaultParagraphFont"/>
    <w:uiPriority w:val="99"/>
    <w:rsid w:val="005B3123"/>
    <w:rPr>
      <w:color w:val="0000FF"/>
      <w:u w:val="single"/>
    </w:rPr>
  </w:style>
  <w:style w:type="paragraph" w:styleId="ListBullet3">
    <w:name w:val="List Bullet 3"/>
    <w:basedOn w:val="Normal"/>
    <w:rsid w:val="002F588D"/>
    <w:pPr>
      <w:numPr>
        <w:numId w:val="1"/>
      </w:numPr>
      <w:spacing w:before="200"/>
      <w:contextualSpacing/>
    </w:pPr>
    <w:rPr>
      <w:rFonts w:ascii="Arial Narrow" w:eastAsiaTheme="minorEastAsia" w:hAnsi="Arial Narrow"/>
      <w:color w:val="000000"/>
      <w:sz w:val="20"/>
      <w:szCs w:val="20"/>
      <w:lang w:val="en-US" w:eastAsia="en-AU" w:bidi="en-US"/>
    </w:rPr>
  </w:style>
  <w:style w:type="character" w:styleId="CommentReference">
    <w:name w:val="annotation reference"/>
    <w:basedOn w:val="DefaultParagraphFont"/>
    <w:uiPriority w:val="99"/>
    <w:semiHidden/>
    <w:unhideWhenUsed/>
    <w:rsid w:val="00642463"/>
    <w:rPr>
      <w:sz w:val="16"/>
      <w:szCs w:val="16"/>
    </w:rPr>
  </w:style>
  <w:style w:type="paragraph" w:styleId="CommentText">
    <w:name w:val="annotation text"/>
    <w:basedOn w:val="Normal"/>
    <w:link w:val="CommentTextChar"/>
    <w:uiPriority w:val="99"/>
    <w:unhideWhenUsed/>
    <w:rsid w:val="00642463"/>
    <w:pPr>
      <w:spacing w:line="240" w:lineRule="auto"/>
    </w:pPr>
    <w:rPr>
      <w:sz w:val="20"/>
      <w:szCs w:val="20"/>
    </w:rPr>
  </w:style>
  <w:style w:type="character" w:customStyle="1" w:styleId="CommentTextChar">
    <w:name w:val="Comment Text Char"/>
    <w:basedOn w:val="DefaultParagraphFont"/>
    <w:link w:val="CommentText"/>
    <w:uiPriority w:val="99"/>
    <w:rsid w:val="00642463"/>
    <w:rPr>
      <w:sz w:val="20"/>
      <w:szCs w:val="20"/>
    </w:rPr>
  </w:style>
  <w:style w:type="paragraph" w:styleId="CommentSubject">
    <w:name w:val="annotation subject"/>
    <w:basedOn w:val="CommentText"/>
    <w:next w:val="CommentText"/>
    <w:link w:val="CommentSubjectChar"/>
    <w:uiPriority w:val="99"/>
    <w:semiHidden/>
    <w:unhideWhenUsed/>
    <w:rsid w:val="00642463"/>
    <w:rPr>
      <w:b/>
      <w:bCs/>
    </w:rPr>
  </w:style>
  <w:style w:type="character" w:customStyle="1" w:styleId="CommentSubjectChar">
    <w:name w:val="Comment Subject Char"/>
    <w:basedOn w:val="CommentTextChar"/>
    <w:link w:val="CommentSubject"/>
    <w:uiPriority w:val="99"/>
    <w:semiHidden/>
    <w:rsid w:val="00642463"/>
    <w:rPr>
      <w:b/>
      <w:bCs/>
      <w:sz w:val="20"/>
      <w:szCs w:val="20"/>
    </w:rPr>
  </w:style>
  <w:style w:type="paragraph" w:styleId="NoSpacing">
    <w:name w:val="No Spacing"/>
    <w:uiPriority w:val="1"/>
    <w:qFormat/>
    <w:rsid w:val="004F794C"/>
    <w:pPr>
      <w:spacing w:after="0" w:line="240" w:lineRule="auto"/>
    </w:pPr>
  </w:style>
  <w:style w:type="character" w:styleId="HTMLCite">
    <w:name w:val="HTML Cite"/>
    <w:basedOn w:val="DefaultParagraphFont"/>
    <w:uiPriority w:val="99"/>
    <w:unhideWhenUsed/>
    <w:rsid w:val="00A13F8F"/>
    <w:rPr>
      <w:i/>
      <w:iCs/>
    </w:rPr>
  </w:style>
  <w:style w:type="paragraph" w:styleId="BodyText2">
    <w:name w:val="Body Text 2"/>
    <w:basedOn w:val="Normal"/>
    <w:link w:val="BodyText2Char"/>
    <w:rsid w:val="002B4FB4"/>
    <w:pPr>
      <w:spacing w:after="120" w:line="480" w:lineRule="auto"/>
    </w:pPr>
    <w:rPr>
      <w:rFonts w:ascii="Calibri" w:eastAsia="Times New Roman" w:hAnsi="Calibri" w:cs="Times New Roman"/>
      <w:sz w:val="24"/>
      <w:szCs w:val="24"/>
      <w:lang w:val="en-US" w:bidi="en-US"/>
    </w:rPr>
  </w:style>
  <w:style w:type="character" w:customStyle="1" w:styleId="BodyText2Char">
    <w:name w:val="Body Text 2 Char"/>
    <w:basedOn w:val="DefaultParagraphFont"/>
    <w:link w:val="BodyText2"/>
    <w:rsid w:val="002B4FB4"/>
    <w:rPr>
      <w:rFonts w:ascii="Calibri" w:eastAsia="Times New Roman" w:hAnsi="Calibri" w:cs="Times New Roman"/>
      <w:sz w:val="24"/>
      <w:szCs w:val="24"/>
      <w:lang w:val="en-US" w:bidi="en-US"/>
    </w:rPr>
  </w:style>
  <w:style w:type="character" w:styleId="Emphasis">
    <w:name w:val="Emphasis"/>
    <w:basedOn w:val="DefaultParagraphFont"/>
    <w:uiPriority w:val="20"/>
    <w:qFormat/>
    <w:rsid w:val="00AB6448"/>
    <w:rPr>
      <w:i/>
      <w:iCs/>
    </w:rPr>
  </w:style>
  <w:style w:type="paragraph" w:styleId="PlainText">
    <w:name w:val="Plain Text"/>
    <w:basedOn w:val="Normal"/>
    <w:link w:val="PlainTextChar"/>
    <w:uiPriority w:val="99"/>
    <w:unhideWhenUsed/>
    <w:rsid w:val="00D96C9E"/>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96C9E"/>
    <w:rPr>
      <w:rFonts w:ascii="Consolas" w:hAnsi="Consolas"/>
      <w:sz w:val="21"/>
      <w:szCs w:val="21"/>
      <w:lang w:val="en-US"/>
    </w:rPr>
  </w:style>
  <w:style w:type="character" w:customStyle="1" w:styleId="citation">
    <w:name w:val="citation"/>
    <w:basedOn w:val="DefaultParagraphFont"/>
    <w:rsid w:val="00C73465"/>
  </w:style>
  <w:style w:type="paragraph" w:styleId="Revision">
    <w:name w:val="Revision"/>
    <w:hidden/>
    <w:uiPriority w:val="99"/>
    <w:semiHidden/>
    <w:rsid w:val="00955C7B"/>
    <w:pPr>
      <w:spacing w:after="0" w:line="240" w:lineRule="auto"/>
    </w:pPr>
  </w:style>
  <w:style w:type="character" w:styleId="FollowedHyperlink">
    <w:name w:val="FollowedHyperlink"/>
    <w:basedOn w:val="DefaultParagraphFont"/>
    <w:uiPriority w:val="99"/>
    <w:semiHidden/>
    <w:unhideWhenUsed/>
    <w:rsid w:val="00C503F7"/>
    <w:rPr>
      <w:color w:val="800080" w:themeColor="followedHyperlink"/>
      <w:u w:val="single"/>
    </w:rPr>
  </w:style>
  <w:style w:type="character" w:customStyle="1" w:styleId="hit">
    <w:name w:val="hit"/>
    <w:basedOn w:val="DefaultParagraphFont"/>
    <w:rsid w:val="00B45EFE"/>
    <w:rPr>
      <w:sz w:val="24"/>
      <w:szCs w:val="24"/>
      <w:bdr w:val="none" w:sz="0" w:space="0" w:color="auto" w:frame="1"/>
      <w:shd w:val="clear" w:color="auto" w:fill="FFFFDD"/>
      <w:vertAlign w:val="baseline"/>
    </w:rPr>
  </w:style>
  <w:style w:type="paragraph" w:styleId="ListParagraph">
    <w:name w:val="List Paragraph"/>
    <w:basedOn w:val="Normal"/>
    <w:uiPriority w:val="34"/>
    <w:qFormat/>
    <w:rsid w:val="007D73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7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D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D48"/>
  </w:style>
  <w:style w:type="paragraph" w:styleId="Footer">
    <w:name w:val="footer"/>
    <w:basedOn w:val="Normal"/>
    <w:link w:val="FooterChar"/>
    <w:uiPriority w:val="99"/>
    <w:unhideWhenUsed/>
    <w:rsid w:val="00E54D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D48"/>
  </w:style>
  <w:style w:type="paragraph" w:styleId="BalloonText">
    <w:name w:val="Balloon Text"/>
    <w:basedOn w:val="Normal"/>
    <w:link w:val="BalloonTextChar"/>
    <w:uiPriority w:val="99"/>
    <w:semiHidden/>
    <w:unhideWhenUsed/>
    <w:rsid w:val="00692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81D"/>
    <w:rPr>
      <w:rFonts w:ascii="Tahoma" w:hAnsi="Tahoma" w:cs="Tahoma"/>
      <w:sz w:val="16"/>
      <w:szCs w:val="16"/>
    </w:rPr>
  </w:style>
  <w:style w:type="character" w:styleId="Hyperlink">
    <w:name w:val="Hyperlink"/>
    <w:basedOn w:val="DefaultParagraphFont"/>
    <w:uiPriority w:val="99"/>
    <w:rsid w:val="005B3123"/>
    <w:rPr>
      <w:color w:val="0000FF"/>
      <w:u w:val="single"/>
    </w:rPr>
  </w:style>
  <w:style w:type="paragraph" w:styleId="ListBullet3">
    <w:name w:val="List Bullet 3"/>
    <w:basedOn w:val="Normal"/>
    <w:rsid w:val="002F588D"/>
    <w:pPr>
      <w:numPr>
        <w:numId w:val="1"/>
      </w:numPr>
      <w:spacing w:before="200"/>
      <w:contextualSpacing/>
    </w:pPr>
    <w:rPr>
      <w:rFonts w:ascii="Arial Narrow" w:eastAsiaTheme="minorEastAsia" w:hAnsi="Arial Narrow"/>
      <w:color w:val="000000"/>
      <w:sz w:val="20"/>
      <w:szCs w:val="20"/>
      <w:lang w:val="en-US" w:eastAsia="en-AU" w:bidi="en-US"/>
    </w:rPr>
  </w:style>
  <w:style w:type="character" w:styleId="CommentReference">
    <w:name w:val="annotation reference"/>
    <w:basedOn w:val="DefaultParagraphFont"/>
    <w:uiPriority w:val="99"/>
    <w:semiHidden/>
    <w:unhideWhenUsed/>
    <w:rsid w:val="00642463"/>
    <w:rPr>
      <w:sz w:val="16"/>
      <w:szCs w:val="16"/>
    </w:rPr>
  </w:style>
  <w:style w:type="paragraph" w:styleId="CommentText">
    <w:name w:val="annotation text"/>
    <w:basedOn w:val="Normal"/>
    <w:link w:val="CommentTextChar"/>
    <w:uiPriority w:val="99"/>
    <w:unhideWhenUsed/>
    <w:rsid w:val="00642463"/>
    <w:pPr>
      <w:spacing w:line="240" w:lineRule="auto"/>
    </w:pPr>
    <w:rPr>
      <w:sz w:val="20"/>
      <w:szCs w:val="20"/>
    </w:rPr>
  </w:style>
  <w:style w:type="character" w:customStyle="1" w:styleId="CommentTextChar">
    <w:name w:val="Comment Text Char"/>
    <w:basedOn w:val="DefaultParagraphFont"/>
    <w:link w:val="CommentText"/>
    <w:uiPriority w:val="99"/>
    <w:rsid w:val="00642463"/>
    <w:rPr>
      <w:sz w:val="20"/>
      <w:szCs w:val="20"/>
    </w:rPr>
  </w:style>
  <w:style w:type="paragraph" w:styleId="CommentSubject">
    <w:name w:val="annotation subject"/>
    <w:basedOn w:val="CommentText"/>
    <w:next w:val="CommentText"/>
    <w:link w:val="CommentSubjectChar"/>
    <w:uiPriority w:val="99"/>
    <w:semiHidden/>
    <w:unhideWhenUsed/>
    <w:rsid w:val="00642463"/>
    <w:rPr>
      <w:b/>
      <w:bCs/>
    </w:rPr>
  </w:style>
  <w:style w:type="character" w:customStyle="1" w:styleId="CommentSubjectChar">
    <w:name w:val="Comment Subject Char"/>
    <w:basedOn w:val="CommentTextChar"/>
    <w:link w:val="CommentSubject"/>
    <w:uiPriority w:val="99"/>
    <w:semiHidden/>
    <w:rsid w:val="00642463"/>
    <w:rPr>
      <w:b/>
      <w:bCs/>
      <w:sz w:val="20"/>
      <w:szCs w:val="20"/>
    </w:rPr>
  </w:style>
  <w:style w:type="paragraph" w:styleId="NoSpacing">
    <w:name w:val="No Spacing"/>
    <w:uiPriority w:val="1"/>
    <w:qFormat/>
    <w:rsid w:val="004F794C"/>
    <w:pPr>
      <w:spacing w:after="0" w:line="240" w:lineRule="auto"/>
    </w:pPr>
  </w:style>
  <w:style w:type="character" w:styleId="HTMLCite">
    <w:name w:val="HTML Cite"/>
    <w:basedOn w:val="DefaultParagraphFont"/>
    <w:uiPriority w:val="99"/>
    <w:unhideWhenUsed/>
    <w:rsid w:val="00A13F8F"/>
    <w:rPr>
      <w:i/>
      <w:iCs/>
    </w:rPr>
  </w:style>
  <w:style w:type="paragraph" w:styleId="BodyText2">
    <w:name w:val="Body Text 2"/>
    <w:basedOn w:val="Normal"/>
    <w:link w:val="BodyText2Char"/>
    <w:rsid w:val="002B4FB4"/>
    <w:pPr>
      <w:spacing w:after="120" w:line="480" w:lineRule="auto"/>
    </w:pPr>
    <w:rPr>
      <w:rFonts w:ascii="Calibri" w:eastAsia="Times New Roman" w:hAnsi="Calibri" w:cs="Times New Roman"/>
      <w:sz w:val="24"/>
      <w:szCs w:val="24"/>
      <w:lang w:val="en-US" w:bidi="en-US"/>
    </w:rPr>
  </w:style>
  <w:style w:type="character" w:customStyle="1" w:styleId="BodyText2Char">
    <w:name w:val="Body Text 2 Char"/>
    <w:basedOn w:val="DefaultParagraphFont"/>
    <w:link w:val="BodyText2"/>
    <w:rsid w:val="002B4FB4"/>
    <w:rPr>
      <w:rFonts w:ascii="Calibri" w:eastAsia="Times New Roman" w:hAnsi="Calibri" w:cs="Times New Roman"/>
      <w:sz w:val="24"/>
      <w:szCs w:val="24"/>
      <w:lang w:val="en-US" w:bidi="en-US"/>
    </w:rPr>
  </w:style>
  <w:style w:type="character" w:styleId="Emphasis">
    <w:name w:val="Emphasis"/>
    <w:basedOn w:val="DefaultParagraphFont"/>
    <w:uiPriority w:val="20"/>
    <w:qFormat/>
    <w:rsid w:val="00AB6448"/>
    <w:rPr>
      <w:i/>
      <w:iCs/>
    </w:rPr>
  </w:style>
  <w:style w:type="paragraph" w:styleId="PlainText">
    <w:name w:val="Plain Text"/>
    <w:basedOn w:val="Normal"/>
    <w:link w:val="PlainTextChar"/>
    <w:uiPriority w:val="99"/>
    <w:unhideWhenUsed/>
    <w:rsid w:val="00D96C9E"/>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96C9E"/>
    <w:rPr>
      <w:rFonts w:ascii="Consolas" w:hAnsi="Consolas"/>
      <w:sz w:val="21"/>
      <w:szCs w:val="21"/>
      <w:lang w:val="en-US"/>
    </w:rPr>
  </w:style>
  <w:style w:type="character" w:customStyle="1" w:styleId="citation">
    <w:name w:val="citation"/>
    <w:basedOn w:val="DefaultParagraphFont"/>
    <w:rsid w:val="00C73465"/>
  </w:style>
  <w:style w:type="paragraph" w:styleId="Revision">
    <w:name w:val="Revision"/>
    <w:hidden/>
    <w:uiPriority w:val="99"/>
    <w:semiHidden/>
    <w:rsid w:val="00955C7B"/>
    <w:pPr>
      <w:spacing w:after="0" w:line="240" w:lineRule="auto"/>
    </w:pPr>
  </w:style>
  <w:style w:type="character" w:styleId="FollowedHyperlink">
    <w:name w:val="FollowedHyperlink"/>
    <w:basedOn w:val="DefaultParagraphFont"/>
    <w:uiPriority w:val="99"/>
    <w:semiHidden/>
    <w:unhideWhenUsed/>
    <w:rsid w:val="00C503F7"/>
    <w:rPr>
      <w:color w:val="800080" w:themeColor="followedHyperlink"/>
      <w:u w:val="single"/>
    </w:rPr>
  </w:style>
  <w:style w:type="character" w:customStyle="1" w:styleId="hit">
    <w:name w:val="hit"/>
    <w:basedOn w:val="DefaultParagraphFont"/>
    <w:rsid w:val="00B45EFE"/>
    <w:rPr>
      <w:sz w:val="24"/>
      <w:szCs w:val="24"/>
      <w:bdr w:val="none" w:sz="0" w:space="0" w:color="auto" w:frame="1"/>
      <w:shd w:val="clear" w:color="auto" w:fill="FFFFDD"/>
      <w:vertAlign w:val="baseline"/>
    </w:rPr>
  </w:style>
  <w:style w:type="paragraph" w:styleId="ListParagraph">
    <w:name w:val="List Paragraph"/>
    <w:basedOn w:val="Normal"/>
    <w:uiPriority w:val="34"/>
    <w:qFormat/>
    <w:rsid w:val="007D73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84493">
      <w:bodyDiv w:val="1"/>
      <w:marLeft w:val="0"/>
      <w:marRight w:val="0"/>
      <w:marTop w:val="0"/>
      <w:marBottom w:val="0"/>
      <w:divBdr>
        <w:top w:val="none" w:sz="0" w:space="0" w:color="auto"/>
        <w:left w:val="none" w:sz="0" w:space="0" w:color="auto"/>
        <w:bottom w:val="none" w:sz="0" w:space="0" w:color="auto"/>
        <w:right w:val="none" w:sz="0" w:space="0" w:color="auto"/>
      </w:divBdr>
    </w:div>
    <w:div w:id="516161579">
      <w:bodyDiv w:val="1"/>
      <w:marLeft w:val="0"/>
      <w:marRight w:val="0"/>
      <w:marTop w:val="0"/>
      <w:marBottom w:val="0"/>
      <w:divBdr>
        <w:top w:val="none" w:sz="0" w:space="0" w:color="auto"/>
        <w:left w:val="none" w:sz="0" w:space="0" w:color="auto"/>
        <w:bottom w:val="none" w:sz="0" w:space="0" w:color="auto"/>
        <w:right w:val="none" w:sz="0" w:space="0" w:color="auto"/>
      </w:divBdr>
    </w:div>
    <w:div w:id="524827634">
      <w:bodyDiv w:val="1"/>
      <w:marLeft w:val="0"/>
      <w:marRight w:val="0"/>
      <w:marTop w:val="0"/>
      <w:marBottom w:val="0"/>
      <w:divBdr>
        <w:top w:val="none" w:sz="0" w:space="0" w:color="auto"/>
        <w:left w:val="none" w:sz="0" w:space="0" w:color="auto"/>
        <w:bottom w:val="none" w:sz="0" w:space="0" w:color="auto"/>
        <w:right w:val="none" w:sz="0" w:space="0" w:color="auto"/>
      </w:divBdr>
    </w:div>
    <w:div w:id="575631927">
      <w:bodyDiv w:val="1"/>
      <w:marLeft w:val="0"/>
      <w:marRight w:val="0"/>
      <w:marTop w:val="0"/>
      <w:marBottom w:val="0"/>
      <w:divBdr>
        <w:top w:val="none" w:sz="0" w:space="0" w:color="auto"/>
        <w:left w:val="none" w:sz="0" w:space="0" w:color="auto"/>
        <w:bottom w:val="none" w:sz="0" w:space="0" w:color="auto"/>
        <w:right w:val="none" w:sz="0" w:space="0" w:color="auto"/>
      </w:divBdr>
    </w:div>
    <w:div w:id="820735821">
      <w:bodyDiv w:val="1"/>
      <w:marLeft w:val="0"/>
      <w:marRight w:val="0"/>
      <w:marTop w:val="0"/>
      <w:marBottom w:val="0"/>
      <w:divBdr>
        <w:top w:val="none" w:sz="0" w:space="0" w:color="auto"/>
        <w:left w:val="none" w:sz="0" w:space="0" w:color="auto"/>
        <w:bottom w:val="none" w:sz="0" w:space="0" w:color="auto"/>
        <w:right w:val="none" w:sz="0" w:space="0" w:color="auto"/>
      </w:divBdr>
    </w:div>
    <w:div w:id="880439142">
      <w:bodyDiv w:val="1"/>
      <w:marLeft w:val="0"/>
      <w:marRight w:val="0"/>
      <w:marTop w:val="0"/>
      <w:marBottom w:val="0"/>
      <w:divBdr>
        <w:top w:val="none" w:sz="0" w:space="0" w:color="auto"/>
        <w:left w:val="none" w:sz="0" w:space="0" w:color="auto"/>
        <w:bottom w:val="none" w:sz="0" w:space="0" w:color="auto"/>
        <w:right w:val="none" w:sz="0" w:space="0" w:color="auto"/>
      </w:divBdr>
    </w:div>
    <w:div w:id="1008629993">
      <w:bodyDiv w:val="1"/>
      <w:marLeft w:val="0"/>
      <w:marRight w:val="0"/>
      <w:marTop w:val="0"/>
      <w:marBottom w:val="0"/>
      <w:divBdr>
        <w:top w:val="none" w:sz="0" w:space="0" w:color="auto"/>
        <w:left w:val="none" w:sz="0" w:space="0" w:color="auto"/>
        <w:bottom w:val="none" w:sz="0" w:space="0" w:color="auto"/>
        <w:right w:val="none" w:sz="0" w:space="0" w:color="auto"/>
      </w:divBdr>
    </w:div>
    <w:div w:id="1120611013">
      <w:bodyDiv w:val="1"/>
      <w:marLeft w:val="0"/>
      <w:marRight w:val="0"/>
      <w:marTop w:val="0"/>
      <w:marBottom w:val="0"/>
      <w:divBdr>
        <w:top w:val="none" w:sz="0" w:space="0" w:color="auto"/>
        <w:left w:val="none" w:sz="0" w:space="0" w:color="auto"/>
        <w:bottom w:val="none" w:sz="0" w:space="0" w:color="auto"/>
        <w:right w:val="none" w:sz="0" w:space="0" w:color="auto"/>
      </w:divBdr>
    </w:div>
    <w:div w:id="1194341053">
      <w:bodyDiv w:val="1"/>
      <w:marLeft w:val="0"/>
      <w:marRight w:val="0"/>
      <w:marTop w:val="0"/>
      <w:marBottom w:val="0"/>
      <w:divBdr>
        <w:top w:val="none" w:sz="0" w:space="0" w:color="auto"/>
        <w:left w:val="none" w:sz="0" w:space="0" w:color="auto"/>
        <w:bottom w:val="none" w:sz="0" w:space="0" w:color="auto"/>
        <w:right w:val="none" w:sz="0" w:space="0" w:color="auto"/>
      </w:divBdr>
    </w:div>
    <w:div w:id="1474253111">
      <w:bodyDiv w:val="1"/>
      <w:marLeft w:val="0"/>
      <w:marRight w:val="0"/>
      <w:marTop w:val="0"/>
      <w:marBottom w:val="0"/>
      <w:divBdr>
        <w:top w:val="none" w:sz="0" w:space="0" w:color="auto"/>
        <w:left w:val="none" w:sz="0" w:space="0" w:color="auto"/>
        <w:bottom w:val="none" w:sz="0" w:space="0" w:color="auto"/>
        <w:right w:val="none" w:sz="0" w:space="0" w:color="auto"/>
      </w:divBdr>
      <w:divsChild>
        <w:div w:id="1874885052">
          <w:marLeft w:val="585"/>
          <w:marRight w:val="0"/>
          <w:marTop w:val="0"/>
          <w:marBottom w:val="0"/>
          <w:divBdr>
            <w:top w:val="single" w:sz="2" w:space="0" w:color="2E2E2E"/>
            <w:left w:val="single" w:sz="2" w:space="0" w:color="2E2E2E"/>
            <w:bottom w:val="single" w:sz="2" w:space="0" w:color="2E2E2E"/>
            <w:right w:val="single" w:sz="2" w:space="0" w:color="2E2E2E"/>
          </w:divBdr>
          <w:divsChild>
            <w:div w:id="1799030564">
              <w:marLeft w:val="0"/>
              <w:marRight w:val="0"/>
              <w:marTop w:val="15"/>
              <w:marBottom w:val="0"/>
              <w:divBdr>
                <w:top w:val="none" w:sz="0" w:space="0" w:color="auto"/>
                <w:left w:val="none" w:sz="0" w:space="0" w:color="auto"/>
                <w:bottom w:val="none" w:sz="0" w:space="0" w:color="auto"/>
                <w:right w:val="none" w:sz="0" w:space="0" w:color="auto"/>
              </w:divBdr>
              <w:divsChild>
                <w:div w:id="10894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432226">
      <w:bodyDiv w:val="1"/>
      <w:marLeft w:val="0"/>
      <w:marRight w:val="0"/>
      <w:marTop w:val="0"/>
      <w:marBottom w:val="0"/>
      <w:divBdr>
        <w:top w:val="none" w:sz="0" w:space="0" w:color="auto"/>
        <w:left w:val="none" w:sz="0" w:space="0" w:color="auto"/>
        <w:bottom w:val="none" w:sz="0" w:space="0" w:color="auto"/>
        <w:right w:val="none" w:sz="0" w:space="0" w:color="auto"/>
      </w:divBdr>
      <w:divsChild>
        <w:div w:id="1209953173">
          <w:marLeft w:val="0"/>
          <w:marRight w:val="0"/>
          <w:marTop w:val="0"/>
          <w:marBottom w:val="0"/>
          <w:divBdr>
            <w:top w:val="none" w:sz="0" w:space="0" w:color="auto"/>
            <w:left w:val="none" w:sz="0" w:space="0" w:color="auto"/>
            <w:bottom w:val="none" w:sz="0" w:space="0" w:color="auto"/>
            <w:right w:val="none" w:sz="0" w:space="0" w:color="auto"/>
          </w:divBdr>
          <w:divsChild>
            <w:div w:id="1502894011">
              <w:marLeft w:val="0"/>
              <w:marRight w:val="0"/>
              <w:marTop w:val="0"/>
              <w:marBottom w:val="0"/>
              <w:divBdr>
                <w:top w:val="none" w:sz="0" w:space="0" w:color="auto"/>
                <w:left w:val="none" w:sz="0" w:space="0" w:color="auto"/>
                <w:bottom w:val="none" w:sz="0" w:space="0" w:color="auto"/>
                <w:right w:val="none" w:sz="0" w:space="0" w:color="auto"/>
              </w:divBdr>
              <w:divsChild>
                <w:div w:id="1654023187">
                  <w:marLeft w:val="0"/>
                  <w:marRight w:val="0"/>
                  <w:marTop w:val="0"/>
                  <w:marBottom w:val="0"/>
                  <w:divBdr>
                    <w:top w:val="none" w:sz="0" w:space="0" w:color="auto"/>
                    <w:left w:val="none" w:sz="0" w:space="0" w:color="auto"/>
                    <w:bottom w:val="none" w:sz="0" w:space="0" w:color="auto"/>
                    <w:right w:val="none" w:sz="0" w:space="0" w:color="auto"/>
                  </w:divBdr>
                  <w:divsChild>
                    <w:div w:id="994262763">
                      <w:marLeft w:val="0"/>
                      <w:marRight w:val="0"/>
                      <w:marTop w:val="0"/>
                      <w:marBottom w:val="0"/>
                      <w:divBdr>
                        <w:top w:val="none" w:sz="0" w:space="0" w:color="auto"/>
                        <w:left w:val="none" w:sz="0" w:space="0" w:color="auto"/>
                        <w:bottom w:val="none" w:sz="0" w:space="0" w:color="auto"/>
                        <w:right w:val="none" w:sz="0" w:space="0" w:color="auto"/>
                      </w:divBdr>
                      <w:divsChild>
                        <w:div w:id="1543520642">
                          <w:marLeft w:val="0"/>
                          <w:marRight w:val="0"/>
                          <w:marTop w:val="0"/>
                          <w:marBottom w:val="0"/>
                          <w:divBdr>
                            <w:top w:val="none" w:sz="0" w:space="0" w:color="auto"/>
                            <w:left w:val="none" w:sz="0" w:space="0" w:color="auto"/>
                            <w:bottom w:val="none" w:sz="0" w:space="0" w:color="auto"/>
                            <w:right w:val="none" w:sz="0" w:space="0" w:color="auto"/>
                          </w:divBdr>
                          <w:divsChild>
                            <w:div w:id="1622106171">
                              <w:marLeft w:val="0"/>
                              <w:marRight w:val="0"/>
                              <w:marTop w:val="0"/>
                              <w:marBottom w:val="0"/>
                              <w:divBdr>
                                <w:top w:val="none" w:sz="0" w:space="0" w:color="auto"/>
                                <w:left w:val="none" w:sz="0" w:space="0" w:color="auto"/>
                                <w:bottom w:val="none" w:sz="0" w:space="0" w:color="auto"/>
                                <w:right w:val="none" w:sz="0" w:space="0" w:color="auto"/>
                              </w:divBdr>
                              <w:divsChild>
                                <w:div w:id="1922835344">
                                  <w:marLeft w:val="0"/>
                                  <w:marRight w:val="0"/>
                                  <w:marTop w:val="0"/>
                                  <w:marBottom w:val="0"/>
                                  <w:divBdr>
                                    <w:top w:val="none" w:sz="0" w:space="0" w:color="auto"/>
                                    <w:left w:val="none" w:sz="0" w:space="0" w:color="auto"/>
                                    <w:bottom w:val="none" w:sz="0" w:space="0" w:color="auto"/>
                                    <w:right w:val="none" w:sz="0" w:space="0" w:color="auto"/>
                                  </w:divBdr>
                                  <w:divsChild>
                                    <w:div w:id="1277837130">
                                      <w:marLeft w:val="0"/>
                                      <w:marRight w:val="0"/>
                                      <w:marTop w:val="0"/>
                                      <w:marBottom w:val="0"/>
                                      <w:divBdr>
                                        <w:top w:val="none" w:sz="0" w:space="0" w:color="auto"/>
                                        <w:left w:val="none" w:sz="0" w:space="0" w:color="auto"/>
                                        <w:bottom w:val="none" w:sz="0" w:space="0" w:color="auto"/>
                                        <w:right w:val="none" w:sz="0" w:space="0" w:color="auto"/>
                                      </w:divBdr>
                                    </w:div>
                                    <w:div w:id="12015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398049">
      <w:bodyDiv w:val="1"/>
      <w:marLeft w:val="0"/>
      <w:marRight w:val="0"/>
      <w:marTop w:val="0"/>
      <w:marBottom w:val="0"/>
      <w:divBdr>
        <w:top w:val="none" w:sz="0" w:space="0" w:color="auto"/>
        <w:left w:val="none" w:sz="0" w:space="0" w:color="auto"/>
        <w:bottom w:val="none" w:sz="0" w:space="0" w:color="auto"/>
        <w:right w:val="none" w:sz="0" w:space="0" w:color="auto"/>
      </w:divBdr>
      <w:divsChild>
        <w:div w:id="1097366389">
          <w:marLeft w:val="585"/>
          <w:marRight w:val="0"/>
          <w:marTop w:val="0"/>
          <w:marBottom w:val="0"/>
          <w:divBdr>
            <w:top w:val="single" w:sz="2" w:space="0" w:color="2E2E2E"/>
            <w:left w:val="single" w:sz="2" w:space="0" w:color="2E2E2E"/>
            <w:bottom w:val="single" w:sz="2" w:space="0" w:color="2E2E2E"/>
            <w:right w:val="single" w:sz="2" w:space="0" w:color="2E2E2E"/>
          </w:divBdr>
          <w:divsChild>
            <w:div w:id="1172376175">
              <w:marLeft w:val="0"/>
              <w:marRight w:val="0"/>
              <w:marTop w:val="15"/>
              <w:marBottom w:val="0"/>
              <w:divBdr>
                <w:top w:val="none" w:sz="0" w:space="0" w:color="auto"/>
                <w:left w:val="none" w:sz="0" w:space="0" w:color="auto"/>
                <w:bottom w:val="none" w:sz="0" w:space="0" w:color="auto"/>
                <w:right w:val="none" w:sz="0" w:space="0" w:color="auto"/>
              </w:divBdr>
              <w:divsChild>
                <w:div w:id="944459293">
                  <w:marLeft w:val="0"/>
                  <w:marRight w:val="0"/>
                  <w:marTop w:val="0"/>
                  <w:marBottom w:val="0"/>
                  <w:divBdr>
                    <w:top w:val="none" w:sz="0" w:space="0" w:color="auto"/>
                    <w:left w:val="none" w:sz="0" w:space="0" w:color="auto"/>
                    <w:bottom w:val="none" w:sz="0" w:space="0" w:color="auto"/>
                    <w:right w:val="none" w:sz="0" w:space="0" w:color="auto"/>
                  </w:divBdr>
                  <w:divsChild>
                    <w:div w:id="1063675015">
                      <w:marLeft w:val="0"/>
                      <w:marRight w:val="0"/>
                      <w:marTop w:val="0"/>
                      <w:marBottom w:val="315"/>
                      <w:divBdr>
                        <w:top w:val="single" w:sz="6" w:space="0" w:color="D7D7D7"/>
                        <w:left w:val="single" w:sz="2" w:space="0" w:color="D7D7D7"/>
                        <w:bottom w:val="single" w:sz="6" w:space="0" w:color="D7D7D7"/>
                        <w:right w:val="single" w:sz="2" w:space="0" w:color="D7D7D7"/>
                      </w:divBdr>
                      <w:divsChild>
                        <w:div w:id="43682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dy.Schuck@uts.edu.au" TargetMode="External"/><Relationship Id="rId13" Type="http://schemas.openxmlformats.org/officeDocument/2006/relationships/image" Target="media/image1.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ie.ed.asu.edu/volume6/number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ublications.parliament.uk/pa/cm200304/cmselect/cmeduski/1057/1057.pdf"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http://www.aeufederal.org.au/Media/MediaReleases/2006/0202.pdf" TargetMode="External"/><Relationship Id="rId4" Type="http://schemas.openxmlformats.org/officeDocument/2006/relationships/settings" Target="settings.xml"/><Relationship Id="rId9" Type="http://schemas.openxmlformats.org/officeDocument/2006/relationships/hyperlink" Target="http://www.academicleadership.org/emprical_research/531.shtml"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22</Pages>
  <Words>8140</Words>
  <Characters>46404</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UTS</Company>
  <LinksUpToDate>false</LinksUpToDate>
  <CharactersWithSpaces>54436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010838</dc:creator>
  <cp:lastModifiedBy>Administrator</cp:lastModifiedBy>
  <cp:revision>5</cp:revision>
  <cp:lastPrinted>2014-01-01T22:52:00Z</cp:lastPrinted>
  <dcterms:created xsi:type="dcterms:W3CDTF">2013-04-05T02:41:00Z</dcterms:created>
  <dcterms:modified xsi:type="dcterms:W3CDTF">2014-01-01T22:53:00Z</dcterms:modified>
</cp:coreProperties>
</file>