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66" w:rsidRDefault="007D4E66" w:rsidP="0054231D">
      <w:pPr>
        <w:tabs>
          <w:tab w:val="left" w:pos="-1099"/>
          <w:tab w:val="left" w:pos="-720"/>
          <w:tab w:val="left" w:pos="0"/>
          <w:tab w:val="left" w:pos="430"/>
          <w:tab w:val="left" w:pos="884"/>
        </w:tabs>
        <w:rPr>
          <w:b/>
          <w:bCs/>
          <w:sz w:val="28"/>
          <w:szCs w:val="28"/>
          <w:lang w:val="en-AU"/>
        </w:rPr>
      </w:pPr>
      <w:bookmarkStart w:id="0" w:name="_GoBack"/>
      <w:r>
        <w:rPr>
          <w:b/>
          <w:bCs/>
          <w:sz w:val="28"/>
          <w:szCs w:val="28"/>
          <w:lang w:val="en-AU"/>
        </w:rPr>
        <w:t>Open Space Planning Standards in Australia: in Search of Origins</w:t>
      </w:r>
    </w:p>
    <w:bookmarkEnd w:id="0"/>
    <w:p w:rsidR="0054231D" w:rsidRDefault="0054231D" w:rsidP="0054231D">
      <w:pPr>
        <w:tabs>
          <w:tab w:val="left" w:pos="-1099"/>
          <w:tab w:val="left" w:pos="-720"/>
          <w:tab w:val="left" w:pos="0"/>
          <w:tab w:val="left" w:pos="430"/>
          <w:tab w:val="left" w:pos="884"/>
        </w:tabs>
        <w:rPr>
          <w:b/>
          <w:bCs/>
          <w:sz w:val="28"/>
          <w:szCs w:val="28"/>
          <w:lang w:val="en-AU"/>
        </w:rPr>
      </w:pPr>
    </w:p>
    <w:p w:rsidR="0054231D" w:rsidRDefault="0054231D" w:rsidP="0054231D">
      <w:pPr>
        <w:tabs>
          <w:tab w:val="left" w:pos="-1099"/>
          <w:tab w:val="left" w:pos="-720"/>
          <w:tab w:val="left" w:pos="0"/>
          <w:tab w:val="left" w:pos="430"/>
          <w:tab w:val="left" w:pos="884"/>
        </w:tabs>
        <w:rPr>
          <w:b/>
          <w:bCs/>
          <w:sz w:val="28"/>
          <w:szCs w:val="28"/>
          <w:lang w:val="en-AU"/>
        </w:rPr>
      </w:pPr>
      <w:r>
        <w:rPr>
          <w:b/>
          <w:bCs/>
          <w:sz w:val="28"/>
          <w:szCs w:val="28"/>
          <w:lang w:val="en-AU"/>
        </w:rPr>
        <w:t>A.J. Veal</w:t>
      </w:r>
    </w:p>
    <w:p w:rsidR="0054231D" w:rsidRPr="0054231D" w:rsidRDefault="0054231D" w:rsidP="0054231D">
      <w:pPr>
        <w:tabs>
          <w:tab w:val="left" w:pos="-1099"/>
          <w:tab w:val="left" w:pos="-720"/>
          <w:tab w:val="left" w:pos="0"/>
          <w:tab w:val="left" w:pos="430"/>
          <w:tab w:val="left" w:pos="884"/>
        </w:tabs>
        <w:rPr>
          <w:b/>
          <w:bCs/>
          <w:sz w:val="28"/>
          <w:szCs w:val="28"/>
          <w:lang w:val="en-AU"/>
        </w:rPr>
      </w:pPr>
      <w:r>
        <w:rPr>
          <w:b/>
          <w:bCs/>
          <w:sz w:val="28"/>
          <w:szCs w:val="28"/>
          <w:lang w:val="en-AU"/>
        </w:rPr>
        <w:t>University of Technology, Sydney</w:t>
      </w:r>
    </w:p>
    <w:p w:rsidR="007D4E66" w:rsidRDefault="007D4E66" w:rsidP="0054231D">
      <w:pPr>
        <w:tabs>
          <w:tab w:val="left" w:pos="-1099"/>
          <w:tab w:val="left" w:pos="-720"/>
          <w:tab w:val="left" w:pos="0"/>
          <w:tab w:val="left" w:pos="430"/>
          <w:tab w:val="left" w:pos="884"/>
        </w:tabs>
        <w:rPr>
          <w:lang w:val="en-AU"/>
        </w:rPr>
      </w:pPr>
    </w:p>
    <w:p w:rsidR="0054231D" w:rsidRPr="005D294F" w:rsidRDefault="000F20EA" w:rsidP="0054231D">
      <w:pPr>
        <w:tabs>
          <w:tab w:val="left" w:pos="-1099"/>
          <w:tab w:val="left" w:pos="-720"/>
          <w:tab w:val="left" w:pos="0"/>
          <w:tab w:val="left" w:pos="430"/>
          <w:tab w:val="left" w:pos="884"/>
        </w:tabs>
        <w:rPr>
          <w:lang w:val="en-AU"/>
        </w:rPr>
      </w:pPr>
      <w:r>
        <w:rPr>
          <w:lang w:val="en-AU"/>
        </w:rPr>
        <w:t>Published in</w:t>
      </w:r>
      <w:r w:rsidR="0054231D">
        <w:rPr>
          <w:lang w:val="en-AU"/>
        </w:rPr>
        <w:t xml:space="preserve"> A. J. veal (2013) </w:t>
      </w:r>
      <w:r w:rsidR="0054231D" w:rsidRPr="0054231D">
        <w:rPr>
          <w:bCs/>
          <w:lang w:val="en-AU"/>
        </w:rPr>
        <w:t>Open space planning standards in Australia: in search of origins</w:t>
      </w:r>
      <w:r w:rsidR="0054231D">
        <w:rPr>
          <w:bCs/>
          <w:lang w:val="en-AU"/>
        </w:rPr>
        <w:t xml:space="preserve">. </w:t>
      </w:r>
      <w:r>
        <w:rPr>
          <w:lang w:val="en-AU"/>
        </w:rPr>
        <w:t xml:space="preserve"> </w:t>
      </w:r>
      <w:r w:rsidRPr="000F20EA">
        <w:rPr>
          <w:i/>
          <w:lang w:val="en-AU"/>
        </w:rPr>
        <w:t>Australian Planner</w:t>
      </w:r>
      <w:r w:rsidRPr="000F20EA">
        <w:rPr>
          <w:rFonts w:ascii="Trebuchet MS" w:hAnsi="Trebuchet MS" w:cs="Trebuchet MS"/>
          <w:sz w:val="20"/>
          <w:szCs w:val="20"/>
          <w:lang w:val="en-AU"/>
        </w:rPr>
        <w:t xml:space="preserve"> </w:t>
      </w:r>
      <w:r w:rsidR="0054231D">
        <w:rPr>
          <w:iCs/>
          <w:lang w:val="en-AU"/>
        </w:rPr>
        <w:t>50(3), 224-32.</w:t>
      </w:r>
    </w:p>
    <w:p w:rsidR="000F20EA" w:rsidRDefault="000F20EA"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b/>
          <w:bCs/>
          <w:lang w:val="en-AU"/>
        </w:rPr>
        <w:t>Introduction</w:t>
      </w:r>
    </w:p>
    <w:p w:rsidR="00D529F3" w:rsidRDefault="00D529F3" w:rsidP="0054231D">
      <w:pPr>
        <w:tabs>
          <w:tab w:val="left" w:pos="-1099"/>
          <w:tab w:val="left" w:pos="-720"/>
          <w:tab w:val="left" w:pos="0"/>
          <w:tab w:val="left" w:pos="487"/>
          <w:tab w:val="left" w:pos="884"/>
        </w:tabs>
        <w:rPr>
          <w:lang w:val="en-AU"/>
        </w:rPr>
      </w:pPr>
      <w:r>
        <w:rPr>
          <w:lang w:val="en-AU"/>
        </w:rPr>
        <w:t xml:space="preserve">The </w:t>
      </w:r>
      <w:r w:rsidR="00DF56C1">
        <w:rPr>
          <w:lang w:val="en-AU"/>
        </w:rPr>
        <w:t xml:space="preserve">promulgation </w:t>
      </w:r>
      <w:r w:rsidR="001B0AF2">
        <w:rPr>
          <w:lang w:val="en-AU"/>
        </w:rPr>
        <w:t xml:space="preserve">and </w:t>
      </w:r>
      <w:r>
        <w:rPr>
          <w:lang w:val="en-AU"/>
        </w:rPr>
        <w:t xml:space="preserve">use of standards of provision for open space planning </w:t>
      </w:r>
      <w:r w:rsidR="004B4F55">
        <w:rPr>
          <w:lang w:val="en-AU"/>
        </w:rPr>
        <w:t>have</w:t>
      </w:r>
      <w:r>
        <w:rPr>
          <w:lang w:val="en-AU"/>
        </w:rPr>
        <w:t xml:space="preserve"> a long history</w:t>
      </w:r>
      <w:r w:rsidR="00D65E46">
        <w:rPr>
          <w:lang w:val="en-AU"/>
        </w:rPr>
        <w:t xml:space="preserve">, </w:t>
      </w:r>
      <w:r w:rsidR="001B0AF2">
        <w:rPr>
          <w:lang w:val="en-AU"/>
        </w:rPr>
        <w:t>dating back to the nineteenth century (</w:t>
      </w:r>
      <w:r w:rsidR="00662D17" w:rsidRPr="0091157A">
        <w:rPr>
          <w:rFonts w:eastAsia="PMingLiU"/>
          <w:lang w:val="en-GB"/>
        </w:rPr>
        <w:t>Theobald</w:t>
      </w:r>
      <w:r w:rsidR="001B0AF2">
        <w:rPr>
          <w:rFonts w:eastAsia="PMingLiU"/>
          <w:lang w:val="en-GB"/>
        </w:rPr>
        <w:t xml:space="preserve">, </w:t>
      </w:r>
      <w:r w:rsidR="00662D17" w:rsidRPr="0091157A">
        <w:rPr>
          <w:rFonts w:eastAsia="PMingLiU"/>
          <w:lang w:val="en-GB"/>
        </w:rPr>
        <w:t>1984</w:t>
      </w:r>
      <w:r w:rsidR="001B0AF2">
        <w:rPr>
          <w:rFonts w:eastAsia="PMingLiU"/>
          <w:lang w:val="en-GB"/>
        </w:rPr>
        <w:t xml:space="preserve">; </w:t>
      </w:r>
      <w:r w:rsidR="001B0AF2" w:rsidRPr="0091157A">
        <w:rPr>
          <w:rFonts w:eastAsia="PMingLiU"/>
          <w:lang w:val="en-GB"/>
        </w:rPr>
        <w:t>May and Petgen, 1928: 262</w:t>
      </w:r>
      <w:r w:rsidR="00662D17" w:rsidRPr="0091157A">
        <w:rPr>
          <w:rFonts w:eastAsia="PMingLiU"/>
          <w:lang w:val="en-GB"/>
        </w:rPr>
        <w:t>)</w:t>
      </w:r>
      <w:r w:rsidR="001B0AF2">
        <w:rPr>
          <w:rFonts w:eastAsia="PMingLiU"/>
          <w:lang w:val="en-GB"/>
        </w:rPr>
        <w:t xml:space="preserve">. </w:t>
      </w:r>
      <w:r w:rsidR="00FB53A2">
        <w:rPr>
          <w:rFonts w:eastAsia="PMingLiU"/>
          <w:lang w:val="en-GB"/>
        </w:rPr>
        <w:t xml:space="preserve">Formal </w:t>
      </w:r>
      <w:r w:rsidR="00FB53A2">
        <w:rPr>
          <w:lang w:val="en-AU"/>
        </w:rPr>
        <w:t>na</w:t>
      </w:r>
      <w:r>
        <w:rPr>
          <w:lang w:val="en-AU"/>
        </w:rPr>
        <w:t>tional standards for open space planning were developed at various times throughout the twentieth century, notably in Britain and the United States. In Britain the National Playing Fields Association (NPFA, now Fields in Trust</w:t>
      </w:r>
      <w:r w:rsidR="007D4EA6">
        <w:rPr>
          <w:lang w:val="en-AU"/>
        </w:rPr>
        <w:t>, FIT</w:t>
      </w:r>
      <w:r>
        <w:rPr>
          <w:lang w:val="en-AU"/>
        </w:rPr>
        <w:t>) standard of 6 acres (2.43 hectares)</w:t>
      </w:r>
      <w:r>
        <w:rPr>
          <w:rStyle w:val="FootnoteReference"/>
          <w:vertAlign w:val="superscript"/>
          <w:lang w:val="en-AU"/>
        </w:rPr>
        <w:endnoteReference w:id="1"/>
      </w:r>
      <w:r>
        <w:rPr>
          <w:lang w:val="en-AU"/>
        </w:rPr>
        <w:t xml:space="preserve"> of open space per 1000 population has been in existence since the 1920s</w:t>
      </w:r>
      <w:r w:rsidR="00D27855">
        <w:rPr>
          <w:lang w:val="en-AU"/>
        </w:rPr>
        <w:t>,</w:t>
      </w:r>
      <w:r>
        <w:rPr>
          <w:lang w:val="en-AU"/>
        </w:rPr>
        <w:t xml:space="preserve"> while in the USA the National Recreation Association (now National Recreation and Parks Association, NRPA) standard of 10 acres (4 ha.) of open space per 1000 population date</w:t>
      </w:r>
      <w:r w:rsidR="00207A30">
        <w:rPr>
          <w:lang w:val="en-AU"/>
        </w:rPr>
        <w:t>d</w:t>
      </w:r>
      <w:r>
        <w:rPr>
          <w:lang w:val="en-AU"/>
        </w:rPr>
        <w:t xml:space="preserve"> from early in the twentieth century</w:t>
      </w:r>
      <w:r w:rsidR="00623520">
        <w:rPr>
          <w:lang w:val="en-AU"/>
        </w:rPr>
        <w:t xml:space="preserve"> </w:t>
      </w:r>
      <w:r>
        <w:rPr>
          <w:lang w:val="en-AU"/>
        </w:rPr>
        <w:t xml:space="preserve">(Wilkinson, 1985: 191). The standard of 2.83 hectares per 1000 population, which has been widely used in New South Wales and elsewhere in Australia, dates back to the 1940s. </w:t>
      </w:r>
    </w:p>
    <w:p w:rsidR="00D529F3" w:rsidRDefault="00D529F3" w:rsidP="0054231D">
      <w:pPr>
        <w:tabs>
          <w:tab w:val="left" w:pos="-1099"/>
          <w:tab w:val="left" w:pos="-720"/>
          <w:tab w:val="left" w:pos="0"/>
          <w:tab w:val="left" w:pos="430"/>
          <w:tab w:val="left" w:pos="884"/>
        </w:tabs>
        <w:rPr>
          <w:lang w:val="en-AU"/>
        </w:rPr>
      </w:pPr>
    </w:p>
    <w:p w:rsidR="00D529F3" w:rsidRDefault="008004EE" w:rsidP="0054231D">
      <w:pPr>
        <w:tabs>
          <w:tab w:val="left" w:pos="-1099"/>
          <w:tab w:val="left" w:pos="-720"/>
          <w:tab w:val="left" w:pos="0"/>
          <w:tab w:val="left" w:pos="430"/>
          <w:tab w:val="left" w:pos="884"/>
        </w:tabs>
        <w:rPr>
          <w:lang w:val="en-AU"/>
        </w:rPr>
      </w:pPr>
      <w:r>
        <w:rPr>
          <w:lang w:val="en-AU"/>
        </w:rPr>
        <w:t>S</w:t>
      </w:r>
      <w:r w:rsidR="00555F11">
        <w:rPr>
          <w:lang w:val="en-AU"/>
        </w:rPr>
        <w:t xml:space="preserve">ince </w:t>
      </w:r>
      <w:r>
        <w:rPr>
          <w:lang w:val="en-AU"/>
        </w:rPr>
        <w:t xml:space="preserve">at least </w:t>
      </w:r>
      <w:r w:rsidR="00555F11">
        <w:rPr>
          <w:lang w:val="en-AU"/>
        </w:rPr>
        <w:t xml:space="preserve">the 1970s </w:t>
      </w:r>
      <w:r w:rsidR="00D529F3">
        <w:rPr>
          <w:lang w:val="en-AU"/>
        </w:rPr>
        <w:t xml:space="preserve">the </w:t>
      </w:r>
      <w:r w:rsidR="00207A30">
        <w:rPr>
          <w:lang w:val="en-AU"/>
        </w:rPr>
        <w:t xml:space="preserve">notion </w:t>
      </w:r>
      <w:r w:rsidR="00D529F3">
        <w:rPr>
          <w:lang w:val="en-AU"/>
        </w:rPr>
        <w:t xml:space="preserve">of fixed national or </w:t>
      </w:r>
      <w:r w:rsidR="00442EDA">
        <w:rPr>
          <w:lang w:val="en-AU"/>
        </w:rPr>
        <w:t>S</w:t>
      </w:r>
      <w:r w:rsidR="00D529F3">
        <w:rPr>
          <w:lang w:val="en-AU"/>
        </w:rPr>
        <w:t xml:space="preserve">tate open space planning standards </w:t>
      </w:r>
      <w:r w:rsidR="00555F11">
        <w:rPr>
          <w:lang w:val="en-AU"/>
        </w:rPr>
        <w:t>ha</w:t>
      </w:r>
      <w:r w:rsidR="00207A30">
        <w:rPr>
          <w:lang w:val="en-AU"/>
        </w:rPr>
        <w:t>s</w:t>
      </w:r>
      <w:r w:rsidR="00555F11">
        <w:rPr>
          <w:lang w:val="en-AU"/>
        </w:rPr>
        <w:t xml:space="preserve"> been subject to consistent criticism </w:t>
      </w:r>
      <w:r w:rsidR="00207A30">
        <w:rPr>
          <w:lang w:val="en-AU"/>
        </w:rPr>
        <w:t xml:space="preserve">in Australia and elsewhere </w:t>
      </w:r>
      <w:r w:rsidR="00D529F3">
        <w:rPr>
          <w:lang w:val="en-AU"/>
        </w:rPr>
        <w:t>(e.g. Gray and Cullen, 1976: 30-31; Marriott, 1980a, 1980b, 1999; Gold, 197</w:t>
      </w:r>
      <w:r w:rsidR="00DF56C1">
        <w:rPr>
          <w:lang w:val="en-AU"/>
        </w:rPr>
        <w:t>3</w:t>
      </w:r>
      <w:r w:rsidR="00D529F3">
        <w:rPr>
          <w:lang w:val="en-AU"/>
        </w:rPr>
        <w:t xml:space="preserve">, 1980: 180-81; Jeavons, 2000; Veal, 2002: 119-121, Torkildsen, 2005: 244ff). Consequently, over </w:t>
      </w:r>
      <w:r w:rsidR="00662D17">
        <w:rPr>
          <w:lang w:val="en-AU"/>
        </w:rPr>
        <w:t xml:space="preserve">recent </w:t>
      </w:r>
      <w:r w:rsidR="00D529F3">
        <w:rPr>
          <w:lang w:val="en-AU"/>
        </w:rPr>
        <w:t xml:space="preserve">decades, efforts have been made to wean planners off the use of standards and to encourage the adoption of other approaches to </w:t>
      </w:r>
      <w:r w:rsidR="00662D17">
        <w:rPr>
          <w:lang w:val="en-AU"/>
        </w:rPr>
        <w:t xml:space="preserve">the planning of open space and </w:t>
      </w:r>
      <w:r w:rsidR="00D529F3">
        <w:rPr>
          <w:lang w:val="en-AU"/>
        </w:rPr>
        <w:t>recreation</w:t>
      </w:r>
      <w:r w:rsidR="00662D17">
        <w:rPr>
          <w:lang w:val="en-AU"/>
        </w:rPr>
        <w:t xml:space="preserve"> generally</w:t>
      </w:r>
      <w:r w:rsidR="00D529F3">
        <w:rPr>
          <w:lang w:val="en-AU"/>
        </w:rPr>
        <w:t xml:space="preserve">, such as demand-based or needs-based models. In Australia this  message </w:t>
      </w:r>
      <w:r w:rsidR="004B4F55">
        <w:rPr>
          <w:lang w:val="en-AU"/>
        </w:rPr>
        <w:t xml:space="preserve">has been a key feature </w:t>
      </w:r>
      <w:r w:rsidR="00D529F3">
        <w:rPr>
          <w:lang w:val="en-AU"/>
        </w:rPr>
        <w:t xml:space="preserve">of a number of </w:t>
      </w:r>
      <w:r w:rsidR="00E66D69">
        <w:rPr>
          <w:lang w:val="en-AU"/>
        </w:rPr>
        <w:t xml:space="preserve">sets of guidelines </w:t>
      </w:r>
      <w:r w:rsidR="00D529F3">
        <w:rPr>
          <w:lang w:val="en-AU"/>
        </w:rPr>
        <w:t xml:space="preserve">produced by </w:t>
      </w:r>
      <w:r w:rsidR="00442EDA">
        <w:rPr>
          <w:lang w:val="en-AU"/>
        </w:rPr>
        <w:t>S</w:t>
      </w:r>
      <w:r w:rsidR="00D529F3">
        <w:rPr>
          <w:lang w:val="en-AU"/>
        </w:rPr>
        <w:t>tate governments, including South Australia (Marriott, 1987), New South Wales (NSW Dept of Planning, 1992) and Tasmania (</w:t>
      </w:r>
      <w:r w:rsidR="00E66D69">
        <w:rPr>
          <w:lang w:val="en-AU"/>
        </w:rPr>
        <w:t xml:space="preserve">Marriott, </w:t>
      </w:r>
      <w:r w:rsidR="00D529F3">
        <w:rPr>
          <w:lang w:val="en-AU"/>
        </w:rPr>
        <w:t xml:space="preserve">2010). The same trend can be observed in the United States where the NRPA, in </w:t>
      </w:r>
      <w:r>
        <w:rPr>
          <w:lang w:val="en-AU"/>
        </w:rPr>
        <w:t>1</w:t>
      </w:r>
      <w:r w:rsidR="00D529F3">
        <w:rPr>
          <w:lang w:val="en-AU"/>
        </w:rPr>
        <w:t>983</w:t>
      </w:r>
      <w:r>
        <w:rPr>
          <w:lang w:val="en-AU"/>
        </w:rPr>
        <w:t xml:space="preserve">, proposed </w:t>
      </w:r>
      <w:r w:rsidR="00D529F3">
        <w:rPr>
          <w:lang w:val="en-AU"/>
        </w:rPr>
        <w:t>a needs-based methodology in addition to standards (Lancaster, 1983) and</w:t>
      </w:r>
      <w:r w:rsidR="004B4F55">
        <w:rPr>
          <w:lang w:val="en-AU"/>
        </w:rPr>
        <w:t>,</w:t>
      </w:r>
      <w:r w:rsidR="00D529F3">
        <w:rPr>
          <w:lang w:val="en-AU"/>
        </w:rPr>
        <w:t xml:space="preserve"> in 1996</w:t>
      </w:r>
      <w:r w:rsidR="004B4F55">
        <w:rPr>
          <w:lang w:val="en-AU"/>
        </w:rPr>
        <w:t>,</w:t>
      </w:r>
      <w:r w:rsidR="00D529F3">
        <w:rPr>
          <w:lang w:val="en-AU"/>
        </w:rPr>
        <w:t xml:space="preserve"> dropped </w:t>
      </w:r>
      <w:r w:rsidR="00DF56C1">
        <w:rPr>
          <w:lang w:val="en-AU"/>
        </w:rPr>
        <w:t xml:space="preserve">the use of </w:t>
      </w:r>
      <w:r w:rsidR="00D529F3">
        <w:rPr>
          <w:lang w:val="en-AU"/>
        </w:rPr>
        <w:t xml:space="preserve">standards altogether (Mertes and Hall, 1996: 7). </w:t>
      </w:r>
      <w:r w:rsidR="001921CA">
        <w:rPr>
          <w:lang w:val="en-AU"/>
        </w:rPr>
        <w:t xml:space="preserve">In </w:t>
      </w:r>
      <w:r w:rsidR="00662D17">
        <w:rPr>
          <w:lang w:val="en-AU"/>
        </w:rPr>
        <w:t>Britain in the 1960s</w:t>
      </w:r>
      <w:r w:rsidR="004B4F55">
        <w:rPr>
          <w:lang w:val="en-AU"/>
        </w:rPr>
        <w:t>,</w:t>
      </w:r>
      <w:r w:rsidR="00662D17">
        <w:rPr>
          <w:lang w:val="en-AU"/>
        </w:rPr>
        <w:t xml:space="preserve"> the</w:t>
      </w:r>
      <w:r w:rsidR="001921CA">
        <w:rPr>
          <w:lang w:val="en-AU"/>
        </w:rPr>
        <w:t xml:space="preserve"> </w:t>
      </w:r>
      <w:r w:rsidR="00662D17">
        <w:rPr>
          <w:lang w:val="en-AU"/>
        </w:rPr>
        <w:t xml:space="preserve">Sports Council (1968) </w:t>
      </w:r>
      <w:r w:rsidR="00DF56C1">
        <w:rPr>
          <w:lang w:val="en-AU"/>
        </w:rPr>
        <w:t>developed</w:t>
      </w:r>
      <w:r w:rsidR="00662D17">
        <w:rPr>
          <w:lang w:val="en-AU"/>
        </w:rPr>
        <w:t xml:space="preserve"> a demand-based planning model for </w:t>
      </w:r>
      <w:r w:rsidR="00BE0057">
        <w:rPr>
          <w:lang w:val="en-AU"/>
        </w:rPr>
        <w:t xml:space="preserve">planning for </w:t>
      </w:r>
      <w:r w:rsidR="00662D17">
        <w:rPr>
          <w:lang w:val="en-AU"/>
        </w:rPr>
        <w:t>sport and</w:t>
      </w:r>
      <w:r w:rsidR="004B4F55">
        <w:rPr>
          <w:lang w:val="en-AU"/>
        </w:rPr>
        <w:t>,</w:t>
      </w:r>
      <w:r w:rsidR="00662D17">
        <w:rPr>
          <w:lang w:val="en-AU"/>
        </w:rPr>
        <w:t xml:space="preserve"> in this century</w:t>
      </w:r>
      <w:r w:rsidR="004B4F55">
        <w:rPr>
          <w:lang w:val="en-AU"/>
        </w:rPr>
        <w:t>,</w:t>
      </w:r>
      <w:r w:rsidR="00662D17">
        <w:rPr>
          <w:lang w:val="en-AU"/>
        </w:rPr>
        <w:t xml:space="preserve"> </w:t>
      </w:r>
      <w:r w:rsidR="001921CA">
        <w:rPr>
          <w:lang w:val="en-GB"/>
        </w:rPr>
        <w:t xml:space="preserve">the </w:t>
      </w:r>
      <w:r w:rsidR="001451EA">
        <w:rPr>
          <w:lang w:val="en-GB"/>
        </w:rPr>
        <w:t xml:space="preserve">UK </w:t>
      </w:r>
      <w:r w:rsidR="001921CA">
        <w:rPr>
          <w:lang w:val="en-GB"/>
        </w:rPr>
        <w:t>government</w:t>
      </w:r>
      <w:r w:rsidR="00623520">
        <w:rPr>
          <w:lang w:val="en-GB"/>
        </w:rPr>
        <w:t>'</w:t>
      </w:r>
      <w:r w:rsidR="001921CA">
        <w:rPr>
          <w:lang w:val="en-GB"/>
        </w:rPr>
        <w:t xml:space="preserve">s </w:t>
      </w:r>
      <w:r w:rsidR="001921CA" w:rsidRPr="000B470F">
        <w:rPr>
          <w:i/>
          <w:lang w:val="en-GB"/>
        </w:rPr>
        <w:t xml:space="preserve">Planning Policy Guidance 17 </w:t>
      </w:r>
      <w:r w:rsidR="001921CA">
        <w:rPr>
          <w:lang w:val="en-GB"/>
        </w:rPr>
        <w:t>stated that '</w:t>
      </w:r>
      <w:r w:rsidR="001921CA" w:rsidRPr="0091157A">
        <w:rPr>
          <w:lang w:val="en-GB"/>
        </w:rPr>
        <w:t>open space standards are best set locally. National standards cannot cater for local circumstances, such as differing demographic profiles and the extent of existing built development in an area' (Office of the Deputy Prime Minister, 2002: Para. 6)</w:t>
      </w:r>
      <w:r w:rsidR="001921CA">
        <w:rPr>
          <w:lang w:val="en-GB"/>
        </w:rPr>
        <w:t>.</w:t>
      </w:r>
    </w:p>
    <w:p w:rsidR="00D529F3" w:rsidRDefault="00D529F3" w:rsidP="0054231D">
      <w:pPr>
        <w:tabs>
          <w:tab w:val="left" w:pos="-1099"/>
          <w:tab w:val="left" w:pos="-720"/>
          <w:tab w:val="left" w:pos="0"/>
          <w:tab w:val="left" w:pos="430"/>
          <w:tab w:val="left" w:pos="884"/>
        </w:tabs>
        <w:rPr>
          <w:lang w:val="en-AU"/>
        </w:rPr>
      </w:pPr>
    </w:p>
    <w:p w:rsidR="002C038E" w:rsidRDefault="00D529F3" w:rsidP="0054231D">
      <w:pPr>
        <w:tabs>
          <w:tab w:val="left" w:pos="-1099"/>
          <w:tab w:val="left" w:pos="-720"/>
          <w:tab w:val="left" w:pos="0"/>
          <w:tab w:val="left" w:pos="430"/>
          <w:tab w:val="left" w:pos="884"/>
        </w:tabs>
        <w:rPr>
          <w:lang w:val="en-AU"/>
        </w:rPr>
      </w:pPr>
      <w:r>
        <w:rPr>
          <w:lang w:val="en-AU"/>
        </w:rPr>
        <w:t xml:space="preserve">Despite these efforts, the use of </w:t>
      </w:r>
      <w:r w:rsidR="00DF56C1">
        <w:rPr>
          <w:lang w:val="en-AU"/>
        </w:rPr>
        <w:t xml:space="preserve">national or, in the case of Australia, </w:t>
      </w:r>
      <w:r w:rsidR="004B4F55">
        <w:rPr>
          <w:lang w:val="en-AU"/>
        </w:rPr>
        <w:t>S</w:t>
      </w:r>
      <w:r w:rsidR="00DF56C1">
        <w:rPr>
          <w:lang w:val="en-AU"/>
        </w:rPr>
        <w:t xml:space="preserve">tate </w:t>
      </w:r>
      <w:r>
        <w:rPr>
          <w:lang w:val="en-AU"/>
        </w:rPr>
        <w:t>standards persists</w:t>
      </w:r>
      <w:r w:rsidR="004B4F55">
        <w:rPr>
          <w:lang w:val="en-AU"/>
        </w:rPr>
        <w:t>:</w:t>
      </w:r>
      <w:r>
        <w:rPr>
          <w:lang w:val="en-AU"/>
        </w:rPr>
        <w:t xml:space="preserve"> of the </w:t>
      </w:r>
      <w:r w:rsidR="00E66D69">
        <w:rPr>
          <w:lang w:val="en-AU"/>
        </w:rPr>
        <w:t>five</w:t>
      </w:r>
      <w:r>
        <w:rPr>
          <w:lang w:val="en-AU"/>
        </w:rPr>
        <w:t xml:space="preserve"> sets of </w:t>
      </w:r>
      <w:r w:rsidR="007D4EA6">
        <w:rPr>
          <w:lang w:val="en-AU"/>
        </w:rPr>
        <w:t xml:space="preserve">open space/recreation </w:t>
      </w:r>
      <w:r>
        <w:rPr>
          <w:lang w:val="en-AU"/>
        </w:rPr>
        <w:t xml:space="preserve">planning guidelines produced by </w:t>
      </w:r>
      <w:r w:rsidR="004B4F55">
        <w:rPr>
          <w:lang w:val="en-AU"/>
        </w:rPr>
        <w:t>S</w:t>
      </w:r>
      <w:r>
        <w:rPr>
          <w:lang w:val="en-AU"/>
        </w:rPr>
        <w:t xml:space="preserve">tate governments since 2000, </w:t>
      </w:r>
      <w:r w:rsidR="00E66D69">
        <w:rPr>
          <w:lang w:val="en-AU"/>
        </w:rPr>
        <w:t>four</w:t>
      </w:r>
      <w:r>
        <w:rPr>
          <w:lang w:val="en-AU"/>
        </w:rPr>
        <w:t xml:space="preserve"> have recommended the use of standards (Sport and Recreation Queensland, 2003; </w:t>
      </w:r>
      <w:r w:rsidR="00E66D69">
        <w:rPr>
          <w:lang w:val="en-AU"/>
        </w:rPr>
        <w:t xml:space="preserve">WA Dept of Sport and Recreation, 2007; </w:t>
      </w:r>
      <w:r>
        <w:rPr>
          <w:lang w:val="en-AU"/>
        </w:rPr>
        <w:t>Australian Social and Recreation Research, 2008</w:t>
      </w:r>
      <w:r w:rsidR="00D94DD1">
        <w:rPr>
          <w:lang w:val="en-AU"/>
        </w:rPr>
        <w:t xml:space="preserve"> (</w:t>
      </w:r>
      <w:r w:rsidR="00E66D69">
        <w:rPr>
          <w:lang w:val="en-AU"/>
        </w:rPr>
        <w:t>Vic.</w:t>
      </w:r>
      <w:r w:rsidR="00D94DD1">
        <w:rPr>
          <w:lang w:val="en-AU"/>
        </w:rPr>
        <w:t>)</w:t>
      </w:r>
      <w:r>
        <w:rPr>
          <w:lang w:val="en-AU"/>
        </w:rPr>
        <w:t>; NSW Department of Planning, 2010)</w:t>
      </w:r>
      <w:r w:rsidR="00DF42D2">
        <w:rPr>
          <w:rStyle w:val="EndnoteReference"/>
          <w:lang w:val="en-AU"/>
        </w:rPr>
        <w:endnoteReference w:id="2"/>
      </w:r>
      <w:r w:rsidR="00442EDA">
        <w:rPr>
          <w:lang w:val="en-AU"/>
        </w:rPr>
        <w:t>.</w:t>
      </w:r>
      <w:r w:rsidR="004B4F55">
        <w:rPr>
          <w:lang w:val="en-AU"/>
        </w:rPr>
        <w:t>I</w:t>
      </w:r>
      <w:r>
        <w:rPr>
          <w:lang w:val="en-AU"/>
        </w:rPr>
        <w:t>n Britain</w:t>
      </w:r>
      <w:r w:rsidR="00623520">
        <w:rPr>
          <w:lang w:val="en-AU"/>
        </w:rPr>
        <w:t>,</w:t>
      </w:r>
      <w:r>
        <w:rPr>
          <w:lang w:val="en-AU"/>
        </w:rPr>
        <w:t xml:space="preserve"> Fields in Trust </w:t>
      </w:r>
      <w:r w:rsidR="00DF56C1">
        <w:rPr>
          <w:lang w:val="en-AU"/>
        </w:rPr>
        <w:t xml:space="preserve">(FIT) </w:t>
      </w:r>
      <w:r>
        <w:rPr>
          <w:lang w:val="en-AU"/>
        </w:rPr>
        <w:t xml:space="preserve">continues to promote the use of its standard, </w:t>
      </w:r>
      <w:r w:rsidR="004B4F55">
        <w:rPr>
          <w:lang w:val="en-AU"/>
        </w:rPr>
        <w:t>declaring</w:t>
      </w:r>
      <w:r>
        <w:rPr>
          <w:lang w:val="en-AU"/>
        </w:rPr>
        <w:t xml:space="preserve"> in 2008 that it was still 'widely used' by local </w:t>
      </w:r>
      <w:r>
        <w:rPr>
          <w:lang w:val="en-AU"/>
        </w:rPr>
        <w:lastRenderedPageBreak/>
        <w:t>government in England (Fields in Trust, 2008</w:t>
      </w:r>
      <w:r w:rsidR="001451EA">
        <w:rPr>
          <w:lang w:val="en-AU"/>
        </w:rPr>
        <w:t>)</w:t>
      </w:r>
      <w:r>
        <w:rPr>
          <w:lang w:val="en-AU"/>
        </w:rPr>
        <w:t xml:space="preserve">. </w:t>
      </w:r>
      <w:r w:rsidR="001E1DA1">
        <w:rPr>
          <w:lang w:val="en-AU"/>
        </w:rPr>
        <w:t xml:space="preserve">It should be noted that </w:t>
      </w:r>
      <w:r w:rsidR="00D94DD1">
        <w:rPr>
          <w:lang w:val="en-AU"/>
        </w:rPr>
        <w:t>n</w:t>
      </w:r>
      <w:r w:rsidR="005258B3">
        <w:rPr>
          <w:lang w:val="en-AU"/>
        </w:rPr>
        <w:t>one</w:t>
      </w:r>
      <w:r w:rsidR="00D94DD1">
        <w:rPr>
          <w:lang w:val="en-AU"/>
        </w:rPr>
        <w:t xml:space="preserve"> </w:t>
      </w:r>
      <w:r w:rsidR="001E1DA1">
        <w:rPr>
          <w:lang w:val="en-AU"/>
        </w:rPr>
        <w:t>of the</w:t>
      </w:r>
      <w:r w:rsidR="00DF56C1">
        <w:rPr>
          <w:lang w:val="en-AU"/>
        </w:rPr>
        <w:t>se</w:t>
      </w:r>
      <w:r w:rsidR="00EB49D7">
        <w:rPr>
          <w:lang w:val="en-AU"/>
        </w:rPr>
        <w:t xml:space="preserve"> </w:t>
      </w:r>
      <w:r w:rsidR="007D4EA6">
        <w:rPr>
          <w:lang w:val="en-AU"/>
        </w:rPr>
        <w:t xml:space="preserve">sources </w:t>
      </w:r>
      <w:r w:rsidR="001E1DA1">
        <w:rPr>
          <w:lang w:val="en-AU"/>
        </w:rPr>
        <w:t>propo</w:t>
      </w:r>
      <w:r w:rsidR="00EB49D7">
        <w:rPr>
          <w:lang w:val="en-AU"/>
        </w:rPr>
        <w:t>ses the use</w:t>
      </w:r>
      <w:r w:rsidR="001E1DA1">
        <w:rPr>
          <w:lang w:val="en-AU"/>
        </w:rPr>
        <w:t xml:space="preserve"> of standards </w:t>
      </w:r>
      <w:r w:rsidR="001B0AF2">
        <w:rPr>
          <w:lang w:val="en-AU"/>
        </w:rPr>
        <w:t>without qualification. Thus t</w:t>
      </w:r>
      <w:r w:rsidR="00DD36A5" w:rsidRPr="007174BD">
        <w:rPr>
          <w:lang w:val="en-AU"/>
        </w:rPr>
        <w:t>he Sport and Recreation Queensland</w:t>
      </w:r>
      <w:r w:rsidR="00D94DD1" w:rsidRPr="007174BD">
        <w:rPr>
          <w:lang w:val="en-AU"/>
        </w:rPr>
        <w:t xml:space="preserve"> (</w:t>
      </w:r>
      <w:r w:rsidR="00DD36A5" w:rsidRPr="007174BD">
        <w:rPr>
          <w:lang w:val="en-AU"/>
        </w:rPr>
        <w:t xml:space="preserve">2003: 51) guidelines </w:t>
      </w:r>
      <w:r w:rsidR="00D94DD1" w:rsidRPr="007174BD">
        <w:rPr>
          <w:lang w:val="en-AU"/>
        </w:rPr>
        <w:t xml:space="preserve">refer to the 1970s National Capital Development Commission (NCDC) standards, but immediately </w:t>
      </w:r>
      <w:r w:rsidR="00DD36A5" w:rsidRPr="007174BD">
        <w:rPr>
          <w:lang w:val="en-AU"/>
        </w:rPr>
        <w:t>draw attention to the</w:t>
      </w:r>
      <w:r w:rsidR="00D94DD1" w:rsidRPr="007174BD">
        <w:rPr>
          <w:lang w:val="en-AU"/>
        </w:rPr>
        <w:t>ir limitations a</w:t>
      </w:r>
      <w:r w:rsidR="00DD36A5" w:rsidRPr="007174BD">
        <w:rPr>
          <w:lang w:val="en-AU"/>
        </w:rPr>
        <w:t>nd indicate that</w:t>
      </w:r>
      <w:r w:rsidR="001B0AF2">
        <w:rPr>
          <w:lang w:val="en-AU"/>
        </w:rPr>
        <w:t>, while t</w:t>
      </w:r>
      <w:r w:rsidR="001B0AF2" w:rsidRPr="007174BD">
        <w:rPr>
          <w:lang w:val="en-AU"/>
        </w:rPr>
        <w:t>hey are seen as a 'useful starting point'</w:t>
      </w:r>
      <w:r w:rsidR="001B0AF2">
        <w:rPr>
          <w:lang w:val="en-AU"/>
        </w:rPr>
        <w:t>,</w:t>
      </w:r>
      <w:r w:rsidR="00DD36A5" w:rsidRPr="007174BD">
        <w:rPr>
          <w:lang w:val="en-AU"/>
        </w:rPr>
        <w:t xml:space="preserve"> 'sole dependence' on </w:t>
      </w:r>
      <w:r w:rsidR="00D94DD1" w:rsidRPr="007174BD">
        <w:rPr>
          <w:lang w:val="en-AU"/>
        </w:rPr>
        <w:t xml:space="preserve">them </w:t>
      </w:r>
      <w:r w:rsidR="00DD36A5" w:rsidRPr="007174BD">
        <w:rPr>
          <w:lang w:val="en-AU"/>
        </w:rPr>
        <w:t>'is not recommended</w:t>
      </w:r>
      <w:r w:rsidR="00D94DD1" w:rsidRPr="007174BD">
        <w:rPr>
          <w:lang w:val="en-AU"/>
        </w:rPr>
        <w:t>'</w:t>
      </w:r>
      <w:r w:rsidR="001B0AF2">
        <w:rPr>
          <w:lang w:val="en-AU"/>
        </w:rPr>
        <w:t xml:space="preserve"> </w:t>
      </w:r>
      <w:r w:rsidR="001B0AF2" w:rsidRPr="007174BD">
        <w:rPr>
          <w:lang w:val="en-AU"/>
        </w:rPr>
        <w:t>(p. 95)</w:t>
      </w:r>
      <w:r w:rsidR="00DD36A5" w:rsidRPr="007174BD">
        <w:rPr>
          <w:lang w:val="en-AU"/>
        </w:rPr>
        <w:t>.</w:t>
      </w:r>
      <w:r w:rsidR="00E66D69" w:rsidRPr="00E66D69">
        <w:rPr>
          <w:lang w:val="en-AU"/>
        </w:rPr>
        <w:t xml:space="preserve"> </w:t>
      </w:r>
      <w:r w:rsidR="00E66D69">
        <w:rPr>
          <w:lang w:val="en-AU"/>
        </w:rPr>
        <w:t>T</w:t>
      </w:r>
      <w:r w:rsidR="00E66D69" w:rsidRPr="002C038E">
        <w:rPr>
          <w:lang w:val="en-AU"/>
        </w:rPr>
        <w:t>he New South Wales guidelines document (NSWDP, 2010: 27) states that standards 'should only be a starting reference point; over reliance on such standards in lieu of rigorous consultative research into the community's requirements may produce unsatisfactory results'.</w:t>
      </w:r>
      <w:r w:rsidR="00DD36A5" w:rsidRPr="007174BD">
        <w:rPr>
          <w:lang w:val="en-AU"/>
        </w:rPr>
        <w:t xml:space="preserve"> </w:t>
      </w:r>
      <w:r w:rsidR="00D94DD1" w:rsidRPr="002C038E">
        <w:rPr>
          <w:lang w:val="en-AU"/>
        </w:rPr>
        <w:t>The Fields in Trust</w:t>
      </w:r>
      <w:r w:rsidR="00DF56C1">
        <w:rPr>
          <w:lang w:val="en-AU"/>
        </w:rPr>
        <w:t xml:space="preserve"> </w:t>
      </w:r>
      <w:r w:rsidR="00D94DD1" w:rsidRPr="002C038E">
        <w:rPr>
          <w:lang w:val="en-AU"/>
        </w:rPr>
        <w:t xml:space="preserve">document </w:t>
      </w:r>
      <w:r w:rsidR="001451EA">
        <w:rPr>
          <w:lang w:val="en-AU"/>
        </w:rPr>
        <w:t>p</w:t>
      </w:r>
      <w:r w:rsidR="001B0AF2">
        <w:rPr>
          <w:lang w:val="en-AU"/>
        </w:rPr>
        <w:t>oint</w:t>
      </w:r>
      <w:r w:rsidR="001451EA">
        <w:rPr>
          <w:lang w:val="en-AU"/>
        </w:rPr>
        <w:t>s</w:t>
      </w:r>
      <w:r w:rsidR="001B0AF2">
        <w:rPr>
          <w:lang w:val="en-AU"/>
        </w:rPr>
        <w:t xml:space="preserve"> out that </w:t>
      </w:r>
      <w:r w:rsidR="000B7986" w:rsidRPr="002C038E">
        <w:rPr>
          <w:lang w:val="en-AU"/>
        </w:rPr>
        <w:t>local</w:t>
      </w:r>
      <w:r w:rsidR="00A33618" w:rsidRPr="002C038E">
        <w:rPr>
          <w:lang w:val="en-AU"/>
        </w:rPr>
        <w:t>ly developed</w:t>
      </w:r>
      <w:r w:rsidR="000B7986" w:rsidRPr="002C038E">
        <w:rPr>
          <w:lang w:val="en-AU"/>
        </w:rPr>
        <w:t xml:space="preserve"> standards </w:t>
      </w:r>
      <w:r w:rsidR="004A4A1C" w:rsidRPr="002C038E">
        <w:rPr>
          <w:lang w:val="en-AU"/>
        </w:rPr>
        <w:t>may involve 'variations both below and above</w:t>
      </w:r>
      <w:r w:rsidR="00B50DBB" w:rsidRPr="002C038E">
        <w:rPr>
          <w:lang w:val="en-AU"/>
        </w:rPr>
        <w:t>'</w:t>
      </w:r>
      <w:r w:rsidR="004A4A1C" w:rsidRPr="002C038E">
        <w:rPr>
          <w:lang w:val="en-AU"/>
        </w:rPr>
        <w:t xml:space="preserve"> </w:t>
      </w:r>
      <w:r w:rsidR="000B7986" w:rsidRPr="002C038E">
        <w:rPr>
          <w:lang w:val="en-AU"/>
        </w:rPr>
        <w:t xml:space="preserve">the </w:t>
      </w:r>
      <w:r w:rsidR="001B0AF2">
        <w:rPr>
          <w:lang w:val="en-AU"/>
        </w:rPr>
        <w:t xml:space="preserve">recommended </w:t>
      </w:r>
      <w:r w:rsidR="00E66D69">
        <w:rPr>
          <w:lang w:val="en-AU"/>
        </w:rPr>
        <w:t xml:space="preserve">national </w:t>
      </w:r>
      <w:r w:rsidR="000B7986" w:rsidRPr="002C038E">
        <w:rPr>
          <w:lang w:val="en-AU"/>
        </w:rPr>
        <w:t>standards</w:t>
      </w:r>
      <w:r w:rsidR="001B0AF2">
        <w:rPr>
          <w:lang w:val="en-AU"/>
        </w:rPr>
        <w:t xml:space="preserve"> </w:t>
      </w:r>
      <w:r w:rsidR="004A4A1C" w:rsidRPr="002C038E">
        <w:rPr>
          <w:lang w:val="en-AU"/>
        </w:rPr>
        <w:t>(</w:t>
      </w:r>
      <w:r w:rsidR="001451EA">
        <w:rPr>
          <w:lang w:val="en-AU"/>
        </w:rPr>
        <w:t>FI</w:t>
      </w:r>
      <w:r w:rsidR="001B0AF2">
        <w:rPr>
          <w:lang w:val="en-AU"/>
        </w:rPr>
        <w:t xml:space="preserve">T, 2008: </w:t>
      </w:r>
      <w:r w:rsidR="001B0AF2" w:rsidRPr="002C038E">
        <w:rPr>
          <w:lang w:val="en-AU"/>
        </w:rPr>
        <w:t>Appendix C</w:t>
      </w:r>
      <w:r w:rsidR="001B0AF2">
        <w:rPr>
          <w:lang w:val="en-AU"/>
        </w:rPr>
        <w:t>,</w:t>
      </w:r>
      <w:r w:rsidR="001B0AF2" w:rsidRPr="002C038E">
        <w:rPr>
          <w:lang w:val="en-AU"/>
        </w:rPr>
        <w:t xml:space="preserve"> </w:t>
      </w:r>
      <w:r w:rsidR="004A4A1C" w:rsidRPr="002C038E">
        <w:rPr>
          <w:lang w:val="en-AU"/>
        </w:rPr>
        <w:t>para. 4.1.4)</w:t>
      </w:r>
      <w:r w:rsidR="000B7986" w:rsidRPr="002C038E">
        <w:rPr>
          <w:lang w:val="en-AU"/>
        </w:rPr>
        <w:t xml:space="preserve">. </w:t>
      </w:r>
      <w:r w:rsidR="005258B3">
        <w:rPr>
          <w:lang w:val="en-AU"/>
        </w:rPr>
        <w:t xml:space="preserve">In each case, </w:t>
      </w:r>
      <w:r w:rsidR="001B0AF2">
        <w:rPr>
          <w:lang w:val="en-AU"/>
        </w:rPr>
        <w:t xml:space="preserve">however, </w:t>
      </w:r>
      <w:r w:rsidR="005258B3">
        <w:rPr>
          <w:lang w:val="en-AU"/>
        </w:rPr>
        <w:t xml:space="preserve">advice on </w:t>
      </w:r>
      <w:r w:rsidR="00DF56C1">
        <w:rPr>
          <w:lang w:val="en-AU"/>
        </w:rPr>
        <w:t xml:space="preserve">just </w:t>
      </w:r>
      <w:r w:rsidR="005258B3">
        <w:rPr>
          <w:lang w:val="en-AU"/>
        </w:rPr>
        <w:t xml:space="preserve">how </w:t>
      </w:r>
      <w:r w:rsidR="002C038E">
        <w:rPr>
          <w:lang w:val="en-AU"/>
        </w:rPr>
        <w:t xml:space="preserve">demographic and other data on local circumstances should be analysed to modify </w:t>
      </w:r>
      <w:r w:rsidR="005258B3">
        <w:rPr>
          <w:lang w:val="en-AU"/>
        </w:rPr>
        <w:t xml:space="preserve">the </w:t>
      </w:r>
      <w:r w:rsidR="00DF56C1">
        <w:rPr>
          <w:lang w:val="en-AU"/>
        </w:rPr>
        <w:t>s</w:t>
      </w:r>
      <w:r w:rsidR="005258B3">
        <w:rPr>
          <w:lang w:val="en-AU"/>
        </w:rPr>
        <w:t>tandards is either extremely limited or non-existent.</w:t>
      </w:r>
      <w:r w:rsidR="002C038E">
        <w:rPr>
          <w:lang w:val="en-AU"/>
        </w:rPr>
        <w:t xml:space="preserve"> Furthermore, none addresses the obvious question</w:t>
      </w:r>
      <w:r w:rsidR="001B0AF2">
        <w:rPr>
          <w:lang w:val="en-AU"/>
        </w:rPr>
        <w:t xml:space="preserve">: </w:t>
      </w:r>
      <w:r w:rsidR="002C038E">
        <w:rPr>
          <w:lang w:val="en-AU"/>
        </w:rPr>
        <w:t xml:space="preserve">if there is an available analytical assessment procedure which is capable of determining local </w:t>
      </w:r>
      <w:r w:rsidR="00E66D69">
        <w:rPr>
          <w:lang w:val="en-AU"/>
        </w:rPr>
        <w:t xml:space="preserve">open space </w:t>
      </w:r>
      <w:r w:rsidR="002C038E">
        <w:rPr>
          <w:lang w:val="en-AU"/>
        </w:rPr>
        <w:t xml:space="preserve">requirements so as to modify the </w:t>
      </w:r>
      <w:r w:rsidR="001451EA">
        <w:rPr>
          <w:lang w:val="en-AU"/>
        </w:rPr>
        <w:t xml:space="preserve">recommended </w:t>
      </w:r>
      <w:r w:rsidR="00E66D69">
        <w:rPr>
          <w:lang w:val="en-AU"/>
        </w:rPr>
        <w:t xml:space="preserve">national </w:t>
      </w:r>
      <w:r w:rsidR="002C038E">
        <w:rPr>
          <w:lang w:val="en-AU"/>
        </w:rPr>
        <w:t xml:space="preserve">standards, then why is it necessary to start with the </w:t>
      </w:r>
      <w:r w:rsidR="00E66D69">
        <w:rPr>
          <w:lang w:val="en-AU"/>
        </w:rPr>
        <w:t xml:space="preserve">national </w:t>
      </w:r>
      <w:r w:rsidR="002C038E">
        <w:rPr>
          <w:lang w:val="en-AU"/>
        </w:rPr>
        <w:t xml:space="preserve">standards at all? </w:t>
      </w:r>
    </w:p>
    <w:p w:rsidR="002C038E" w:rsidRDefault="002C038E" w:rsidP="0054231D">
      <w:pPr>
        <w:tabs>
          <w:tab w:val="left" w:pos="-1099"/>
          <w:tab w:val="left" w:pos="-720"/>
          <w:tab w:val="left" w:pos="0"/>
          <w:tab w:val="left" w:pos="430"/>
          <w:tab w:val="left" w:pos="884"/>
        </w:tabs>
        <w:rPr>
          <w:lang w:val="en-AU"/>
        </w:rPr>
      </w:pPr>
    </w:p>
    <w:p w:rsidR="00D529F3" w:rsidRDefault="00FA0C0E" w:rsidP="0054231D">
      <w:pPr>
        <w:tabs>
          <w:tab w:val="left" w:pos="-1099"/>
          <w:tab w:val="left" w:pos="-720"/>
          <w:tab w:val="left" w:pos="0"/>
          <w:tab w:val="left" w:pos="430"/>
          <w:tab w:val="left" w:pos="884"/>
        </w:tabs>
        <w:rPr>
          <w:lang w:val="en-AU"/>
        </w:rPr>
      </w:pPr>
      <w:r>
        <w:rPr>
          <w:lang w:val="en-AU"/>
        </w:rPr>
        <w:t xml:space="preserve">It seems, therefore, that </w:t>
      </w:r>
      <w:r w:rsidR="003277B3">
        <w:rPr>
          <w:lang w:val="en-AU"/>
        </w:rPr>
        <w:t xml:space="preserve">open space </w:t>
      </w:r>
      <w:r w:rsidR="00230A2A">
        <w:rPr>
          <w:lang w:val="en-AU"/>
        </w:rPr>
        <w:t xml:space="preserve">planning practitioners in Australia are divided between </w:t>
      </w:r>
      <w:r w:rsidR="00BE0057">
        <w:rPr>
          <w:lang w:val="en-AU"/>
        </w:rPr>
        <w:t xml:space="preserve">the </w:t>
      </w:r>
      <w:r w:rsidR="00BE0057" w:rsidRPr="003277B3">
        <w:rPr>
          <w:i/>
          <w:lang w:val="en-AU"/>
        </w:rPr>
        <w:t>rejectionists</w:t>
      </w:r>
      <w:r w:rsidR="00BE0057">
        <w:rPr>
          <w:lang w:val="en-AU"/>
        </w:rPr>
        <w:t xml:space="preserve">, </w:t>
      </w:r>
      <w:r w:rsidR="00230A2A">
        <w:rPr>
          <w:lang w:val="en-AU"/>
        </w:rPr>
        <w:t>who unequi</w:t>
      </w:r>
      <w:r w:rsidR="00E60336">
        <w:rPr>
          <w:lang w:val="en-AU"/>
        </w:rPr>
        <w:t xml:space="preserve">vocally reject the use of standards, </w:t>
      </w:r>
      <w:r w:rsidR="00BE0057">
        <w:rPr>
          <w:lang w:val="en-AU"/>
        </w:rPr>
        <w:t>even while debate continues as to wh</w:t>
      </w:r>
      <w:r w:rsidR="004B4F55">
        <w:rPr>
          <w:lang w:val="en-AU"/>
        </w:rPr>
        <w:t>ich</w:t>
      </w:r>
      <w:r w:rsidR="00BE0057">
        <w:rPr>
          <w:lang w:val="en-AU"/>
        </w:rPr>
        <w:t xml:space="preserve"> methodologies are most appropriate to replace the</w:t>
      </w:r>
      <w:r w:rsidR="009667BB">
        <w:rPr>
          <w:lang w:val="en-AU"/>
        </w:rPr>
        <w:t>m</w:t>
      </w:r>
      <w:r w:rsidR="00BE0057">
        <w:rPr>
          <w:lang w:val="en-AU"/>
        </w:rPr>
        <w:t xml:space="preserve"> (see Veal, 2011), </w:t>
      </w:r>
      <w:r w:rsidR="00E60336">
        <w:rPr>
          <w:lang w:val="en-AU"/>
        </w:rPr>
        <w:t>the</w:t>
      </w:r>
      <w:r w:rsidR="00BE0057">
        <w:rPr>
          <w:lang w:val="en-AU"/>
        </w:rPr>
        <w:t xml:space="preserve"> </w:t>
      </w:r>
      <w:r w:rsidR="00BE0057" w:rsidRPr="003277B3">
        <w:rPr>
          <w:i/>
          <w:lang w:val="en-AU"/>
        </w:rPr>
        <w:t>ambivalents</w:t>
      </w:r>
      <w:r w:rsidR="00BE0057">
        <w:rPr>
          <w:lang w:val="en-AU"/>
        </w:rPr>
        <w:t>,</w:t>
      </w:r>
      <w:r w:rsidR="00E60336">
        <w:rPr>
          <w:lang w:val="en-AU"/>
        </w:rPr>
        <w:t xml:space="preserve"> who appear to accept the limitations of standards but</w:t>
      </w:r>
      <w:r w:rsidR="00BE0057">
        <w:rPr>
          <w:lang w:val="en-AU"/>
        </w:rPr>
        <w:t xml:space="preserve"> continue to see them as a 'starting point'</w:t>
      </w:r>
      <w:r w:rsidR="00BE0057" w:rsidRPr="00BE0057">
        <w:rPr>
          <w:lang w:val="en-AU"/>
        </w:rPr>
        <w:t xml:space="preserve"> </w:t>
      </w:r>
      <w:r w:rsidR="00BE0057">
        <w:rPr>
          <w:lang w:val="en-AU"/>
        </w:rPr>
        <w:t>while being unclear as to exactly how they should be modified</w:t>
      </w:r>
      <w:r w:rsidR="00E60336">
        <w:rPr>
          <w:lang w:val="en-AU"/>
        </w:rPr>
        <w:t xml:space="preserve">, and the </w:t>
      </w:r>
      <w:r w:rsidR="00BE0057" w:rsidRPr="003277B3">
        <w:rPr>
          <w:i/>
          <w:lang w:val="en-AU"/>
        </w:rPr>
        <w:t>advocates</w:t>
      </w:r>
      <w:r w:rsidR="00BE0057">
        <w:rPr>
          <w:lang w:val="en-AU"/>
        </w:rPr>
        <w:t xml:space="preserve">, </w:t>
      </w:r>
      <w:r w:rsidR="00E60336">
        <w:rPr>
          <w:lang w:val="en-AU"/>
        </w:rPr>
        <w:t>who continue to be wedded to the</w:t>
      </w:r>
      <w:r w:rsidR="00BE0057">
        <w:rPr>
          <w:lang w:val="en-AU"/>
        </w:rPr>
        <w:t>ir use</w:t>
      </w:r>
      <w:r w:rsidR="00E60336">
        <w:rPr>
          <w:lang w:val="en-AU"/>
        </w:rPr>
        <w:t xml:space="preserve">. </w:t>
      </w:r>
      <w:r w:rsidR="003277B3">
        <w:rPr>
          <w:lang w:val="en-AU"/>
        </w:rPr>
        <w:t xml:space="preserve">Clearly the ambivalents and advocates believe that the open space standards used in Australia still have at least some credibility. </w:t>
      </w:r>
      <w:r w:rsidR="00BE0057">
        <w:rPr>
          <w:lang w:val="en-AU"/>
        </w:rPr>
        <w:t xml:space="preserve">The purpose of this paper is </w:t>
      </w:r>
      <w:r w:rsidR="003277B3">
        <w:rPr>
          <w:lang w:val="en-AU"/>
        </w:rPr>
        <w:t xml:space="preserve">therefore </w:t>
      </w:r>
      <w:r w:rsidR="00BE0057">
        <w:rPr>
          <w:lang w:val="en-AU"/>
        </w:rPr>
        <w:t>not to re-state the critique of standards in general, or to discuss alternative methodologies, b</w:t>
      </w:r>
      <w:r w:rsidR="00E60336">
        <w:rPr>
          <w:lang w:val="en-AU"/>
        </w:rPr>
        <w:t xml:space="preserve">ut </w:t>
      </w:r>
      <w:r w:rsidR="00BE0057">
        <w:rPr>
          <w:lang w:val="en-AU"/>
        </w:rPr>
        <w:t xml:space="preserve">to </w:t>
      </w:r>
      <w:r w:rsidR="00D529F3">
        <w:rPr>
          <w:lang w:val="en-AU"/>
        </w:rPr>
        <w:t xml:space="preserve">place on record the fact that open space standards used in Australia have never had, and continue not to have, any </w:t>
      </w:r>
      <w:r w:rsidR="007D4EA6">
        <w:rPr>
          <w:lang w:val="en-AU"/>
        </w:rPr>
        <w:t xml:space="preserve">publicly </w:t>
      </w:r>
      <w:r w:rsidR="00D529F3">
        <w:rPr>
          <w:lang w:val="en-AU"/>
        </w:rPr>
        <w:t xml:space="preserve">documented rational basis. </w:t>
      </w:r>
    </w:p>
    <w:p w:rsidR="00D529F3" w:rsidRDefault="00D529F3" w:rsidP="0054231D">
      <w:pPr>
        <w:tabs>
          <w:tab w:val="left" w:pos="-1099"/>
          <w:tab w:val="left" w:pos="-720"/>
          <w:tab w:val="left" w:pos="0"/>
          <w:tab w:val="left" w:pos="430"/>
          <w:tab w:val="left" w:pos="884"/>
        </w:tabs>
        <w:rPr>
          <w:lang w:val="en-AU"/>
        </w:rPr>
      </w:pPr>
    </w:p>
    <w:p w:rsidR="008004EE" w:rsidRDefault="00D529F3" w:rsidP="0054231D">
      <w:pPr>
        <w:tabs>
          <w:tab w:val="left" w:pos="-1099"/>
          <w:tab w:val="left" w:pos="-720"/>
          <w:tab w:val="left" w:pos="0"/>
          <w:tab w:val="left" w:pos="430"/>
          <w:tab w:val="left" w:pos="884"/>
        </w:tabs>
        <w:rPr>
          <w:lang w:val="en-AU"/>
        </w:rPr>
      </w:pPr>
      <w:r>
        <w:rPr>
          <w:lang w:val="en-AU"/>
        </w:rPr>
        <w:t>Th</w:t>
      </w:r>
      <w:r w:rsidR="00207A30">
        <w:rPr>
          <w:lang w:val="en-AU"/>
        </w:rPr>
        <w:t>e</w:t>
      </w:r>
      <w:r>
        <w:rPr>
          <w:lang w:val="en-AU"/>
        </w:rPr>
        <w:t xml:space="preserve"> </w:t>
      </w:r>
      <w:r w:rsidR="007A5D83">
        <w:rPr>
          <w:lang w:val="en-AU"/>
        </w:rPr>
        <w:t xml:space="preserve">discussion </w:t>
      </w:r>
      <w:r w:rsidR="00DF56C1">
        <w:rPr>
          <w:lang w:val="en-AU"/>
        </w:rPr>
        <w:t xml:space="preserve">is divided into </w:t>
      </w:r>
      <w:r w:rsidR="007A5D83">
        <w:rPr>
          <w:lang w:val="en-AU"/>
        </w:rPr>
        <w:t>three main sections</w:t>
      </w:r>
      <w:r>
        <w:rPr>
          <w:lang w:val="en-AU"/>
        </w:rPr>
        <w:t xml:space="preserve">: definitional issues; the origins of open space planning standards in Australia; </w:t>
      </w:r>
      <w:r w:rsidR="001451EA">
        <w:rPr>
          <w:lang w:val="en-AU"/>
        </w:rPr>
        <w:t xml:space="preserve">and </w:t>
      </w:r>
      <w:r w:rsidR="00E60336">
        <w:rPr>
          <w:lang w:val="en-AU"/>
        </w:rPr>
        <w:t xml:space="preserve">the origins and basis of </w:t>
      </w:r>
      <w:r>
        <w:rPr>
          <w:lang w:val="en-AU"/>
        </w:rPr>
        <w:t>overseas sources of standards</w:t>
      </w:r>
      <w:r w:rsidR="001451EA">
        <w:rPr>
          <w:lang w:val="en-AU"/>
        </w:rPr>
        <w:t>.</w:t>
      </w:r>
    </w:p>
    <w:p w:rsidR="001451EA" w:rsidRDefault="001451EA"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b/>
          <w:bCs/>
          <w:lang w:val="en-AU"/>
        </w:rPr>
        <w:t>What are standards?</w:t>
      </w:r>
    </w:p>
    <w:p w:rsidR="00D529F3" w:rsidRDefault="00D529F3" w:rsidP="0054231D">
      <w:pPr>
        <w:tabs>
          <w:tab w:val="left" w:pos="-1099"/>
          <w:tab w:val="left" w:pos="-720"/>
          <w:tab w:val="left" w:pos="0"/>
          <w:tab w:val="left" w:pos="430"/>
          <w:tab w:val="left" w:pos="884"/>
        </w:tabs>
        <w:rPr>
          <w:lang w:val="en-AU"/>
        </w:rPr>
      </w:pPr>
    </w:p>
    <w:p w:rsidR="0064130D" w:rsidRDefault="00D529F3" w:rsidP="0054231D">
      <w:pPr>
        <w:tabs>
          <w:tab w:val="left" w:pos="-1099"/>
          <w:tab w:val="left" w:pos="-720"/>
          <w:tab w:val="left" w:pos="0"/>
          <w:tab w:val="left" w:pos="430"/>
          <w:tab w:val="left" w:pos="884"/>
        </w:tabs>
        <w:rPr>
          <w:lang w:val="en-AU"/>
        </w:rPr>
      </w:pPr>
      <w:r>
        <w:rPr>
          <w:lang w:val="en-AU"/>
        </w:rPr>
        <w:t xml:space="preserve">In the context of planning for </w:t>
      </w:r>
      <w:r w:rsidR="003277B3">
        <w:rPr>
          <w:lang w:val="en-AU"/>
        </w:rPr>
        <w:t>open space</w:t>
      </w:r>
      <w:r>
        <w:rPr>
          <w:lang w:val="en-AU"/>
        </w:rPr>
        <w:t xml:space="preserve">, the term 'standard' is used in five ways, as shown in Table 1. </w:t>
      </w:r>
      <w:r w:rsidR="0064130D">
        <w:rPr>
          <w:lang w:val="en-AU"/>
        </w:rPr>
        <w:t xml:space="preserve">The population-ratio standard is the format which has been most commonly subject to criticism and is the main focus of this paper. </w:t>
      </w:r>
      <w:r w:rsidR="0064130D" w:rsidRPr="009667BB">
        <w:rPr>
          <w:lang w:val="en-AU"/>
        </w:rPr>
        <w:t xml:space="preserve">The area-percentage and catchment area formats are not discussed </w:t>
      </w:r>
      <w:r w:rsidR="007D4EA6">
        <w:rPr>
          <w:lang w:val="en-AU"/>
        </w:rPr>
        <w:t>here</w:t>
      </w:r>
      <w:r w:rsidR="0064130D">
        <w:rPr>
          <w:lang w:val="en-AU"/>
        </w:rPr>
        <w:t>, but can be seen as variations on the population-ratio format when population density is taken into account</w:t>
      </w:r>
      <w:r w:rsidR="0064130D" w:rsidRPr="009667BB">
        <w:rPr>
          <w:lang w:val="en-AU"/>
        </w:rPr>
        <w:t>.</w:t>
      </w:r>
      <w:r w:rsidR="0064130D">
        <w:rPr>
          <w:lang w:val="en-AU"/>
        </w:rPr>
        <w:t xml:space="preserve"> Two additional types of standard are included for completeness, but not discussed further in the paper. Facility-specification standards are typically specified by sporting bodies, but </w:t>
      </w:r>
      <w:r w:rsidR="004B4F55">
        <w:rPr>
          <w:lang w:val="en-AU"/>
        </w:rPr>
        <w:t>can</w:t>
      </w:r>
      <w:r w:rsidR="007A5D83">
        <w:rPr>
          <w:lang w:val="en-AU"/>
        </w:rPr>
        <w:t xml:space="preserve"> </w:t>
      </w:r>
      <w:r w:rsidR="0064130D">
        <w:rPr>
          <w:lang w:val="en-AU"/>
        </w:rPr>
        <w:t xml:space="preserve">also </w:t>
      </w:r>
      <w:r w:rsidR="007A5D83">
        <w:rPr>
          <w:lang w:val="en-AU"/>
        </w:rPr>
        <w:t xml:space="preserve">be </w:t>
      </w:r>
      <w:r w:rsidR="0064130D">
        <w:rPr>
          <w:lang w:val="en-AU"/>
        </w:rPr>
        <w:t>related to such matters as public safety. Local standards for a</w:t>
      </w:r>
      <w:r w:rsidR="007A5D83">
        <w:rPr>
          <w:lang w:val="en-AU"/>
        </w:rPr>
        <w:t xml:space="preserve"> single </w:t>
      </w:r>
      <w:r w:rsidR="0064130D">
        <w:rPr>
          <w:lang w:val="en-AU"/>
        </w:rPr>
        <w:t xml:space="preserve">jurisdiction, such as a single local council, </w:t>
      </w:r>
      <w:r w:rsidR="004B4F55">
        <w:rPr>
          <w:lang w:val="en-AU"/>
        </w:rPr>
        <w:t>can</w:t>
      </w:r>
      <w:r w:rsidR="0064130D">
        <w:rPr>
          <w:lang w:val="en-AU"/>
        </w:rPr>
        <w:t xml:space="preserve"> be derived from any of the first three types or other methodologies, such as a demand-based or needs-based models, taking account of local conditions and local data. Depending on how they are derived, they are generally seen as acceptable by most commentators. </w:t>
      </w:r>
    </w:p>
    <w:p w:rsidR="00533A4B" w:rsidRDefault="00533A4B" w:rsidP="0054231D">
      <w:pPr>
        <w:tabs>
          <w:tab w:val="left" w:pos="-1099"/>
          <w:tab w:val="left" w:pos="-720"/>
          <w:tab w:val="left" w:pos="0"/>
          <w:tab w:val="left" w:pos="430"/>
          <w:tab w:val="left" w:pos="884"/>
        </w:tabs>
        <w:rPr>
          <w:bCs/>
          <w:lang w:val="en-AU"/>
        </w:rPr>
      </w:pPr>
    </w:p>
    <w:p w:rsidR="0054231D" w:rsidRDefault="0054231D" w:rsidP="0054231D">
      <w:pPr>
        <w:tabs>
          <w:tab w:val="left" w:pos="-1099"/>
          <w:tab w:val="left" w:pos="-720"/>
          <w:tab w:val="left" w:pos="0"/>
          <w:tab w:val="left" w:pos="430"/>
          <w:tab w:val="left" w:pos="884"/>
        </w:tabs>
        <w:rPr>
          <w:bCs/>
          <w:lang w:val="en-AU"/>
        </w:rPr>
      </w:pPr>
    </w:p>
    <w:p w:rsidR="0054231D" w:rsidRPr="00533A4B" w:rsidRDefault="0054231D" w:rsidP="0054231D">
      <w:pPr>
        <w:tabs>
          <w:tab w:val="left" w:pos="-1099"/>
          <w:tab w:val="left" w:pos="-720"/>
          <w:tab w:val="left" w:pos="0"/>
          <w:tab w:val="left" w:pos="430"/>
          <w:tab w:val="left" w:pos="884"/>
        </w:tabs>
        <w:rPr>
          <w:bCs/>
          <w:lang w:val="en-AU"/>
        </w:rPr>
      </w:pPr>
    </w:p>
    <w:p w:rsidR="0054231D" w:rsidRDefault="0054231D" w:rsidP="0054231D">
      <w:pPr>
        <w:tabs>
          <w:tab w:val="left" w:pos="-1099"/>
          <w:tab w:val="left" w:pos="-720"/>
          <w:tab w:val="left" w:pos="0"/>
          <w:tab w:val="left" w:pos="430"/>
          <w:tab w:val="left" w:pos="884"/>
        </w:tabs>
        <w:rPr>
          <w:b/>
          <w:bCs/>
          <w:lang w:val="en-AU"/>
        </w:rPr>
      </w:pPr>
    </w:p>
    <w:p w:rsidR="00212E41" w:rsidRDefault="00212E41" w:rsidP="0054231D">
      <w:pPr>
        <w:tabs>
          <w:tab w:val="left" w:pos="-1099"/>
          <w:tab w:val="left" w:pos="-720"/>
          <w:tab w:val="left" w:pos="0"/>
          <w:tab w:val="left" w:pos="430"/>
          <w:tab w:val="left" w:pos="884"/>
        </w:tabs>
        <w:rPr>
          <w:b/>
          <w:bCs/>
          <w:lang w:val="en-AU"/>
        </w:rPr>
      </w:pPr>
      <w:r>
        <w:rPr>
          <w:b/>
          <w:bCs/>
          <w:lang w:val="en-AU"/>
        </w:rPr>
        <w:t>Table 1. Types of standard</w:t>
      </w:r>
    </w:p>
    <w:tbl>
      <w:tblPr>
        <w:tblW w:w="0" w:type="auto"/>
        <w:tblInd w:w="56" w:type="dxa"/>
        <w:tblLayout w:type="fixed"/>
        <w:tblCellMar>
          <w:top w:w="57" w:type="dxa"/>
          <w:left w:w="56" w:type="dxa"/>
          <w:bottom w:w="57" w:type="dxa"/>
          <w:right w:w="56" w:type="dxa"/>
        </w:tblCellMar>
        <w:tblLook w:val="0000" w:firstRow="0" w:lastRow="0" w:firstColumn="0" w:lastColumn="0" w:noHBand="0" w:noVBand="0"/>
      </w:tblPr>
      <w:tblGrid>
        <w:gridCol w:w="360"/>
        <w:gridCol w:w="2050"/>
        <w:gridCol w:w="6237"/>
      </w:tblGrid>
      <w:tr w:rsidR="00212E41" w:rsidTr="00537D90">
        <w:trPr>
          <w:trHeight w:hRule="exact" w:val="340"/>
        </w:trPr>
        <w:tc>
          <w:tcPr>
            <w:tcW w:w="360" w:type="dxa"/>
            <w:tcBorders>
              <w:top w:val="single" w:sz="7" w:space="0" w:color="000000"/>
              <w:left w:val="nil"/>
              <w:bottom w:val="single" w:sz="4" w:space="0" w:color="auto"/>
              <w:right w:val="nil"/>
            </w:tcBorders>
            <w:vAlign w:val="center"/>
          </w:tcPr>
          <w:p w:rsidR="00212E41" w:rsidRDefault="00212E41" w:rsidP="0054231D">
            <w:pPr>
              <w:tabs>
                <w:tab w:val="left" w:pos="-1099"/>
                <w:tab w:val="left" w:pos="-720"/>
                <w:tab w:val="left" w:pos="0"/>
                <w:tab w:val="left" w:pos="430"/>
                <w:tab w:val="left" w:pos="884"/>
              </w:tabs>
              <w:spacing w:after="58"/>
              <w:rPr>
                <w:i/>
                <w:iCs/>
                <w:lang w:val="en-AU"/>
              </w:rPr>
            </w:pPr>
          </w:p>
        </w:tc>
        <w:tc>
          <w:tcPr>
            <w:tcW w:w="2050" w:type="dxa"/>
            <w:tcBorders>
              <w:top w:val="single" w:sz="8" w:space="0" w:color="000000"/>
              <w:left w:val="nil"/>
              <w:bottom w:val="single" w:sz="4" w:space="0" w:color="auto"/>
              <w:right w:val="nil"/>
            </w:tcBorders>
            <w:vAlign w:val="center"/>
          </w:tcPr>
          <w:p w:rsidR="00212E41" w:rsidRPr="00A01FF8" w:rsidRDefault="00212E41" w:rsidP="0054231D">
            <w:pPr>
              <w:tabs>
                <w:tab w:val="left" w:pos="-1099"/>
                <w:tab w:val="left" w:pos="-720"/>
                <w:tab w:val="left" w:pos="0"/>
                <w:tab w:val="left" w:pos="430"/>
                <w:tab w:val="left" w:pos="884"/>
              </w:tabs>
              <w:spacing w:after="58"/>
              <w:rPr>
                <w:i/>
                <w:iCs/>
                <w:lang w:val="en-AU"/>
              </w:rPr>
            </w:pPr>
            <w:r w:rsidRPr="00A01FF8">
              <w:rPr>
                <w:i/>
                <w:sz w:val="22"/>
                <w:szCs w:val="22"/>
                <w:lang w:val="en-AU"/>
              </w:rPr>
              <w:t>Standard</w:t>
            </w:r>
            <w:r>
              <w:rPr>
                <w:i/>
                <w:sz w:val="22"/>
                <w:szCs w:val="22"/>
                <w:lang w:val="en-AU"/>
              </w:rPr>
              <w:t xml:space="preserve"> type</w:t>
            </w:r>
          </w:p>
        </w:tc>
        <w:tc>
          <w:tcPr>
            <w:tcW w:w="6237" w:type="dxa"/>
            <w:tcBorders>
              <w:top w:val="single" w:sz="4" w:space="0" w:color="auto"/>
              <w:left w:val="nil"/>
              <w:bottom w:val="single" w:sz="4" w:space="0" w:color="auto"/>
            </w:tcBorders>
            <w:vAlign w:val="center"/>
          </w:tcPr>
          <w:p w:rsidR="00212E41" w:rsidRPr="00A01FF8" w:rsidRDefault="00212E41" w:rsidP="0054231D">
            <w:pPr>
              <w:tabs>
                <w:tab w:val="left" w:pos="-1099"/>
                <w:tab w:val="left" w:pos="-720"/>
                <w:tab w:val="left" w:pos="0"/>
                <w:tab w:val="left" w:pos="430"/>
                <w:tab w:val="left" w:pos="884"/>
              </w:tabs>
              <w:spacing w:after="58"/>
              <w:rPr>
                <w:i/>
                <w:iCs/>
                <w:lang w:val="en-AU"/>
              </w:rPr>
            </w:pPr>
            <w:r w:rsidRPr="00A01FF8">
              <w:rPr>
                <w:i/>
                <w:sz w:val="22"/>
                <w:szCs w:val="22"/>
                <w:lang w:val="en-AU"/>
              </w:rPr>
              <w:t>Description</w:t>
            </w:r>
          </w:p>
        </w:tc>
      </w:tr>
      <w:tr w:rsidR="00212E41" w:rsidTr="00537D90">
        <w:tc>
          <w:tcPr>
            <w:tcW w:w="360" w:type="dxa"/>
            <w:tcBorders>
              <w:top w:val="single" w:sz="4" w:space="0" w:color="auto"/>
              <w:left w:val="nil"/>
              <w:bottom w:val="single" w:sz="4" w:space="0" w:color="auto"/>
              <w:right w:val="nil"/>
            </w:tcBorders>
          </w:tcPr>
          <w:p w:rsidR="00212E41" w:rsidRDefault="00212E41" w:rsidP="0054231D">
            <w:pPr>
              <w:tabs>
                <w:tab w:val="left" w:pos="-1099"/>
                <w:tab w:val="left" w:pos="-720"/>
                <w:tab w:val="left" w:pos="0"/>
                <w:tab w:val="left" w:pos="430"/>
                <w:tab w:val="left" w:pos="884"/>
              </w:tabs>
              <w:spacing w:after="58"/>
              <w:rPr>
                <w:lang w:val="en-AU"/>
              </w:rPr>
            </w:pPr>
            <w:r>
              <w:rPr>
                <w:lang w:val="en-AU"/>
              </w:rPr>
              <w:t>1</w:t>
            </w:r>
          </w:p>
        </w:tc>
        <w:tc>
          <w:tcPr>
            <w:tcW w:w="2050" w:type="dxa"/>
            <w:tcBorders>
              <w:top w:val="single" w:sz="4" w:space="0" w:color="auto"/>
              <w:left w:val="nil"/>
              <w:bottom w:val="single" w:sz="4" w:space="0" w:color="auto"/>
              <w:right w:val="nil"/>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 xml:space="preserve">Population-ratio </w:t>
            </w:r>
          </w:p>
        </w:tc>
        <w:tc>
          <w:tcPr>
            <w:tcW w:w="6237" w:type="dxa"/>
            <w:tcBorders>
              <w:top w:val="single" w:sz="4" w:space="0" w:color="auto"/>
              <w:left w:val="nil"/>
              <w:bottom w:val="single" w:sz="4" w:space="0" w:color="auto"/>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A prescribed level of provision of open space related to the level of population – typically per 1000 population.</w:t>
            </w:r>
          </w:p>
        </w:tc>
      </w:tr>
      <w:tr w:rsidR="00212E41" w:rsidTr="00537D90">
        <w:trPr>
          <w:trHeight w:hRule="exact" w:val="437"/>
        </w:trPr>
        <w:tc>
          <w:tcPr>
            <w:tcW w:w="360" w:type="dxa"/>
            <w:tcBorders>
              <w:top w:val="single" w:sz="4" w:space="0" w:color="auto"/>
              <w:left w:val="nil"/>
              <w:bottom w:val="single" w:sz="7" w:space="0" w:color="000000"/>
              <w:right w:val="nil"/>
            </w:tcBorders>
            <w:vAlign w:val="center"/>
          </w:tcPr>
          <w:p w:rsidR="00212E41" w:rsidRDefault="00212E41" w:rsidP="0054231D">
            <w:pPr>
              <w:tabs>
                <w:tab w:val="left" w:pos="-1099"/>
                <w:tab w:val="left" w:pos="-720"/>
                <w:tab w:val="left" w:pos="0"/>
                <w:tab w:val="left" w:pos="430"/>
                <w:tab w:val="left" w:pos="884"/>
              </w:tabs>
              <w:spacing w:after="58"/>
              <w:rPr>
                <w:lang w:val="en-AU"/>
              </w:rPr>
            </w:pPr>
            <w:r>
              <w:rPr>
                <w:lang w:val="en-AU"/>
              </w:rPr>
              <w:t>2</w:t>
            </w:r>
          </w:p>
        </w:tc>
        <w:tc>
          <w:tcPr>
            <w:tcW w:w="2050" w:type="dxa"/>
            <w:tcBorders>
              <w:top w:val="single" w:sz="4" w:space="0" w:color="auto"/>
              <w:left w:val="nil"/>
              <w:bottom w:val="single" w:sz="8" w:space="0" w:color="000000"/>
              <w:right w:val="nil"/>
            </w:tcBorders>
            <w:vAlign w:val="center"/>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 xml:space="preserve">Area-percentage </w:t>
            </w:r>
          </w:p>
        </w:tc>
        <w:tc>
          <w:tcPr>
            <w:tcW w:w="6237" w:type="dxa"/>
            <w:tcBorders>
              <w:top w:val="single" w:sz="4" w:space="0" w:color="auto"/>
              <w:left w:val="nil"/>
              <w:bottom w:val="single" w:sz="4" w:space="0" w:color="auto"/>
            </w:tcBorders>
            <w:vAlign w:val="center"/>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A specified percentage of land to be reserved for open space.</w:t>
            </w:r>
          </w:p>
        </w:tc>
      </w:tr>
      <w:tr w:rsidR="00212E41" w:rsidTr="00537D90">
        <w:tc>
          <w:tcPr>
            <w:tcW w:w="360" w:type="dxa"/>
            <w:tcBorders>
              <w:top w:val="single" w:sz="7" w:space="0" w:color="000000"/>
              <w:left w:val="nil"/>
              <w:bottom w:val="single" w:sz="4" w:space="0" w:color="auto"/>
              <w:right w:val="nil"/>
            </w:tcBorders>
          </w:tcPr>
          <w:p w:rsidR="00212E41" w:rsidRDefault="00212E41" w:rsidP="0054231D">
            <w:pPr>
              <w:tabs>
                <w:tab w:val="left" w:pos="-1099"/>
                <w:tab w:val="left" w:pos="-720"/>
                <w:tab w:val="left" w:pos="0"/>
                <w:tab w:val="left" w:pos="430"/>
                <w:tab w:val="left" w:pos="884"/>
              </w:tabs>
              <w:spacing w:after="58"/>
              <w:rPr>
                <w:lang w:val="en-AU"/>
              </w:rPr>
            </w:pPr>
            <w:r>
              <w:rPr>
                <w:lang w:val="en-AU"/>
              </w:rPr>
              <w:t>3</w:t>
            </w:r>
          </w:p>
        </w:tc>
        <w:tc>
          <w:tcPr>
            <w:tcW w:w="2050" w:type="dxa"/>
            <w:tcBorders>
              <w:top w:val="single" w:sz="8" w:space="0" w:color="000000"/>
              <w:left w:val="nil"/>
              <w:bottom w:val="single" w:sz="4" w:space="0" w:color="auto"/>
              <w:right w:val="nil"/>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Catchment area</w:t>
            </w:r>
          </w:p>
        </w:tc>
        <w:tc>
          <w:tcPr>
            <w:tcW w:w="6237" w:type="dxa"/>
            <w:tcBorders>
              <w:top w:val="single" w:sz="4" w:space="0" w:color="auto"/>
              <w:left w:val="nil"/>
              <w:bottom w:val="single" w:sz="4" w:space="0" w:color="auto"/>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Specification, for various categories of open space, of the 'service area' or maximum distances which residents should have to travel to gain access.</w:t>
            </w:r>
          </w:p>
        </w:tc>
      </w:tr>
      <w:tr w:rsidR="00212E41" w:rsidTr="00537D90">
        <w:tc>
          <w:tcPr>
            <w:tcW w:w="360" w:type="dxa"/>
            <w:tcBorders>
              <w:top w:val="single" w:sz="4" w:space="0" w:color="auto"/>
              <w:left w:val="nil"/>
              <w:bottom w:val="single" w:sz="8" w:space="0" w:color="000000"/>
              <w:right w:val="nil"/>
            </w:tcBorders>
          </w:tcPr>
          <w:p w:rsidR="00212E41" w:rsidRDefault="00212E41" w:rsidP="0054231D">
            <w:pPr>
              <w:tabs>
                <w:tab w:val="left" w:pos="-1099"/>
                <w:tab w:val="left" w:pos="-720"/>
                <w:tab w:val="left" w:pos="0"/>
                <w:tab w:val="left" w:pos="430"/>
                <w:tab w:val="left" w:pos="884"/>
              </w:tabs>
              <w:spacing w:after="58"/>
              <w:rPr>
                <w:lang w:val="en-AU"/>
              </w:rPr>
            </w:pPr>
            <w:r>
              <w:rPr>
                <w:lang w:val="en-AU"/>
              </w:rPr>
              <w:t>4</w:t>
            </w:r>
          </w:p>
        </w:tc>
        <w:tc>
          <w:tcPr>
            <w:tcW w:w="2050" w:type="dxa"/>
            <w:tcBorders>
              <w:top w:val="single" w:sz="4" w:space="0" w:color="auto"/>
              <w:left w:val="nil"/>
              <w:bottom w:val="single" w:sz="8" w:space="0" w:color="000000"/>
              <w:right w:val="nil"/>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Facility specification</w:t>
            </w:r>
          </w:p>
        </w:tc>
        <w:tc>
          <w:tcPr>
            <w:tcW w:w="6237" w:type="dxa"/>
            <w:tcBorders>
              <w:top w:val="single" w:sz="4" w:space="0" w:color="auto"/>
              <w:left w:val="nil"/>
              <w:bottom w:val="single" w:sz="4" w:space="0" w:color="auto"/>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Dimensions and other specifications for – for example, size, markings and equipment for a sports field.</w:t>
            </w:r>
          </w:p>
        </w:tc>
      </w:tr>
      <w:tr w:rsidR="00212E41" w:rsidTr="00537D90">
        <w:trPr>
          <w:trHeight w:hRule="exact" w:val="902"/>
        </w:trPr>
        <w:tc>
          <w:tcPr>
            <w:tcW w:w="360" w:type="dxa"/>
            <w:tcBorders>
              <w:top w:val="single" w:sz="8" w:space="0" w:color="000000"/>
              <w:left w:val="nil"/>
              <w:bottom w:val="single" w:sz="7" w:space="0" w:color="000000"/>
              <w:right w:val="nil"/>
            </w:tcBorders>
          </w:tcPr>
          <w:p w:rsidR="00212E41" w:rsidRDefault="00212E41" w:rsidP="0054231D">
            <w:pPr>
              <w:tabs>
                <w:tab w:val="left" w:pos="-1099"/>
                <w:tab w:val="left" w:pos="-720"/>
                <w:tab w:val="left" w:pos="0"/>
                <w:tab w:val="left" w:pos="430"/>
                <w:tab w:val="left" w:pos="884"/>
              </w:tabs>
              <w:spacing w:after="58"/>
              <w:rPr>
                <w:lang w:val="en-AU"/>
              </w:rPr>
            </w:pPr>
            <w:r>
              <w:rPr>
                <w:lang w:val="en-AU"/>
              </w:rPr>
              <w:t>5</w:t>
            </w:r>
          </w:p>
        </w:tc>
        <w:tc>
          <w:tcPr>
            <w:tcW w:w="2050" w:type="dxa"/>
            <w:tcBorders>
              <w:top w:val="single" w:sz="8" w:space="0" w:color="000000"/>
              <w:left w:val="nil"/>
              <w:bottom w:val="single" w:sz="7" w:space="0" w:color="000000"/>
              <w:right w:val="nil"/>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Local</w:t>
            </w:r>
          </w:p>
        </w:tc>
        <w:tc>
          <w:tcPr>
            <w:tcW w:w="6237" w:type="dxa"/>
            <w:tcBorders>
              <w:top w:val="single" w:sz="4" w:space="0" w:color="auto"/>
              <w:left w:val="nil"/>
              <w:bottom w:val="single" w:sz="4" w:space="0" w:color="auto"/>
            </w:tcBorders>
          </w:tcPr>
          <w:p w:rsidR="00212E41" w:rsidRDefault="00212E41" w:rsidP="0054231D">
            <w:pPr>
              <w:tabs>
                <w:tab w:val="left" w:pos="-1099"/>
                <w:tab w:val="left" w:pos="-720"/>
                <w:tab w:val="left" w:pos="0"/>
                <w:tab w:val="left" w:pos="430"/>
                <w:tab w:val="left" w:pos="884"/>
              </w:tabs>
              <w:spacing w:after="58"/>
              <w:rPr>
                <w:lang w:val="en-AU"/>
              </w:rPr>
            </w:pPr>
            <w:r>
              <w:rPr>
                <w:sz w:val="22"/>
                <w:szCs w:val="22"/>
                <w:lang w:val="en-AU"/>
              </w:rPr>
              <w:t>Standards of provision specific to a local area – based on local conditions, based on a variety of methodologies, and expressed in any of the above formats (although type 4 is usually national).</w:t>
            </w:r>
          </w:p>
        </w:tc>
      </w:tr>
    </w:tbl>
    <w:p w:rsidR="00212E41" w:rsidRDefault="00212E41" w:rsidP="0054231D">
      <w:pPr>
        <w:tabs>
          <w:tab w:val="left" w:pos="-1099"/>
          <w:tab w:val="left" w:pos="-720"/>
          <w:tab w:val="left" w:pos="0"/>
          <w:tab w:val="left" w:pos="430"/>
          <w:tab w:val="left" w:pos="884"/>
        </w:tabs>
        <w:rPr>
          <w:lang w:val="en-AU"/>
        </w:rPr>
      </w:pPr>
    </w:p>
    <w:p w:rsidR="00533A4B" w:rsidRDefault="00533A4B" w:rsidP="0054231D">
      <w:pPr>
        <w:tabs>
          <w:tab w:val="left" w:pos="-1099"/>
          <w:tab w:val="left" w:pos="-720"/>
          <w:tab w:val="left" w:pos="0"/>
          <w:tab w:val="left" w:pos="430"/>
          <w:tab w:val="left" w:pos="884"/>
        </w:tabs>
        <w:rPr>
          <w:lang w:val="en-AU"/>
        </w:rPr>
      </w:pPr>
    </w:p>
    <w:p w:rsidR="0054231D" w:rsidRDefault="0054231D"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b/>
          <w:bCs/>
          <w:lang w:val="en-AU"/>
        </w:rPr>
        <w:t>Origins of open space planning standards in Australia</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The search for origins described in this paper began with the</w:t>
      </w:r>
      <w:r w:rsidR="00A85A49">
        <w:rPr>
          <w:lang w:val="en-AU"/>
        </w:rPr>
        <w:t xml:space="preserve"> recently superseded</w:t>
      </w:r>
      <w:r>
        <w:rPr>
          <w:lang w:val="en-AU"/>
        </w:rPr>
        <w:t xml:space="preserve"> 1992 NSW Department of Planning </w:t>
      </w:r>
      <w:r>
        <w:rPr>
          <w:i/>
          <w:iCs/>
          <w:lang w:val="en-AU"/>
        </w:rPr>
        <w:t>Outdoor Recreation and Open Space Planning Guidelines for Local Government</w:t>
      </w:r>
      <w:r>
        <w:rPr>
          <w:lang w:val="en-AU"/>
        </w:rPr>
        <w:t xml:space="preserve">, which </w:t>
      </w:r>
      <w:r w:rsidR="004B4F55">
        <w:rPr>
          <w:lang w:val="en-AU"/>
        </w:rPr>
        <w:t>observed</w:t>
      </w:r>
      <w:r>
        <w:rPr>
          <w:lang w:val="en-AU"/>
        </w:rPr>
        <w:t>:</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The most common standard of 2.83 hectares/1000 is derived from the British 7 acres per 1000 standard from the early 1900s. It is based on the original British idea of providing adequate space for play and gymnastics for children (Joint Venture for More Affordable Housing, 1989). The reason for this standard being so whole</w:t>
      </w:r>
      <w:r>
        <w:rPr>
          <w:lang w:val="en-AU"/>
        </w:rPr>
        <w:noBreakHyphen/>
        <w:t xml:space="preserve">heartedly endorsed is summarised by Shiels (1989): 'The document that our first planners were weaned on was Brown and Sherrard, </w:t>
      </w:r>
      <w:r>
        <w:rPr>
          <w:i/>
          <w:iCs/>
          <w:lang w:val="en-AU"/>
        </w:rPr>
        <w:t>Town and Country Planning</w:t>
      </w:r>
      <w:r>
        <w:rPr>
          <w:lang w:val="en-AU"/>
        </w:rPr>
        <w:t>, circa 1945, which set an open space requirement of 7 acres for each 1000 head of population'. The old 7 acres per 1000 standard converts to the 2.83 hectares per 1000 which has been applied by the majority of councils. (NSW Dept. of Planning, 1992: 17)</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The question arises as to why it </w:t>
      </w:r>
      <w:r w:rsidR="00A85A49">
        <w:rPr>
          <w:lang w:val="en-AU"/>
        </w:rPr>
        <w:t xml:space="preserve">had been </w:t>
      </w:r>
      <w:r>
        <w:rPr>
          <w:lang w:val="en-AU"/>
        </w:rPr>
        <w:t xml:space="preserve">thought that a standard of provision developed in Britain in the early 1900s would be appropriate for New South Wales in the post-World War II era. </w:t>
      </w:r>
      <w:r w:rsidR="007A5D83">
        <w:rPr>
          <w:lang w:val="en-AU"/>
        </w:rPr>
        <w:t>Indeed, t</w:t>
      </w:r>
      <w:r>
        <w:rPr>
          <w:lang w:val="en-AU"/>
        </w:rPr>
        <w:t xml:space="preserve">he 1992 </w:t>
      </w:r>
      <w:r>
        <w:rPr>
          <w:i/>
          <w:iCs/>
          <w:lang w:val="en-AU"/>
        </w:rPr>
        <w:t>Guidelines</w:t>
      </w:r>
      <w:r>
        <w:rPr>
          <w:lang w:val="en-AU"/>
        </w:rPr>
        <w:t xml:space="preserve"> say, 'there is clearly no logic' in applying the 2.83 ha. standard in the Australian context. The quotation from Shiels was from a</w:t>
      </w:r>
      <w:r w:rsidR="00322F12">
        <w:rPr>
          <w:lang w:val="en-AU"/>
        </w:rPr>
        <w:t xml:space="preserve"> 1989</w:t>
      </w:r>
      <w:r>
        <w:rPr>
          <w:lang w:val="en-AU"/>
        </w:rPr>
        <w:t xml:space="preserve"> address </w:t>
      </w:r>
      <w:r w:rsidR="007A5D83">
        <w:rPr>
          <w:lang w:val="en-AU"/>
        </w:rPr>
        <w:t xml:space="preserve">by the National President of the Royal Australian Planning Institute </w:t>
      </w:r>
      <w:r>
        <w:rPr>
          <w:lang w:val="en-AU"/>
        </w:rPr>
        <w:t>to the then Royal Australian Institute of Parks and Recreation. In it</w:t>
      </w:r>
      <w:r w:rsidR="004B4F55">
        <w:rPr>
          <w:lang w:val="en-AU"/>
        </w:rPr>
        <w:t>,</w:t>
      </w:r>
      <w:r>
        <w:rPr>
          <w:lang w:val="en-AU"/>
        </w:rPr>
        <w:t xml:space="preserve"> Shiels </w:t>
      </w:r>
      <w:r w:rsidR="00A85A49">
        <w:rPr>
          <w:lang w:val="en-AU"/>
        </w:rPr>
        <w:t>(1989: 12</w:t>
      </w:r>
      <w:r w:rsidR="007A5D83">
        <w:rPr>
          <w:lang w:val="en-AU"/>
        </w:rPr>
        <w:t xml:space="preserve">) </w:t>
      </w:r>
      <w:r w:rsidR="00322F12">
        <w:rPr>
          <w:lang w:val="en-AU"/>
        </w:rPr>
        <w:t xml:space="preserve">went </w:t>
      </w:r>
      <w:r>
        <w:rPr>
          <w:lang w:val="en-AU"/>
        </w:rPr>
        <w:t>on to say:</w:t>
      </w:r>
      <w:r w:rsidR="00A85A49">
        <w:rPr>
          <w:lang w:val="en-AU"/>
        </w:rPr>
        <w:t xml:space="preserve"> '</w:t>
      </w:r>
      <w:r>
        <w:rPr>
          <w:lang w:val="en-AU"/>
        </w:rPr>
        <w:t xml:space="preserve">No one ever really asked if this UK standard was appropriate; it was simply adopted. ... Even in the early '70s </w:t>
      </w:r>
      <w:r>
        <w:rPr>
          <w:lang w:val="en-AU"/>
        </w:rPr>
        <w:lastRenderedPageBreak/>
        <w:t>when the first review of open space was carried out, the then [NSW] State Planning Authority didn't query this standard an</w:t>
      </w:r>
      <w:r w:rsidR="00A85A49">
        <w:rPr>
          <w:lang w:val="en-AU"/>
        </w:rPr>
        <w:t>d simply converted it to metric'.</w:t>
      </w:r>
    </w:p>
    <w:p w:rsidR="00322F12" w:rsidRDefault="00322F12" w:rsidP="0054231D">
      <w:pPr>
        <w:tabs>
          <w:tab w:val="left" w:pos="-1099"/>
          <w:tab w:val="left" w:pos="-720"/>
          <w:tab w:val="left" w:pos="0"/>
          <w:tab w:val="left" w:pos="430"/>
          <w:tab w:val="left" w:pos="884"/>
        </w:tabs>
        <w:rPr>
          <w:lang w:val="en-AU"/>
        </w:rPr>
      </w:pPr>
    </w:p>
    <w:p w:rsidR="00D529F3" w:rsidRDefault="00322F12" w:rsidP="0054231D">
      <w:pPr>
        <w:tabs>
          <w:tab w:val="left" w:pos="-1099"/>
          <w:tab w:val="left" w:pos="-720"/>
          <w:tab w:val="left" w:pos="0"/>
          <w:tab w:val="left" w:pos="430"/>
          <w:tab w:val="left" w:pos="884"/>
        </w:tabs>
        <w:rPr>
          <w:lang w:val="en-AU"/>
        </w:rPr>
      </w:pPr>
      <w:r>
        <w:rPr>
          <w:lang w:val="en-AU"/>
        </w:rPr>
        <w:t xml:space="preserve">It </w:t>
      </w:r>
      <w:r w:rsidR="00A85A49">
        <w:rPr>
          <w:lang w:val="en-AU"/>
        </w:rPr>
        <w:t xml:space="preserve">is </w:t>
      </w:r>
      <w:r>
        <w:rPr>
          <w:lang w:val="en-AU"/>
        </w:rPr>
        <w:t>hard to believe that this was really the case, so it was decided to explore the historical  sources in more detail</w:t>
      </w:r>
      <w:r w:rsidR="00A85A49">
        <w:rPr>
          <w:lang w:val="en-AU"/>
        </w:rPr>
        <w:t>, resulting in the current paper</w:t>
      </w:r>
      <w:r>
        <w:rPr>
          <w:lang w:val="en-AU"/>
        </w:rPr>
        <w:t xml:space="preserve">. Examination of the </w:t>
      </w:r>
      <w:r w:rsidR="00D529F3">
        <w:rPr>
          <w:lang w:val="en-AU"/>
        </w:rPr>
        <w:t xml:space="preserve">sources </w:t>
      </w:r>
      <w:r w:rsidR="007A5D83">
        <w:rPr>
          <w:lang w:val="en-AU"/>
        </w:rPr>
        <w:t xml:space="preserve">mentioned above </w:t>
      </w:r>
      <w:r>
        <w:rPr>
          <w:lang w:val="en-AU"/>
        </w:rPr>
        <w:t xml:space="preserve">revealed a number of others, </w:t>
      </w:r>
      <w:r w:rsidR="00D529F3">
        <w:rPr>
          <w:lang w:val="en-AU"/>
        </w:rPr>
        <w:t xml:space="preserve">giving </w:t>
      </w:r>
      <w:r w:rsidR="00F11CDD">
        <w:rPr>
          <w:lang w:val="en-AU"/>
        </w:rPr>
        <w:t xml:space="preserve">a total of </w:t>
      </w:r>
      <w:r w:rsidR="00B65B7F">
        <w:rPr>
          <w:lang w:val="en-AU"/>
        </w:rPr>
        <w:t>eight</w:t>
      </w:r>
      <w:r w:rsidR="00D529F3">
        <w:rPr>
          <w:lang w:val="en-AU"/>
        </w:rPr>
        <w:t xml:space="preserve"> </w:t>
      </w:r>
      <w:r w:rsidR="00F11CDD">
        <w:rPr>
          <w:lang w:val="en-AU"/>
        </w:rPr>
        <w:t xml:space="preserve">which were used to investigate </w:t>
      </w:r>
      <w:r w:rsidR="00D529F3">
        <w:rPr>
          <w:lang w:val="en-AU"/>
        </w:rPr>
        <w:t xml:space="preserve">the </w:t>
      </w:r>
      <w:r w:rsidR="0036302F">
        <w:rPr>
          <w:lang w:val="en-AU"/>
        </w:rPr>
        <w:t xml:space="preserve">origins and </w:t>
      </w:r>
      <w:r w:rsidR="00D529F3">
        <w:rPr>
          <w:lang w:val="en-AU"/>
        </w:rPr>
        <w:t xml:space="preserve">basis of the standards </w:t>
      </w:r>
      <w:r>
        <w:rPr>
          <w:lang w:val="en-AU"/>
        </w:rPr>
        <w:t xml:space="preserve">which came to be </w:t>
      </w:r>
      <w:r w:rsidR="00D529F3">
        <w:rPr>
          <w:lang w:val="en-AU"/>
        </w:rPr>
        <w:t>use</w:t>
      </w:r>
      <w:r>
        <w:rPr>
          <w:lang w:val="en-AU"/>
        </w:rPr>
        <w:t>d</w:t>
      </w:r>
      <w:r w:rsidR="00D529F3">
        <w:rPr>
          <w:lang w:val="en-AU"/>
        </w:rPr>
        <w:t xml:space="preserve"> in New South Wales and Australia generally and the nature of any justification presented for the use of overseas standards. They are discussed in chronological order below.</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1948: County of Cumberland Planning Scheme</w:t>
      </w:r>
    </w:p>
    <w:p w:rsidR="00D529F3" w:rsidRDefault="00D529F3" w:rsidP="0054231D">
      <w:pPr>
        <w:tabs>
          <w:tab w:val="left" w:pos="-1099"/>
          <w:tab w:val="left" w:pos="-720"/>
          <w:tab w:val="left" w:pos="0"/>
          <w:tab w:val="left" w:pos="430"/>
          <w:tab w:val="left" w:pos="884"/>
        </w:tabs>
        <w:rPr>
          <w:lang w:val="en-AU"/>
        </w:rPr>
      </w:pPr>
      <w:r>
        <w:rPr>
          <w:lang w:val="en-AU"/>
        </w:rPr>
        <w:t xml:space="preserve">Shiels suggested that the 1948 </w:t>
      </w:r>
      <w:r>
        <w:rPr>
          <w:i/>
          <w:iCs/>
          <w:lang w:val="en-AU"/>
        </w:rPr>
        <w:t xml:space="preserve">County of Cumberland Planning Scheme </w:t>
      </w:r>
      <w:r>
        <w:rPr>
          <w:lang w:val="en-AU"/>
        </w:rPr>
        <w:t>(which covered the Sydney metropolitan area) endorsed a British 2.83 ha./1000 standard, but in fact the document state</w:t>
      </w:r>
      <w:r w:rsidR="00A85A49">
        <w:rPr>
          <w:lang w:val="en-AU"/>
        </w:rPr>
        <w:t>d (with acres in the original converted to hectares):</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51"/>
        </w:tabs>
        <w:ind w:left="430"/>
        <w:rPr>
          <w:lang w:val="en-AU"/>
        </w:rPr>
      </w:pPr>
      <w:r>
        <w:rPr>
          <w:lang w:val="en-AU"/>
        </w:rPr>
        <w:t xml:space="preserve">The desirable standard adopted as a basis of open space planning in the County is 2.43 ha. per 1,000 population for district needs. This consisted of 0.9 ha. for sports fields, 1.2 ha. for rest parks and 0.3 ha. for children's playgrounds. A further 1.6 ha. is required for golf courses, both public and private, bringing the aggregate standard to 4 ha. per 1,000. </w:t>
      </w:r>
    </w:p>
    <w:p w:rsidR="00D529F3" w:rsidRDefault="00D529F3" w:rsidP="0054231D">
      <w:pPr>
        <w:tabs>
          <w:tab w:val="left" w:pos="-1099"/>
          <w:tab w:val="left" w:pos="-720"/>
          <w:tab w:val="left" w:pos="0"/>
          <w:tab w:val="left" w:pos="430"/>
          <w:tab w:val="left" w:pos="851"/>
        </w:tabs>
        <w:ind w:left="430" w:firstLine="279"/>
        <w:rPr>
          <w:lang w:val="en-AU"/>
        </w:rPr>
      </w:pPr>
      <w:r>
        <w:rPr>
          <w:lang w:val="en-AU"/>
        </w:rPr>
        <w:t>This general standard compares favourably with recent overseas trends. In Britain, for example, the standards adopted in post-war city planning vary from 2.6 ha. to 3.6 ha. per 1,000 of population. (Cumber</w:t>
      </w:r>
      <w:r w:rsidR="00A85A49">
        <w:rPr>
          <w:lang w:val="en-AU"/>
        </w:rPr>
        <w:t>land County Council, 1948: 136)</w:t>
      </w:r>
    </w:p>
    <w:p w:rsidR="00D529F3" w:rsidRDefault="00D529F3" w:rsidP="0054231D">
      <w:pPr>
        <w:tabs>
          <w:tab w:val="left" w:pos="-1099"/>
          <w:tab w:val="left" w:pos="-720"/>
          <w:tab w:val="left" w:pos="0"/>
          <w:tab w:val="left" w:pos="430"/>
          <w:tab w:val="left" w:pos="884"/>
        </w:tabs>
        <w:rPr>
          <w:lang w:val="en-AU"/>
        </w:rPr>
      </w:pPr>
    </w:p>
    <w:p w:rsidR="0036302F" w:rsidRDefault="00D529F3" w:rsidP="0054231D">
      <w:pPr>
        <w:tabs>
          <w:tab w:val="left" w:pos="-1099"/>
          <w:tab w:val="left" w:pos="-720"/>
          <w:tab w:val="left" w:pos="0"/>
          <w:tab w:val="left" w:pos="430"/>
          <w:tab w:val="left" w:pos="884"/>
        </w:tabs>
        <w:rPr>
          <w:lang w:val="en-AU"/>
        </w:rPr>
      </w:pPr>
      <w:r>
        <w:rPr>
          <w:lang w:val="en-AU"/>
        </w:rPr>
        <w:t>Thus the Cumberland plan endorse</w:t>
      </w:r>
      <w:r w:rsidR="00610358">
        <w:rPr>
          <w:lang w:val="en-AU"/>
        </w:rPr>
        <w:t>d</w:t>
      </w:r>
      <w:r>
        <w:rPr>
          <w:lang w:val="en-AU"/>
        </w:rPr>
        <w:t xml:space="preserve"> a 2.43 ha. standard for open space 'within neighbourhoods', not 2.83 ha., </w:t>
      </w:r>
      <w:r w:rsidR="004B4F55">
        <w:rPr>
          <w:lang w:val="en-AU"/>
        </w:rPr>
        <w:t>but</w:t>
      </w:r>
      <w:r w:rsidR="0073269B">
        <w:rPr>
          <w:lang w:val="en-AU"/>
        </w:rPr>
        <w:t xml:space="preserve"> this</w:t>
      </w:r>
      <w:r w:rsidR="004B4F55">
        <w:rPr>
          <w:lang w:val="en-AU"/>
        </w:rPr>
        <w:t xml:space="preserve"> increas</w:t>
      </w:r>
      <w:r w:rsidR="0073269B">
        <w:rPr>
          <w:lang w:val="en-AU"/>
        </w:rPr>
        <w:t>ed</w:t>
      </w:r>
      <w:r w:rsidR="00610358">
        <w:rPr>
          <w:lang w:val="en-AU"/>
        </w:rPr>
        <w:t xml:space="preserve"> </w:t>
      </w:r>
      <w:r>
        <w:rPr>
          <w:lang w:val="en-AU"/>
        </w:rPr>
        <w:t xml:space="preserve">to 4 ha. if golf courses </w:t>
      </w:r>
      <w:r w:rsidR="0073269B">
        <w:rPr>
          <w:lang w:val="en-AU"/>
        </w:rPr>
        <w:t>we</w:t>
      </w:r>
      <w:r>
        <w:rPr>
          <w:lang w:val="en-AU"/>
        </w:rPr>
        <w:t xml:space="preserve">re included. </w:t>
      </w:r>
      <w:r w:rsidR="00D42FFA">
        <w:rPr>
          <w:lang w:val="en-AU"/>
        </w:rPr>
        <w:t>Of particular note is that n</w:t>
      </w:r>
      <w:r w:rsidR="00610358">
        <w:rPr>
          <w:lang w:val="en-AU"/>
        </w:rPr>
        <w:t>o indication wa</w:t>
      </w:r>
      <w:r>
        <w:rPr>
          <w:lang w:val="en-AU"/>
        </w:rPr>
        <w:t>s given of specific document</w:t>
      </w:r>
      <w:r w:rsidR="007A5D83">
        <w:rPr>
          <w:lang w:val="en-AU"/>
        </w:rPr>
        <w:t>ary</w:t>
      </w:r>
      <w:r>
        <w:rPr>
          <w:lang w:val="en-AU"/>
        </w:rPr>
        <w:t xml:space="preserve"> </w:t>
      </w:r>
      <w:r w:rsidR="00A85A49">
        <w:rPr>
          <w:lang w:val="en-AU"/>
        </w:rPr>
        <w:t xml:space="preserve">local or international </w:t>
      </w:r>
      <w:r>
        <w:rPr>
          <w:lang w:val="en-AU"/>
        </w:rPr>
        <w:t>sources</w:t>
      </w:r>
      <w:r w:rsidR="00D42FFA">
        <w:rPr>
          <w:lang w:val="en-AU"/>
        </w:rPr>
        <w:t xml:space="preserve"> or </w:t>
      </w:r>
      <w:r>
        <w:rPr>
          <w:lang w:val="en-AU"/>
        </w:rPr>
        <w:t xml:space="preserve">the technical basis of the standards or rationale for their adoption in New South Wales; they are simply considered 'desirable'. </w:t>
      </w:r>
    </w:p>
    <w:p w:rsidR="007A5D83" w:rsidRDefault="007A5D8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1951: Brown and Sherrard: Town and Country Planning</w:t>
      </w:r>
    </w:p>
    <w:p w:rsidR="00D529F3" w:rsidRDefault="00D529F3" w:rsidP="0054231D">
      <w:pPr>
        <w:tabs>
          <w:tab w:val="left" w:pos="-1099"/>
          <w:tab w:val="left" w:pos="-720"/>
          <w:tab w:val="left" w:pos="0"/>
          <w:tab w:val="left" w:pos="430"/>
          <w:tab w:val="left" w:pos="884"/>
        </w:tabs>
        <w:rPr>
          <w:lang w:val="en-AU"/>
        </w:rPr>
      </w:pPr>
      <w:r>
        <w:rPr>
          <w:lang w:val="en-AU"/>
        </w:rPr>
        <w:t xml:space="preserve">Shiels suggested that Brown and Sherrard's </w:t>
      </w:r>
      <w:r>
        <w:rPr>
          <w:i/>
          <w:iCs/>
          <w:lang w:val="en-AU"/>
        </w:rPr>
        <w:t>Town and Country Planning</w:t>
      </w:r>
      <w:r>
        <w:rPr>
          <w:lang w:val="en-AU"/>
        </w:rPr>
        <w:t xml:space="preserve"> recommended the adoption of the British standard for use in Australia, but this is not the case. In the little more than one page which</w:t>
      </w:r>
      <w:r w:rsidR="00A85A49">
        <w:rPr>
          <w:lang w:val="en-AU"/>
        </w:rPr>
        <w:t xml:space="preserve"> Brown and Sherrard d</w:t>
      </w:r>
      <w:r>
        <w:rPr>
          <w:lang w:val="en-AU"/>
        </w:rPr>
        <w:t>evoted to discussion of 'space standards</w:t>
      </w:r>
      <w:r w:rsidR="0036302F">
        <w:rPr>
          <w:lang w:val="en-AU"/>
        </w:rPr>
        <w:t xml:space="preserve"> for </w:t>
      </w:r>
      <w:r>
        <w:rPr>
          <w:lang w:val="en-AU"/>
        </w:rPr>
        <w:t xml:space="preserve">urban parks and playgrounds', </w:t>
      </w:r>
      <w:r w:rsidR="00A85A49">
        <w:rPr>
          <w:lang w:val="en-AU"/>
        </w:rPr>
        <w:t xml:space="preserve">they </w:t>
      </w:r>
      <w:r>
        <w:rPr>
          <w:lang w:val="en-AU"/>
        </w:rPr>
        <w:t>noted</w:t>
      </w:r>
      <w:r w:rsidR="00A85A49" w:rsidRPr="00A85A49">
        <w:rPr>
          <w:lang w:val="en-AU"/>
        </w:rPr>
        <w:t xml:space="preserve"> </w:t>
      </w:r>
      <w:r w:rsidR="00A85A49">
        <w:rPr>
          <w:lang w:val="en-AU"/>
        </w:rPr>
        <w:t>(with acres in the original converted to hectares)</w:t>
      </w:r>
      <w:r w:rsidR="004B4F55">
        <w:rPr>
          <w:lang w:val="en-AU"/>
        </w:rPr>
        <w:t xml:space="preserve"> that</w:t>
      </w:r>
      <w:r>
        <w:rPr>
          <w:lang w:val="en-AU"/>
        </w:rPr>
        <w:t>:</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The rule which is generally adopted now in the re-planning of British cities is to provide 2.83 ha. of public open space per 1,000 persons. ... In the United States, the National Recreation Association advocates neighbourhood park and recreation areas on a basis of  4 ha. per 1,000 persons (recommended) and 2 ha. per 1,000 persons (minimum), or at least 10 per cent of the neighbourhood area. (Brown and Sherrard, 1951: 149-150</w:t>
      </w:r>
      <w:r w:rsidR="00A85A49">
        <w:rPr>
          <w:lang w:val="en-AU"/>
        </w:rPr>
        <w:t>)</w:t>
      </w:r>
      <w:r>
        <w:rPr>
          <w:lang w:val="en-AU"/>
        </w:rPr>
        <w:t xml:space="preserve"> </w:t>
      </w:r>
    </w:p>
    <w:p w:rsidR="00D529F3" w:rsidRDefault="00D529F3" w:rsidP="0054231D">
      <w:pPr>
        <w:tabs>
          <w:tab w:val="left" w:pos="-1099"/>
          <w:tab w:val="left" w:pos="-720"/>
          <w:tab w:val="left" w:pos="0"/>
          <w:tab w:val="left" w:pos="430"/>
          <w:tab w:val="left" w:pos="884"/>
        </w:tabs>
        <w:rPr>
          <w:lang w:val="en-AU"/>
        </w:rPr>
      </w:pPr>
    </w:p>
    <w:p w:rsidR="007A5D83" w:rsidRDefault="00310D18" w:rsidP="0054231D">
      <w:pPr>
        <w:tabs>
          <w:tab w:val="left" w:pos="-1099"/>
          <w:tab w:val="left" w:pos="-720"/>
          <w:tab w:val="left" w:pos="0"/>
          <w:tab w:val="left" w:pos="430"/>
          <w:tab w:val="left" w:pos="884"/>
        </w:tabs>
        <w:rPr>
          <w:lang w:val="en-AU"/>
        </w:rPr>
      </w:pPr>
      <w:r>
        <w:rPr>
          <w:lang w:val="en-AU"/>
        </w:rPr>
        <w:t xml:space="preserve">No specific sources were given for these assertions. </w:t>
      </w:r>
      <w:r w:rsidR="00D529F3">
        <w:rPr>
          <w:lang w:val="en-AU"/>
        </w:rPr>
        <w:t>The</w:t>
      </w:r>
      <w:r w:rsidR="004B4F55">
        <w:rPr>
          <w:lang w:val="en-AU"/>
        </w:rPr>
        <w:t xml:space="preserve"> authors</w:t>
      </w:r>
      <w:r w:rsidR="00D529F3">
        <w:rPr>
          <w:lang w:val="en-AU"/>
        </w:rPr>
        <w:t xml:space="preserve"> then discussed the impossibility of applying even a 2 ha./1000 standard in very densely built-up areas</w:t>
      </w:r>
      <w:r w:rsidR="007A5D83" w:rsidRPr="007A5D83">
        <w:rPr>
          <w:lang w:val="en-AU"/>
        </w:rPr>
        <w:t xml:space="preserve"> </w:t>
      </w:r>
      <w:r w:rsidR="007A5D83">
        <w:rPr>
          <w:lang w:val="en-AU"/>
        </w:rPr>
        <w:t xml:space="preserve">and </w:t>
      </w:r>
      <w:r w:rsidR="00610358">
        <w:rPr>
          <w:lang w:val="en-AU"/>
        </w:rPr>
        <w:t xml:space="preserve">examined </w:t>
      </w:r>
      <w:r w:rsidR="007A5D83">
        <w:rPr>
          <w:lang w:val="en-AU"/>
        </w:rPr>
        <w:t>the implications of the NRA area-percentage standard</w:t>
      </w:r>
      <w:r w:rsidR="00D529F3">
        <w:rPr>
          <w:lang w:val="en-AU"/>
        </w:rPr>
        <w:t xml:space="preserve">. At no point </w:t>
      </w:r>
      <w:r w:rsidR="0036302F">
        <w:rPr>
          <w:lang w:val="en-AU"/>
        </w:rPr>
        <w:t xml:space="preserve">did they actually recommend </w:t>
      </w:r>
      <w:r w:rsidR="00D529F3">
        <w:rPr>
          <w:lang w:val="en-AU"/>
        </w:rPr>
        <w:t>either the British or American standard for use in Australia.</w:t>
      </w:r>
    </w:p>
    <w:p w:rsidR="0054231D" w:rsidRDefault="007A5D83" w:rsidP="0054231D">
      <w:pPr>
        <w:tabs>
          <w:tab w:val="left" w:pos="-1099"/>
          <w:tab w:val="left" w:pos="-720"/>
          <w:tab w:val="left" w:pos="0"/>
          <w:tab w:val="left" w:pos="430"/>
          <w:tab w:val="left" w:pos="884"/>
        </w:tabs>
        <w:rPr>
          <w:lang w:val="en-AU"/>
        </w:rPr>
      </w:pPr>
      <w:r>
        <w:rPr>
          <w:lang w:val="en-AU"/>
        </w:rPr>
        <w:t xml:space="preserve"> </w:t>
      </w:r>
    </w:p>
    <w:p w:rsidR="00D529F3" w:rsidRDefault="00D529F3" w:rsidP="0054231D">
      <w:pPr>
        <w:tabs>
          <w:tab w:val="left" w:pos="-1099"/>
          <w:tab w:val="left" w:pos="-720"/>
          <w:tab w:val="left" w:pos="0"/>
          <w:tab w:val="left" w:pos="430"/>
          <w:tab w:val="left" w:pos="884"/>
        </w:tabs>
        <w:rPr>
          <w:lang w:val="en-AU"/>
        </w:rPr>
      </w:pPr>
      <w:r>
        <w:rPr>
          <w:i/>
          <w:iCs/>
          <w:lang w:val="en-AU"/>
        </w:rPr>
        <w:lastRenderedPageBreak/>
        <w:t>1955: Stephenson and Hepburn: Perth Metropolitan Plan</w:t>
      </w:r>
    </w:p>
    <w:p w:rsidR="00E63919" w:rsidRDefault="00D529F3" w:rsidP="0054231D">
      <w:pPr>
        <w:tabs>
          <w:tab w:val="left" w:pos="-1099"/>
          <w:tab w:val="left" w:pos="-720"/>
          <w:tab w:val="left" w:pos="0"/>
          <w:tab w:val="left" w:pos="430"/>
          <w:tab w:val="left" w:pos="884"/>
        </w:tabs>
        <w:rPr>
          <w:lang w:val="en-AU"/>
        </w:rPr>
      </w:pPr>
      <w:r>
        <w:rPr>
          <w:lang w:val="en-AU"/>
        </w:rPr>
        <w:t xml:space="preserve">The 1955 </w:t>
      </w:r>
      <w:r>
        <w:rPr>
          <w:i/>
          <w:iCs/>
          <w:lang w:val="en-AU"/>
        </w:rPr>
        <w:t>Plan for the Metropolitan Region: Perth and Fremantle</w:t>
      </w:r>
      <w:r>
        <w:rPr>
          <w:lang w:val="en-AU"/>
        </w:rPr>
        <w:t xml:space="preserve">, compiled by consultants Gordon Stephenson and J. A. Hepburn specified both population-ratio and area-percentage standards for public open space, </w:t>
      </w:r>
      <w:r w:rsidR="00E83BA1">
        <w:rPr>
          <w:lang w:val="en-AU"/>
        </w:rPr>
        <w:t>for a range of types of residential area, including central</w:t>
      </w:r>
      <w:r w:rsidR="007A5D83">
        <w:rPr>
          <w:lang w:val="en-AU"/>
        </w:rPr>
        <w:t>, high density</w:t>
      </w:r>
      <w:r w:rsidR="00F52ABA">
        <w:rPr>
          <w:lang w:val="en-AU"/>
        </w:rPr>
        <w:t xml:space="preserve"> areas (1.4 ha/1000)</w:t>
      </w:r>
      <w:r w:rsidR="00E83BA1">
        <w:rPr>
          <w:lang w:val="en-AU"/>
        </w:rPr>
        <w:t>, redevelopment</w:t>
      </w:r>
      <w:r w:rsidR="00F52ABA">
        <w:rPr>
          <w:lang w:val="en-AU"/>
        </w:rPr>
        <w:t xml:space="preserve"> and </w:t>
      </w:r>
      <w:r w:rsidR="00E83BA1">
        <w:rPr>
          <w:lang w:val="en-AU"/>
        </w:rPr>
        <w:t xml:space="preserve">greenfield </w:t>
      </w:r>
      <w:r w:rsidR="00F52ABA">
        <w:rPr>
          <w:lang w:val="en-AU"/>
        </w:rPr>
        <w:t>area</w:t>
      </w:r>
      <w:r w:rsidR="00750230">
        <w:rPr>
          <w:lang w:val="en-AU"/>
        </w:rPr>
        <w:t>s</w:t>
      </w:r>
      <w:r w:rsidR="00F52ABA">
        <w:rPr>
          <w:lang w:val="en-AU"/>
        </w:rPr>
        <w:t xml:space="preserve"> (4.4 ha/1000) and f</w:t>
      </w:r>
      <w:r w:rsidR="00E83BA1">
        <w:rPr>
          <w:lang w:val="en-AU"/>
        </w:rPr>
        <w:t>ringe areas</w:t>
      </w:r>
      <w:r w:rsidR="00F52ABA">
        <w:rPr>
          <w:lang w:val="en-AU"/>
        </w:rPr>
        <w:t xml:space="preserve"> (4.1 ha/1000)</w:t>
      </w:r>
      <w:r w:rsidR="00E83BA1">
        <w:rPr>
          <w:lang w:val="en-AU"/>
        </w:rPr>
        <w:t>.</w:t>
      </w:r>
      <w:r w:rsidR="00F52ABA">
        <w:rPr>
          <w:lang w:val="en-AU"/>
        </w:rPr>
        <w:t xml:space="preserve"> </w:t>
      </w:r>
      <w:r w:rsidR="006F0AB4">
        <w:rPr>
          <w:lang w:val="en-AU"/>
        </w:rPr>
        <w:t xml:space="preserve">Public open space </w:t>
      </w:r>
      <w:r w:rsidR="00750230">
        <w:rPr>
          <w:lang w:val="en-AU"/>
        </w:rPr>
        <w:t>comprised</w:t>
      </w:r>
      <w:r w:rsidR="00310D18">
        <w:rPr>
          <w:lang w:val="en-AU"/>
        </w:rPr>
        <w:t>:</w:t>
      </w:r>
    </w:p>
    <w:p w:rsidR="00E63919" w:rsidRDefault="00E63919" w:rsidP="0054231D">
      <w:pPr>
        <w:tabs>
          <w:tab w:val="left" w:pos="-1099"/>
          <w:tab w:val="left" w:pos="-720"/>
          <w:tab w:val="left" w:pos="0"/>
          <w:tab w:val="left" w:pos="430"/>
          <w:tab w:val="left" w:pos="884"/>
        </w:tabs>
        <w:rPr>
          <w:lang w:val="en-AU"/>
        </w:rPr>
      </w:pPr>
    </w:p>
    <w:p w:rsidR="00073F28" w:rsidRDefault="00E63919" w:rsidP="0054231D">
      <w:pPr>
        <w:pStyle w:val="ListParagraph"/>
        <w:numPr>
          <w:ilvl w:val="0"/>
          <w:numId w:val="8"/>
        </w:numPr>
        <w:tabs>
          <w:tab w:val="left" w:pos="-1099"/>
          <w:tab w:val="left" w:pos="-720"/>
          <w:tab w:val="left" w:pos="0"/>
          <w:tab w:val="left" w:pos="430"/>
          <w:tab w:val="left" w:pos="884"/>
        </w:tabs>
        <w:rPr>
          <w:lang w:val="en-AU"/>
        </w:rPr>
      </w:pPr>
      <w:r w:rsidRPr="00073F28">
        <w:rPr>
          <w:i/>
          <w:iCs/>
          <w:lang w:val="en-AU"/>
        </w:rPr>
        <w:t>Incidental open space in housing estates</w:t>
      </w:r>
      <w:r w:rsidR="00F52ABA">
        <w:rPr>
          <w:iCs/>
          <w:lang w:val="en-AU"/>
        </w:rPr>
        <w:t>, based on unsourced specifications for provision in '</w:t>
      </w:r>
      <w:r w:rsidR="00F52ABA" w:rsidRPr="00073F28">
        <w:rPr>
          <w:lang w:val="en-AU"/>
        </w:rPr>
        <w:t>local authority housing estates in England</w:t>
      </w:r>
      <w:r w:rsidR="00F52ABA">
        <w:rPr>
          <w:lang w:val="en-AU"/>
        </w:rPr>
        <w:t>' (</w:t>
      </w:r>
      <w:r w:rsidR="00D529F3" w:rsidRPr="00073F28">
        <w:rPr>
          <w:lang w:val="en-AU"/>
        </w:rPr>
        <w:t>Stephenson and Hepburn</w:t>
      </w:r>
      <w:r w:rsidR="00F52ABA">
        <w:rPr>
          <w:lang w:val="en-AU"/>
        </w:rPr>
        <w:t xml:space="preserve">, </w:t>
      </w:r>
      <w:r w:rsidR="00F11CDD" w:rsidRPr="00073F28">
        <w:rPr>
          <w:lang w:val="en-AU"/>
        </w:rPr>
        <w:t>1955: 92</w:t>
      </w:r>
      <w:r w:rsidR="00F11CDD">
        <w:rPr>
          <w:lang w:val="en-AU"/>
        </w:rPr>
        <w:t>)</w:t>
      </w:r>
      <w:r w:rsidR="00F52ABA">
        <w:rPr>
          <w:lang w:val="en-AU"/>
        </w:rPr>
        <w:t xml:space="preserve"> modified for Perth conditions because of the existence of '</w:t>
      </w:r>
      <w:r w:rsidR="00D529F3" w:rsidRPr="00073F28">
        <w:rPr>
          <w:lang w:val="en-AU"/>
        </w:rPr>
        <w:t>large private gardens</w:t>
      </w:r>
      <w:r w:rsidR="00F52ABA">
        <w:rPr>
          <w:lang w:val="en-AU"/>
        </w:rPr>
        <w:t xml:space="preserve">' </w:t>
      </w:r>
      <w:r w:rsidR="00D529F3" w:rsidRPr="00073F28">
        <w:rPr>
          <w:lang w:val="en-AU"/>
        </w:rPr>
        <w:t>(p.</w:t>
      </w:r>
      <w:r w:rsidRPr="00073F28">
        <w:rPr>
          <w:lang w:val="en-AU"/>
        </w:rPr>
        <w:t xml:space="preserve"> 52</w:t>
      </w:r>
      <w:r w:rsidR="00D529F3" w:rsidRPr="00073F28">
        <w:rPr>
          <w:lang w:val="en-AU"/>
        </w:rPr>
        <w:t>)</w:t>
      </w:r>
      <w:r w:rsidR="00F52ABA">
        <w:rPr>
          <w:lang w:val="en-AU"/>
        </w:rPr>
        <w:t>, although the details are not explained</w:t>
      </w:r>
      <w:r w:rsidR="00D529F3" w:rsidRPr="00073F28">
        <w:rPr>
          <w:lang w:val="en-AU"/>
        </w:rPr>
        <w:t xml:space="preserve">. </w:t>
      </w:r>
    </w:p>
    <w:p w:rsidR="00073F28" w:rsidRDefault="00E63919" w:rsidP="0054231D">
      <w:pPr>
        <w:pStyle w:val="ListParagraph"/>
        <w:numPr>
          <w:ilvl w:val="0"/>
          <w:numId w:val="8"/>
        </w:numPr>
        <w:tabs>
          <w:tab w:val="left" w:pos="-1099"/>
          <w:tab w:val="left" w:pos="-720"/>
          <w:tab w:val="left" w:pos="0"/>
          <w:tab w:val="left" w:pos="430"/>
          <w:tab w:val="left" w:pos="884"/>
        </w:tabs>
        <w:rPr>
          <w:lang w:val="en-AU"/>
        </w:rPr>
      </w:pPr>
      <w:r w:rsidRPr="00073F28">
        <w:rPr>
          <w:i/>
          <w:lang w:val="en-AU"/>
        </w:rPr>
        <w:t>Children's playgrounds</w:t>
      </w:r>
      <w:r w:rsidRPr="00073F28">
        <w:rPr>
          <w:lang w:val="en-AU"/>
        </w:rPr>
        <w:t xml:space="preserve">. </w:t>
      </w:r>
      <w:r w:rsidR="00D529F3" w:rsidRPr="00073F28">
        <w:rPr>
          <w:lang w:val="en-AU"/>
        </w:rPr>
        <w:t xml:space="preserve">The standard was sourced to a 1945 </w:t>
      </w:r>
      <w:r w:rsidR="00F52ABA">
        <w:rPr>
          <w:lang w:val="en-AU"/>
        </w:rPr>
        <w:t xml:space="preserve">WA </w:t>
      </w:r>
      <w:r w:rsidR="00D529F3" w:rsidRPr="00073F28">
        <w:rPr>
          <w:lang w:val="en-AU"/>
        </w:rPr>
        <w:t xml:space="preserve">government report on wartime housing and was apparently based on empirical research.  </w:t>
      </w:r>
    </w:p>
    <w:p w:rsidR="00073F28" w:rsidRDefault="00E63919" w:rsidP="0054231D">
      <w:pPr>
        <w:pStyle w:val="ListParagraph"/>
        <w:numPr>
          <w:ilvl w:val="0"/>
          <w:numId w:val="8"/>
        </w:numPr>
        <w:tabs>
          <w:tab w:val="left" w:pos="-1099"/>
          <w:tab w:val="left" w:pos="-720"/>
          <w:tab w:val="left" w:pos="0"/>
          <w:tab w:val="left" w:pos="430"/>
          <w:tab w:val="left" w:pos="884"/>
        </w:tabs>
        <w:rPr>
          <w:lang w:val="en-AU"/>
        </w:rPr>
      </w:pPr>
      <w:r w:rsidRPr="00073F28">
        <w:rPr>
          <w:i/>
          <w:lang w:val="en-AU"/>
        </w:rPr>
        <w:t>Local and district small parks and gardens</w:t>
      </w:r>
      <w:r w:rsidRPr="00073F28">
        <w:rPr>
          <w:lang w:val="en-AU"/>
        </w:rPr>
        <w:t xml:space="preserve">. </w:t>
      </w:r>
      <w:r w:rsidR="00D529F3" w:rsidRPr="00073F28">
        <w:rPr>
          <w:lang w:val="en-AU"/>
        </w:rPr>
        <w:t>No basis is given for th</w:t>
      </w:r>
      <w:r w:rsidRPr="00073F28">
        <w:rPr>
          <w:lang w:val="en-AU"/>
        </w:rPr>
        <w:t xml:space="preserve">e </w:t>
      </w:r>
      <w:r w:rsidR="00D529F3" w:rsidRPr="00073F28">
        <w:rPr>
          <w:lang w:val="en-AU"/>
        </w:rPr>
        <w:t>standard</w:t>
      </w:r>
      <w:r w:rsidRPr="00073F28">
        <w:rPr>
          <w:lang w:val="en-AU"/>
        </w:rPr>
        <w:t xml:space="preserve">, which </w:t>
      </w:r>
      <w:r w:rsidR="00D529F3" w:rsidRPr="00073F28">
        <w:rPr>
          <w:lang w:val="en-AU"/>
        </w:rPr>
        <w:t>is 50 per cent of the 'overall district standard of 1.0 acre per 1000 persons' but</w:t>
      </w:r>
      <w:r w:rsidRPr="00073F28">
        <w:rPr>
          <w:lang w:val="en-AU"/>
        </w:rPr>
        <w:t xml:space="preserve"> </w:t>
      </w:r>
      <w:r w:rsidR="00D529F3" w:rsidRPr="00073F28">
        <w:rPr>
          <w:lang w:val="en-AU"/>
        </w:rPr>
        <w:t>no basis is provided for th</w:t>
      </w:r>
      <w:r w:rsidR="00750230">
        <w:rPr>
          <w:lang w:val="en-AU"/>
        </w:rPr>
        <w:t>is</w:t>
      </w:r>
      <w:r w:rsidR="00D529F3" w:rsidRPr="00073F28">
        <w:rPr>
          <w:lang w:val="en-AU"/>
        </w:rPr>
        <w:t xml:space="preserve"> district standard.</w:t>
      </w:r>
    </w:p>
    <w:p w:rsidR="00D529F3" w:rsidRPr="00073F28" w:rsidRDefault="00E63919" w:rsidP="0054231D">
      <w:pPr>
        <w:pStyle w:val="ListParagraph"/>
        <w:numPr>
          <w:ilvl w:val="0"/>
          <w:numId w:val="8"/>
        </w:numPr>
        <w:tabs>
          <w:tab w:val="left" w:pos="-1099"/>
          <w:tab w:val="left" w:pos="-720"/>
          <w:tab w:val="left" w:pos="0"/>
          <w:tab w:val="left" w:pos="430"/>
          <w:tab w:val="left" w:pos="884"/>
        </w:tabs>
        <w:rPr>
          <w:lang w:val="en-AU"/>
        </w:rPr>
      </w:pPr>
      <w:r w:rsidRPr="00073F28">
        <w:rPr>
          <w:i/>
          <w:lang w:val="en-AU"/>
        </w:rPr>
        <w:t>Public playing fields</w:t>
      </w:r>
      <w:r w:rsidRPr="00073F28">
        <w:rPr>
          <w:lang w:val="en-AU"/>
        </w:rPr>
        <w:t xml:space="preserve">. </w:t>
      </w:r>
      <w:r w:rsidR="00D529F3" w:rsidRPr="00073F28">
        <w:rPr>
          <w:lang w:val="en-AU"/>
        </w:rPr>
        <w:t xml:space="preserve">The standards were based on the results of a survey of </w:t>
      </w:r>
      <w:r w:rsidR="00750230">
        <w:rPr>
          <w:lang w:val="en-AU"/>
        </w:rPr>
        <w:t>16</w:t>
      </w:r>
      <w:r w:rsidR="00D529F3" w:rsidRPr="00073F28">
        <w:rPr>
          <w:lang w:val="en-AU"/>
        </w:rPr>
        <w:t xml:space="preserve"> sports associations</w:t>
      </w:r>
      <w:r w:rsidR="001451EA">
        <w:rPr>
          <w:lang w:val="en-AU"/>
        </w:rPr>
        <w:t xml:space="preserve"> </w:t>
      </w:r>
      <w:r w:rsidR="005937E7">
        <w:rPr>
          <w:lang w:val="en-AU"/>
        </w:rPr>
        <w:t>which gathered information on</w:t>
      </w:r>
      <w:r w:rsidR="001451EA">
        <w:rPr>
          <w:lang w:val="en-AU"/>
        </w:rPr>
        <w:t xml:space="preserve"> </w:t>
      </w:r>
      <w:r w:rsidR="00F52ABA" w:rsidRPr="00073F28">
        <w:rPr>
          <w:lang w:val="en-AU"/>
        </w:rPr>
        <w:t>existing grounds</w:t>
      </w:r>
      <w:r w:rsidR="00B65B7F">
        <w:rPr>
          <w:lang w:val="en-AU"/>
        </w:rPr>
        <w:t xml:space="preserve">, </w:t>
      </w:r>
      <w:r w:rsidR="00B65B7F" w:rsidRPr="00073F28">
        <w:rPr>
          <w:lang w:val="en-AU"/>
        </w:rPr>
        <w:t xml:space="preserve">the current </w:t>
      </w:r>
      <w:r w:rsidR="00D529F3" w:rsidRPr="00073F28">
        <w:rPr>
          <w:lang w:val="en-AU"/>
        </w:rPr>
        <w:t>number of playing members</w:t>
      </w:r>
      <w:r w:rsidR="00B65B7F">
        <w:rPr>
          <w:lang w:val="en-AU"/>
        </w:rPr>
        <w:t xml:space="preserve"> and </w:t>
      </w:r>
      <w:r w:rsidR="00D529F3" w:rsidRPr="00073F28">
        <w:rPr>
          <w:lang w:val="en-AU"/>
        </w:rPr>
        <w:t xml:space="preserve"> </w:t>
      </w:r>
      <w:r w:rsidR="001614B8" w:rsidRPr="00073F28">
        <w:rPr>
          <w:lang w:val="en-AU"/>
        </w:rPr>
        <w:t>the</w:t>
      </w:r>
      <w:r w:rsidR="005937E7">
        <w:rPr>
          <w:lang w:val="en-AU"/>
        </w:rPr>
        <w:t xml:space="preserve"> </w:t>
      </w:r>
      <w:r w:rsidR="005937E7">
        <w:rPr>
          <w:i/>
          <w:lang w:val="en-AU"/>
        </w:rPr>
        <w:t>current</w:t>
      </w:r>
      <w:r w:rsidR="005937E7">
        <w:rPr>
          <w:lang w:val="en-AU"/>
        </w:rPr>
        <w:t xml:space="preserve"> and estimated</w:t>
      </w:r>
      <w:r w:rsidR="001614B8" w:rsidRPr="00073F28">
        <w:rPr>
          <w:lang w:val="en-AU"/>
        </w:rPr>
        <w:t xml:space="preserve"> </w:t>
      </w:r>
      <w:r w:rsidR="001614B8" w:rsidRPr="00073F28">
        <w:rPr>
          <w:i/>
          <w:lang w:val="en-AU"/>
        </w:rPr>
        <w:t>potential</w:t>
      </w:r>
      <w:r w:rsidR="00D529F3" w:rsidRPr="00073F28">
        <w:rPr>
          <w:lang w:val="en-AU"/>
        </w:rPr>
        <w:t xml:space="preserve"> number of teams</w:t>
      </w:r>
      <w:r w:rsidR="005937E7">
        <w:rPr>
          <w:lang w:val="en-AU"/>
        </w:rPr>
        <w:t>.</w:t>
      </w:r>
      <w:r w:rsidR="00B65B7F">
        <w:rPr>
          <w:lang w:val="en-AU"/>
        </w:rPr>
        <w:t xml:space="preserve"> </w:t>
      </w:r>
      <w:r w:rsidR="005937E7">
        <w:rPr>
          <w:lang w:val="en-AU"/>
        </w:rPr>
        <w:t>T</w:t>
      </w:r>
      <w:r w:rsidR="00B65B7F">
        <w:rPr>
          <w:lang w:val="en-AU"/>
        </w:rPr>
        <w:t xml:space="preserve">he </w:t>
      </w:r>
      <w:r w:rsidR="005937E7">
        <w:rPr>
          <w:lang w:val="en-AU"/>
        </w:rPr>
        <w:t>potential number of teams was</w:t>
      </w:r>
      <w:r w:rsidR="00B65B7F">
        <w:rPr>
          <w:lang w:val="en-AU"/>
        </w:rPr>
        <w:t xml:space="preserve"> </w:t>
      </w:r>
      <w:r w:rsidR="00D529F3" w:rsidRPr="00073F28">
        <w:rPr>
          <w:lang w:val="en-AU"/>
        </w:rPr>
        <w:t>up to five times the</w:t>
      </w:r>
      <w:r w:rsidR="00B65B7F">
        <w:rPr>
          <w:lang w:val="en-AU"/>
        </w:rPr>
        <w:t xml:space="preserve"> </w:t>
      </w:r>
      <w:r w:rsidR="005937E7">
        <w:rPr>
          <w:lang w:val="en-AU"/>
        </w:rPr>
        <w:t>current number,</w:t>
      </w:r>
      <w:r w:rsidR="00D529F3" w:rsidRPr="00073F28">
        <w:rPr>
          <w:lang w:val="en-AU"/>
        </w:rPr>
        <w:t xml:space="preserve"> suggest</w:t>
      </w:r>
      <w:r w:rsidR="005937E7">
        <w:rPr>
          <w:lang w:val="en-AU"/>
        </w:rPr>
        <w:t>ing</w:t>
      </w:r>
      <w:r w:rsidR="00D529F3" w:rsidRPr="00073F28">
        <w:rPr>
          <w:lang w:val="en-AU"/>
        </w:rPr>
        <w:t xml:space="preserve"> </w:t>
      </w:r>
      <w:r w:rsidR="001614B8" w:rsidRPr="00073F28">
        <w:rPr>
          <w:lang w:val="en-AU"/>
        </w:rPr>
        <w:t xml:space="preserve">either </w:t>
      </w:r>
      <w:r w:rsidR="00D529F3" w:rsidRPr="00073F28">
        <w:rPr>
          <w:lang w:val="en-AU"/>
        </w:rPr>
        <w:t xml:space="preserve">an extraordinary shortage of </w:t>
      </w:r>
      <w:r w:rsidR="001614B8" w:rsidRPr="00073F28">
        <w:rPr>
          <w:lang w:val="en-AU"/>
        </w:rPr>
        <w:t xml:space="preserve">current </w:t>
      </w:r>
      <w:r w:rsidR="00D529F3" w:rsidRPr="00073F28">
        <w:rPr>
          <w:lang w:val="en-AU"/>
        </w:rPr>
        <w:t>provision, or wishful t</w:t>
      </w:r>
      <w:r w:rsidR="001614B8" w:rsidRPr="00073F28">
        <w:rPr>
          <w:lang w:val="en-AU"/>
        </w:rPr>
        <w:t>h</w:t>
      </w:r>
      <w:r w:rsidR="00D529F3" w:rsidRPr="00073F28">
        <w:rPr>
          <w:lang w:val="en-AU"/>
        </w:rPr>
        <w:t>inking</w:t>
      </w:r>
      <w:r w:rsidR="00610358">
        <w:rPr>
          <w:lang w:val="en-AU"/>
        </w:rPr>
        <w:t xml:space="preserve"> on growth and recruitment</w:t>
      </w:r>
      <w:r w:rsidR="00D529F3" w:rsidRPr="00073F28">
        <w:rPr>
          <w:lang w:val="en-AU"/>
        </w:rPr>
        <w:t>, but this is not commented on. The number of grounds required</w:t>
      </w:r>
      <w:r w:rsidR="00750230">
        <w:rPr>
          <w:lang w:val="en-AU"/>
        </w:rPr>
        <w:t xml:space="preserve"> to accommodate the indicated demand</w:t>
      </w:r>
      <w:r w:rsidR="00B65B7F">
        <w:rPr>
          <w:lang w:val="en-AU"/>
        </w:rPr>
        <w:t xml:space="preserve">, </w:t>
      </w:r>
      <w:r w:rsidR="00D529F3" w:rsidRPr="00073F28">
        <w:rPr>
          <w:lang w:val="en-AU"/>
        </w:rPr>
        <w:t>based on two teams per ground</w:t>
      </w:r>
      <w:r w:rsidR="00B65B7F">
        <w:rPr>
          <w:lang w:val="en-AU"/>
        </w:rPr>
        <w:t xml:space="preserve">, </w:t>
      </w:r>
      <w:r w:rsidR="00D529F3" w:rsidRPr="00073F28">
        <w:rPr>
          <w:lang w:val="en-AU"/>
        </w:rPr>
        <w:t>result</w:t>
      </w:r>
      <w:r w:rsidR="00610358">
        <w:rPr>
          <w:lang w:val="en-AU"/>
        </w:rPr>
        <w:t>ed</w:t>
      </w:r>
      <w:r w:rsidR="00D529F3" w:rsidRPr="00073F28">
        <w:rPr>
          <w:lang w:val="en-AU"/>
        </w:rPr>
        <w:t xml:space="preserve"> in a requirement of 4.0 acres/1000 population, </w:t>
      </w:r>
      <w:r w:rsidR="00B65B7F">
        <w:rPr>
          <w:lang w:val="en-AU"/>
        </w:rPr>
        <w:t xml:space="preserve">which </w:t>
      </w:r>
      <w:r w:rsidR="00610358">
        <w:rPr>
          <w:lang w:val="en-AU"/>
        </w:rPr>
        <w:t>wa</w:t>
      </w:r>
      <w:r w:rsidR="00B65B7F">
        <w:rPr>
          <w:lang w:val="en-AU"/>
        </w:rPr>
        <w:t xml:space="preserve">s </w:t>
      </w:r>
      <w:r w:rsidR="00D529F3" w:rsidRPr="00073F28">
        <w:rPr>
          <w:lang w:val="en-AU"/>
        </w:rPr>
        <w:t>increased to 4.5 acres per 1000 'to allow for an increase in the popularity of sport and for possible increases in the demand for private recreation grounds'. Then</w:t>
      </w:r>
      <w:r w:rsidR="00610358">
        <w:rPr>
          <w:lang w:val="en-AU"/>
        </w:rPr>
        <w:t>:</w:t>
      </w:r>
      <w:r w:rsidR="00D529F3" w:rsidRPr="00073F28">
        <w:rPr>
          <w:lang w:val="en-AU"/>
        </w:rPr>
        <w:t xml:space="preserve"> 'it is suggested that a further 1.5 acres per 1000 persons be provided as </w:t>
      </w:r>
      <w:r w:rsidR="00D529F3" w:rsidRPr="00073F28">
        <w:rPr>
          <w:i/>
          <w:iCs/>
          <w:lang w:val="en-AU"/>
        </w:rPr>
        <w:t xml:space="preserve">Local Open Space </w:t>
      </w:r>
      <w:r w:rsidR="00D529F3" w:rsidRPr="00073F28">
        <w:rPr>
          <w:lang w:val="en-AU"/>
        </w:rPr>
        <w:t xml:space="preserve">in the form of small units distributed through residential localities to cater for more informal games' (p. 94). The second, entirely unsubstantiated, statement is the basis of the </w:t>
      </w:r>
      <w:r w:rsidR="00D529F3" w:rsidRPr="00610358">
        <w:rPr>
          <w:i/>
          <w:lang w:val="en-AU"/>
        </w:rPr>
        <w:t>local</w:t>
      </w:r>
      <w:r w:rsidR="00D529F3" w:rsidRPr="00073F28">
        <w:rPr>
          <w:lang w:val="en-AU"/>
        </w:rPr>
        <w:t xml:space="preserve"> public playi</w:t>
      </w:r>
      <w:r w:rsidR="001614B8" w:rsidRPr="00073F28">
        <w:rPr>
          <w:lang w:val="en-AU"/>
        </w:rPr>
        <w:t>ng field standard of 1.5 acres/</w:t>
      </w:r>
      <w:r w:rsidR="00D529F3" w:rsidRPr="00073F28">
        <w:rPr>
          <w:lang w:val="en-AU"/>
        </w:rPr>
        <w:t xml:space="preserve">1000. </w:t>
      </w:r>
    </w:p>
    <w:p w:rsidR="00D529F3" w:rsidRDefault="00D529F3" w:rsidP="0054231D">
      <w:pPr>
        <w:tabs>
          <w:tab w:val="left" w:pos="-1099"/>
          <w:tab w:val="left" w:pos="-720"/>
          <w:tab w:val="left" w:pos="0"/>
          <w:tab w:val="left" w:pos="430"/>
          <w:tab w:val="left" w:pos="884"/>
        </w:tabs>
        <w:rPr>
          <w:lang w:val="en-AU"/>
        </w:rPr>
      </w:pPr>
    </w:p>
    <w:p w:rsidR="001614B8" w:rsidRDefault="001614B8" w:rsidP="0054231D">
      <w:pPr>
        <w:tabs>
          <w:tab w:val="left" w:pos="-1099"/>
          <w:tab w:val="left" w:pos="-720"/>
          <w:tab w:val="left" w:pos="0"/>
          <w:tab w:val="left" w:pos="430"/>
          <w:tab w:val="left" w:pos="884"/>
        </w:tabs>
        <w:rPr>
          <w:lang w:val="en-AU"/>
        </w:rPr>
      </w:pPr>
      <w:r>
        <w:rPr>
          <w:lang w:val="en-AU"/>
        </w:rPr>
        <w:t>Overall, then, it can be seen that the open space standards in the Stephenson and Hepburn plan are based on a combination of unexplained relationships with</w:t>
      </w:r>
      <w:r w:rsidR="00610358">
        <w:rPr>
          <w:lang w:val="en-AU"/>
        </w:rPr>
        <w:t xml:space="preserve"> unreferenced </w:t>
      </w:r>
      <w:r>
        <w:rPr>
          <w:lang w:val="en-AU"/>
        </w:rPr>
        <w:t xml:space="preserve">English standards, the aspirations of sporting clubs and unsubstantiated assertions.  </w:t>
      </w:r>
    </w:p>
    <w:p w:rsidR="001614B8" w:rsidRDefault="001614B8"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1969: National Fitness Council of South Australia</w:t>
      </w:r>
    </w:p>
    <w:p w:rsidR="00D529F3" w:rsidRDefault="00D529F3" w:rsidP="0054231D">
      <w:pPr>
        <w:tabs>
          <w:tab w:val="left" w:pos="-1099"/>
          <w:tab w:val="left" w:pos="-720"/>
          <w:tab w:val="left" w:pos="0"/>
          <w:tab w:val="left" w:pos="430"/>
          <w:tab w:val="left" w:pos="884"/>
        </w:tabs>
        <w:rPr>
          <w:lang w:val="en-AU"/>
        </w:rPr>
      </w:pPr>
      <w:r>
        <w:rPr>
          <w:lang w:val="en-AU"/>
        </w:rPr>
        <w:t>In</w:t>
      </w:r>
      <w:r w:rsidR="001614B8">
        <w:rPr>
          <w:lang w:val="en-AU"/>
        </w:rPr>
        <w:t xml:space="preserve"> a</w:t>
      </w:r>
      <w:r w:rsidR="005937E7">
        <w:rPr>
          <w:lang w:val="en-AU"/>
        </w:rPr>
        <w:t>n</w:t>
      </w:r>
      <w:r w:rsidR="001614B8">
        <w:rPr>
          <w:lang w:val="en-AU"/>
        </w:rPr>
        <w:t xml:space="preserve">  </w:t>
      </w:r>
      <w:r>
        <w:rPr>
          <w:lang w:val="en-AU"/>
        </w:rPr>
        <w:t>article entitled 'Park standards for Australia', the Director of the National Fitness Council of South Australia, A. E. Simpson</w:t>
      </w:r>
      <w:r w:rsidR="001614B8">
        <w:rPr>
          <w:lang w:val="en-AU"/>
        </w:rPr>
        <w:t xml:space="preserve"> (1969)</w:t>
      </w:r>
      <w:r>
        <w:rPr>
          <w:lang w:val="en-AU"/>
        </w:rPr>
        <w:t>, put forward an open space standard of 5 ha. per 1000 population, including golf courses (1.6 ha.). No basis for this standard is provided</w:t>
      </w:r>
      <w:r w:rsidR="00750230">
        <w:rPr>
          <w:lang w:val="en-AU"/>
        </w:rPr>
        <w:t xml:space="preserve"> in the article</w:t>
      </w:r>
      <w:r>
        <w:rPr>
          <w:lang w:val="en-AU"/>
        </w:rPr>
        <w:t>: it is just presented. The paper is, however, remarkable for the information it contains</w:t>
      </w:r>
      <w:r w:rsidR="001921CA">
        <w:rPr>
          <w:lang w:val="en-AU"/>
        </w:rPr>
        <w:t>,</w:t>
      </w:r>
      <w:r>
        <w:rPr>
          <w:lang w:val="en-AU"/>
        </w:rPr>
        <w:t xml:space="preserve"> from a survey conducted by Simpson of over 50 Australian and overseas planning agencies, governing bodies and academics, which reveals the widespread use of open space standards at the time and the great variety in the standards adopted. </w:t>
      </w:r>
      <w:r w:rsidR="001921CA">
        <w:rPr>
          <w:lang w:val="en-AU"/>
        </w:rPr>
        <w:t>The relationship between these overseas standards and the standard recommended by Simpson is, however, not explained.</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lastRenderedPageBreak/>
        <w:t>197</w:t>
      </w:r>
      <w:r w:rsidR="00313ACF">
        <w:rPr>
          <w:i/>
          <w:iCs/>
          <w:lang w:val="en-AU"/>
        </w:rPr>
        <w:t>5</w:t>
      </w:r>
      <w:r>
        <w:rPr>
          <w:i/>
          <w:iCs/>
          <w:lang w:val="en-AU"/>
        </w:rPr>
        <w:t xml:space="preserve">: NSW Department of Planning open space surveys </w:t>
      </w:r>
    </w:p>
    <w:p w:rsidR="00D529F3" w:rsidRDefault="00313ACF" w:rsidP="0054231D">
      <w:pPr>
        <w:tabs>
          <w:tab w:val="left" w:pos="-1099"/>
          <w:tab w:val="left" w:pos="-720"/>
          <w:tab w:val="left" w:pos="0"/>
          <w:tab w:val="left" w:pos="430"/>
          <w:tab w:val="left" w:pos="884"/>
        </w:tabs>
        <w:rPr>
          <w:lang w:val="en-AU"/>
        </w:rPr>
      </w:pPr>
      <w:r>
        <w:rPr>
          <w:lang w:val="en-AU"/>
        </w:rPr>
        <w:t>The report of the 197</w:t>
      </w:r>
      <w:r w:rsidR="00610358">
        <w:rPr>
          <w:lang w:val="en-AU"/>
        </w:rPr>
        <w:t>2</w:t>
      </w:r>
      <w:r w:rsidR="00D529F3">
        <w:rPr>
          <w:lang w:val="en-AU"/>
        </w:rPr>
        <w:t xml:space="preserve"> </w:t>
      </w:r>
      <w:r w:rsidR="00D529F3">
        <w:rPr>
          <w:i/>
          <w:iCs/>
          <w:lang w:val="en-AU"/>
        </w:rPr>
        <w:t>Sydney Region Open Space Survey</w:t>
      </w:r>
      <w:r w:rsidR="00D529F3">
        <w:rPr>
          <w:lang w:val="en-AU"/>
        </w:rPr>
        <w:t>, conducted by the NSW Planning and Environment Commission</w:t>
      </w:r>
      <w:r w:rsidR="0026420D">
        <w:rPr>
          <w:lang w:val="en-AU"/>
        </w:rPr>
        <w:t xml:space="preserve"> (NSWPEC)</w:t>
      </w:r>
      <w:r w:rsidR="0073269B">
        <w:rPr>
          <w:lang w:val="en-AU"/>
        </w:rPr>
        <w:t>,</w:t>
      </w:r>
      <w:r w:rsidR="0026420D">
        <w:rPr>
          <w:lang w:val="en-AU"/>
        </w:rPr>
        <w:t xml:space="preserve"> </w:t>
      </w:r>
      <w:r w:rsidR="00D529F3">
        <w:rPr>
          <w:lang w:val="en-AU"/>
        </w:rPr>
        <w:t>presented data on the area of open space in each local government area in the Sydney metropolitan region and stated that the information presented in the report should be seen in relation to:</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 the standard of 2.83 hectares per 1,000 population. ... This standard came into general use in the Sydney Region during the 1960s, although it has not been accepted and implemented everywhere. It was used as a general guide for allocation of land as 'neighbourhood open space' by the State Planning Authority in the planning of new areas, and also appears frequently as the standard applied by local councils in their interpretation of Section 333 of the Local Government Act.(NSW</w:t>
      </w:r>
      <w:r w:rsidR="0026420D">
        <w:rPr>
          <w:lang w:val="en-AU"/>
        </w:rPr>
        <w:t>PEC</w:t>
      </w:r>
      <w:r>
        <w:rPr>
          <w:lang w:val="en-AU"/>
        </w:rPr>
        <w:t>, 1975: 13)</w:t>
      </w:r>
    </w:p>
    <w:p w:rsidR="00D529F3" w:rsidRDefault="00D529F3" w:rsidP="0054231D">
      <w:pPr>
        <w:tabs>
          <w:tab w:val="left" w:pos="-1099"/>
          <w:tab w:val="left" w:pos="-720"/>
          <w:tab w:val="left" w:pos="0"/>
          <w:tab w:val="left" w:pos="430"/>
          <w:tab w:val="left" w:pos="884"/>
        </w:tabs>
        <w:rPr>
          <w:lang w:val="en-AU"/>
        </w:rPr>
      </w:pPr>
    </w:p>
    <w:p w:rsidR="00D42FFA" w:rsidRDefault="001853D2" w:rsidP="0054231D">
      <w:pPr>
        <w:tabs>
          <w:tab w:val="left" w:pos="-1099"/>
          <w:tab w:val="left" w:pos="-720"/>
          <w:tab w:val="left" w:pos="0"/>
          <w:tab w:val="left" w:pos="430"/>
          <w:tab w:val="left" w:pos="884"/>
        </w:tabs>
        <w:rPr>
          <w:lang w:val="en-AU"/>
        </w:rPr>
      </w:pPr>
      <w:r>
        <w:rPr>
          <w:lang w:val="en-AU"/>
        </w:rPr>
        <w:t xml:space="preserve">The </w:t>
      </w:r>
      <w:r w:rsidR="00D529F3">
        <w:rPr>
          <w:lang w:val="en-AU"/>
        </w:rPr>
        <w:t xml:space="preserve">statement does not point to any particular document </w:t>
      </w:r>
      <w:r w:rsidR="005937E7">
        <w:rPr>
          <w:lang w:val="en-AU"/>
        </w:rPr>
        <w:t xml:space="preserve">in </w:t>
      </w:r>
      <w:r w:rsidR="00D529F3">
        <w:rPr>
          <w:lang w:val="en-AU"/>
        </w:rPr>
        <w:t>wh</w:t>
      </w:r>
      <w:r w:rsidR="005937E7">
        <w:rPr>
          <w:lang w:val="en-AU"/>
        </w:rPr>
        <w:t>ich</w:t>
      </w:r>
      <w:r w:rsidR="00D529F3">
        <w:rPr>
          <w:lang w:val="en-AU"/>
        </w:rPr>
        <w:t xml:space="preserve"> this </w:t>
      </w:r>
      <w:r w:rsidR="00750230">
        <w:rPr>
          <w:lang w:val="en-AU"/>
        </w:rPr>
        <w:t xml:space="preserve">standard </w:t>
      </w:r>
      <w:r w:rsidR="00D529F3">
        <w:rPr>
          <w:lang w:val="en-AU"/>
        </w:rPr>
        <w:t xml:space="preserve">was definitively set out </w:t>
      </w:r>
      <w:r w:rsidR="005937E7">
        <w:rPr>
          <w:lang w:val="en-AU"/>
        </w:rPr>
        <w:t>or</w:t>
      </w:r>
      <w:r w:rsidR="00D529F3">
        <w:rPr>
          <w:lang w:val="en-AU"/>
        </w:rPr>
        <w:t xml:space="preserve"> where a rationale might have been given. </w:t>
      </w:r>
    </w:p>
    <w:p w:rsidR="00D42FFA" w:rsidRDefault="00D42FFA" w:rsidP="0054231D">
      <w:pPr>
        <w:tabs>
          <w:tab w:val="left" w:pos="-1099"/>
          <w:tab w:val="left" w:pos="-720"/>
          <w:tab w:val="left" w:pos="0"/>
          <w:tab w:val="left" w:pos="430"/>
          <w:tab w:val="left" w:pos="884"/>
        </w:tabs>
        <w:rPr>
          <w:lang w:val="en-AU"/>
        </w:rPr>
      </w:pPr>
    </w:p>
    <w:p w:rsidR="00087826" w:rsidRDefault="0026420D" w:rsidP="0054231D">
      <w:pPr>
        <w:tabs>
          <w:tab w:val="left" w:pos="-1099"/>
          <w:tab w:val="left" w:pos="-720"/>
          <w:tab w:val="left" w:pos="0"/>
          <w:tab w:val="left" w:pos="430"/>
          <w:tab w:val="left" w:pos="884"/>
        </w:tabs>
        <w:rPr>
          <w:lang w:val="en-AU"/>
        </w:rPr>
      </w:pPr>
      <w:r>
        <w:rPr>
          <w:lang w:val="en-AU"/>
        </w:rPr>
        <w:t>In 1982</w:t>
      </w:r>
      <w:r w:rsidR="00D529F3">
        <w:rPr>
          <w:lang w:val="en-AU"/>
        </w:rPr>
        <w:t xml:space="preserve"> the open space survey </w:t>
      </w:r>
      <w:r w:rsidR="00087826">
        <w:rPr>
          <w:lang w:val="en-AU"/>
        </w:rPr>
        <w:t>was repeated</w:t>
      </w:r>
      <w:r w:rsidR="005937E7">
        <w:rPr>
          <w:lang w:val="en-AU"/>
        </w:rPr>
        <w:t>. However,</w:t>
      </w:r>
      <w:r w:rsidR="00087826">
        <w:rPr>
          <w:lang w:val="en-AU"/>
        </w:rPr>
        <w:t xml:space="preserve"> before the results were published</w:t>
      </w:r>
      <w:r w:rsidR="005937E7">
        <w:rPr>
          <w:lang w:val="en-AU"/>
        </w:rPr>
        <w:t>,</w:t>
      </w:r>
      <w:r w:rsidR="00087826">
        <w:rPr>
          <w:lang w:val="en-AU"/>
        </w:rPr>
        <w:t xml:space="preserve"> a set of guidelines for </w:t>
      </w:r>
      <w:r>
        <w:rPr>
          <w:lang w:val="en-AU"/>
        </w:rPr>
        <w:t xml:space="preserve">local government for </w:t>
      </w:r>
      <w:r w:rsidR="00087826">
        <w:rPr>
          <w:lang w:val="en-AU"/>
        </w:rPr>
        <w:t>preparing an open space plan was published, which stated:</w:t>
      </w:r>
    </w:p>
    <w:p w:rsidR="00087826" w:rsidRDefault="00087826" w:rsidP="0054231D">
      <w:pPr>
        <w:tabs>
          <w:tab w:val="left" w:pos="-1099"/>
          <w:tab w:val="left" w:pos="-720"/>
          <w:tab w:val="left" w:pos="0"/>
          <w:tab w:val="left" w:pos="430"/>
          <w:tab w:val="left" w:pos="884"/>
        </w:tabs>
        <w:rPr>
          <w:lang w:val="en-AU"/>
        </w:rPr>
      </w:pPr>
    </w:p>
    <w:p w:rsidR="00087826" w:rsidRDefault="00087826" w:rsidP="0054231D">
      <w:pPr>
        <w:tabs>
          <w:tab w:val="left" w:pos="-1099"/>
          <w:tab w:val="left" w:pos="-720"/>
          <w:tab w:val="left" w:pos="0"/>
          <w:tab w:val="left" w:pos="430"/>
          <w:tab w:val="left" w:pos="884"/>
        </w:tabs>
        <w:ind w:left="430"/>
        <w:rPr>
          <w:lang w:val="en-AU"/>
        </w:rPr>
      </w:pPr>
      <w:r>
        <w:rPr>
          <w:lang w:val="en-AU"/>
        </w:rPr>
        <w:t>It is now widely accepted that the application of rigid standards to the provision of open space</w:t>
      </w:r>
      <w:r w:rsidR="001D2C97">
        <w:rPr>
          <w:lang w:val="en-AU"/>
        </w:rPr>
        <w:t xml:space="preserve"> is not always appropriate. Different areas have different needs and a wide range of factors influences and constrains the location and amount of open space that can be provided. However, some sort of standard will always be needed as a guide to assessing open space. The standard of 2.83 ha/1000 people has been accepted for many years as a yardstick for the adequate provision of open space. It is now suggested that councils could set a standard higher or lower than this amount in relation to their needs and resources. (</w:t>
      </w:r>
      <w:r>
        <w:rPr>
          <w:lang w:val="en-AU"/>
        </w:rPr>
        <w:t>NSW Dept of Environment and Planning</w:t>
      </w:r>
      <w:r w:rsidR="0026420D">
        <w:rPr>
          <w:lang w:val="en-AU"/>
        </w:rPr>
        <w:t xml:space="preserve"> (NSWDEP)</w:t>
      </w:r>
      <w:r>
        <w:rPr>
          <w:lang w:val="en-AU"/>
        </w:rPr>
        <w:t>, 1984</w:t>
      </w:r>
      <w:r w:rsidR="001D2C97">
        <w:rPr>
          <w:lang w:val="en-AU"/>
        </w:rPr>
        <w:t>: 4</w:t>
      </w:r>
      <w:r>
        <w:rPr>
          <w:lang w:val="en-AU"/>
        </w:rPr>
        <w:t>)</w:t>
      </w:r>
    </w:p>
    <w:p w:rsidR="00087826" w:rsidRDefault="00087826" w:rsidP="0054231D">
      <w:pPr>
        <w:tabs>
          <w:tab w:val="left" w:pos="-1099"/>
          <w:tab w:val="left" w:pos="-720"/>
          <w:tab w:val="left" w:pos="0"/>
          <w:tab w:val="left" w:pos="430"/>
          <w:tab w:val="left" w:pos="884"/>
        </w:tabs>
        <w:rPr>
          <w:lang w:val="en-AU"/>
        </w:rPr>
      </w:pPr>
    </w:p>
    <w:p w:rsidR="00073F28" w:rsidRDefault="00F26E6A" w:rsidP="0054231D">
      <w:pPr>
        <w:tabs>
          <w:tab w:val="left" w:pos="-1099"/>
          <w:tab w:val="left" w:pos="-720"/>
          <w:tab w:val="left" w:pos="0"/>
          <w:tab w:val="left" w:pos="430"/>
          <w:tab w:val="left" w:pos="884"/>
        </w:tabs>
        <w:rPr>
          <w:lang w:val="en-AU"/>
        </w:rPr>
      </w:pPr>
      <w:r>
        <w:rPr>
          <w:lang w:val="en-AU"/>
        </w:rPr>
        <w:t xml:space="preserve">It is suggested that </w:t>
      </w:r>
      <w:r w:rsidR="00750230">
        <w:rPr>
          <w:lang w:val="en-AU"/>
        </w:rPr>
        <w:t xml:space="preserve">local </w:t>
      </w:r>
      <w:r>
        <w:rPr>
          <w:lang w:val="en-AU"/>
        </w:rPr>
        <w:t xml:space="preserve">'open space needs' be assessed, taking into account demographics, occupancy rates and special needs (eg. disabled) and by conducting a 'survey of the demand for facilities by users and potential users'. </w:t>
      </w:r>
      <w:r w:rsidR="00E959E4">
        <w:rPr>
          <w:lang w:val="en-AU"/>
        </w:rPr>
        <w:t xml:space="preserve">A </w:t>
      </w:r>
      <w:r>
        <w:rPr>
          <w:lang w:val="en-AU"/>
        </w:rPr>
        <w:t xml:space="preserve">manual </w:t>
      </w:r>
      <w:r w:rsidR="001853D2">
        <w:rPr>
          <w:lang w:val="en-AU"/>
        </w:rPr>
        <w:t xml:space="preserve">on the conduct of such surveys </w:t>
      </w:r>
      <w:r w:rsidR="00E959E4">
        <w:rPr>
          <w:lang w:val="en-AU"/>
        </w:rPr>
        <w:t>wa</w:t>
      </w:r>
      <w:r>
        <w:rPr>
          <w:lang w:val="en-AU"/>
        </w:rPr>
        <w:t xml:space="preserve">s </w:t>
      </w:r>
      <w:r w:rsidR="00E959E4">
        <w:rPr>
          <w:lang w:val="en-AU"/>
        </w:rPr>
        <w:t xml:space="preserve">produced which </w:t>
      </w:r>
      <w:r w:rsidR="001853D2">
        <w:rPr>
          <w:lang w:val="en-AU"/>
        </w:rPr>
        <w:t xml:space="preserve">also </w:t>
      </w:r>
      <w:r w:rsidR="00E959E4">
        <w:rPr>
          <w:lang w:val="en-AU"/>
        </w:rPr>
        <w:t>briefly outlined a demand/need m</w:t>
      </w:r>
      <w:r w:rsidR="00750230">
        <w:rPr>
          <w:lang w:val="en-AU"/>
        </w:rPr>
        <w:t xml:space="preserve">odel (NSWDLST/ABS, 1984: 86-88). However, </w:t>
      </w:r>
      <w:r>
        <w:rPr>
          <w:lang w:val="en-AU"/>
        </w:rPr>
        <w:t xml:space="preserve"> the guidelines </w:t>
      </w:r>
      <w:r w:rsidR="001853D2">
        <w:rPr>
          <w:lang w:val="en-AU"/>
        </w:rPr>
        <w:t xml:space="preserve">themselves </w:t>
      </w:r>
      <w:r>
        <w:rPr>
          <w:lang w:val="en-AU"/>
        </w:rPr>
        <w:t xml:space="preserve">go on to offer four sets of </w:t>
      </w:r>
      <w:r w:rsidR="001853D2">
        <w:rPr>
          <w:lang w:val="en-AU"/>
        </w:rPr>
        <w:t xml:space="preserve">standards </w:t>
      </w:r>
      <w:r>
        <w:rPr>
          <w:lang w:val="en-AU"/>
        </w:rPr>
        <w:t>for different 'population models' (</w:t>
      </w:r>
      <w:r w:rsidR="001853D2">
        <w:rPr>
          <w:lang w:val="en-AU"/>
        </w:rPr>
        <w:t>'</w:t>
      </w:r>
      <w:r>
        <w:rPr>
          <w:lang w:val="en-AU"/>
        </w:rPr>
        <w:t>developing</w:t>
      </w:r>
      <w:r w:rsidR="001853D2">
        <w:rPr>
          <w:lang w:val="en-AU"/>
        </w:rPr>
        <w:t>'</w:t>
      </w:r>
      <w:r>
        <w:rPr>
          <w:lang w:val="en-AU"/>
        </w:rPr>
        <w:t xml:space="preserve">, </w:t>
      </w:r>
      <w:r w:rsidR="001853D2">
        <w:rPr>
          <w:lang w:val="en-AU"/>
        </w:rPr>
        <w:t>'</w:t>
      </w:r>
      <w:r>
        <w:rPr>
          <w:lang w:val="en-AU"/>
        </w:rPr>
        <w:t>mature</w:t>
      </w:r>
      <w:r w:rsidR="001853D2">
        <w:rPr>
          <w:lang w:val="en-AU"/>
        </w:rPr>
        <w:t>'</w:t>
      </w:r>
      <w:r>
        <w:rPr>
          <w:lang w:val="en-AU"/>
        </w:rPr>
        <w:t xml:space="preserve">, </w:t>
      </w:r>
      <w:r w:rsidR="001853D2">
        <w:rPr>
          <w:lang w:val="en-AU"/>
        </w:rPr>
        <w:t>'</w:t>
      </w:r>
      <w:r>
        <w:rPr>
          <w:lang w:val="en-AU"/>
        </w:rPr>
        <w:t>ageing</w:t>
      </w:r>
      <w:r w:rsidR="001853D2">
        <w:rPr>
          <w:lang w:val="en-AU"/>
        </w:rPr>
        <w:t>'</w:t>
      </w:r>
      <w:r>
        <w:rPr>
          <w:lang w:val="en-AU"/>
        </w:rPr>
        <w:t xml:space="preserve"> and </w:t>
      </w:r>
      <w:r w:rsidR="001853D2">
        <w:rPr>
          <w:lang w:val="en-AU"/>
        </w:rPr>
        <w:t>'</w:t>
      </w:r>
      <w:r>
        <w:rPr>
          <w:lang w:val="en-AU"/>
        </w:rPr>
        <w:t>recycling</w:t>
      </w:r>
      <w:r w:rsidR="001853D2">
        <w:rPr>
          <w:lang w:val="en-AU"/>
        </w:rPr>
        <w:t>'</w:t>
      </w:r>
      <w:r>
        <w:rPr>
          <w:lang w:val="en-AU"/>
        </w:rPr>
        <w:t xml:space="preserve">) but, while these are said to be 'drawn from a wide variety of standards adopted elsewhere and from a preliminary analysis of the 1982 survey', no details of this research </w:t>
      </w:r>
      <w:r w:rsidR="0026420D">
        <w:rPr>
          <w:lang w:val="en-AU"/>
        </w:rPr>
        <w:t xml:space="preserve">and analysis </w:t>
      </w:r>
      <w:r>
        <w:rPr>
          <w:lang w:val="en-AU"/>
        </w:rPr>
        <w:t>are provided.</w:t>
      </w:r>
    </w:p>
    <w:p w:rsidR="00073F28" w:rsidRDefault="00073F28" w:rsidP="0054231D">
      <w:pPr>
        <w:tabs>
          <w:tab w:val="left" w:pos="-1099"/>
          <w:tab w:val="left" w:pos="-720"/>
          <w:tab w:val="left" w:pos="0"/>
          <w:tab w:val="left" w:pos="430"/>
          <w:tab w:val="left" w:pos="884"/>
        </w:tabs>
        <w:rPr>
          <w:lang w:val="en-AU"/>
        </w:rPr>
      </w:pPr>
    </w:p>
    <w:p w:rsidR="00D529F3" w:rsidRDefault="00F26E6A" w:rsidP="0054231D">
      <w:pPr>
        <w:tabs>
          <w:tab w:val="left" w:pos="-1099"/>
          <w:tab w:val="left" w:pos="-720"/>
          <w:tab w:val="left" w:pos="0"/>
          <w:tab w:val="left" w:pos="430"/>
          <w:tab w:val="left" w:pos="884"/>
        </w:tabs>
        <w:rPr>
          <w:lang w:val="en-AU"/>
        </w:rPr>
      </w:pPr>
      <w:r>
        <w:rPr>
          <w:lang w:val="en-AU"/>
        </w:rPr>
        <w:t>S</w:t>
      </w:r>
      <w:r w:rsidR="00403E98">
        <w:rPr>
          <w:lang w:val="en-AU"/>
        </w:rPr>
        <w:t>hortly after</w:t>
      </w:r>
      <w:r w:rsidR="005937E7">
        <w:rPr>
          <w:lang w:val="en-AU"/>
        </w:rPr>
        <w:t>wards</w:t>
      </w:r>
      <w:r>
        <w:rPr>
          <w:lang w:val="en-AU"/>
        </w:rPr>
        <w:t xml:space="preserve">, the report on the 1982 </w:t>
      </w:r>
      <w:r w:rsidR="001853D2">
        <w:rPr>
          <w:lang w:val="en-AU"/>
        </w:rPr>
        <w:t xml:space="preserve">open space survey </w:t>
      </w:r>
      <w:r>
        <w:rPr>
          <w:lang w:val="en-AU"/>
        </w:rPr>
        <w:t>was published and</w:t>
      </w:r>
      <w:r w:rsidR="00403E98">
        <w:rPr>
          <w:lang w:val="en-AU"/>
        </w:rPr>
        <w:t xml:space="preserve"> it continued </w:t>
      </w:r>
      <w:r w:rsidR="00D529F3">
        <w:rPr>
          <w:lang w:val="en-AU"/>
        </w:rPr>
        <w:t xml:space="preserve">the process of the </w:t>
      </w:r>
      <w:r w:rsidR="00403E98">
        <w:rPr>
          <w:lang w:val="en-AU"/>
        </w:rPr>
        <w:t xml:space="preserve">NSW </w:t>
      </w:r>
      <w:r w:rsidR="00D529F3">
        <w:rPr>
          <w:lang w:val="en-AU"/>
        </w:rPr>
        <w:t>state government planning agency distancing itself from the use of standards</w:t>
      </w:r>
      <w:r w:rsidR="00092C08">
        <w:rPr>
          <w:lang w:val="en-AU"/>
        </w:rPr>
        <w:t xml:space="preserve">, providing a brief outline of a needs-based approach to planning in a single-page appendix (NSWDEP, 1985: 95). The main body of the report </w:t>
      </w:r>
      <w:r w:rsidR="00D529F3">
        <w:rPr>
          <w:lang w:val="en-AU"/>
        </w:rPr>
        <w:t xml:space="preserve">declares that the 'arbitrary nature of the 2.8 ha. standard has been questioned many times but it has been maintained through </w:t>
      </w:r>
      <w:r w:rsidR="00D42FFA">
        <w:rPr>
          <w:lang w:val="en-AU"/>
        </w:rPr>
        <w:t>lack of a suitable alternative'</w:t>
      </w:r>
      <w:r w:rsidR="00403E98">
        <w:rPr>
          <w:lang w:val="en-AU"/>
        </w:rPr>
        <w:t>. I</w:t>
      </w:r>
      <w:r w:rsidR="00D529F3">
        <w:rPr>
          <w:lang w:val="en-AU"/>
        </w:rPr>
        <w:t>n summarising the history of the standard, the report is as vague as its predecessor. It refers to the 2.83 ha. standard as 'the one most familiar in New South Wales', and states:</w:t>
      </w:r>
    </w:p>
    <w:p w:rsidR="0073269B" w:rsidRDefault="0073269B"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 xml:space="preserve">This standard developed from an earlier version where a total of 4 ha. of open space per 1000 population was made up of a number of components, one of which was 'neighbourhood' or 'local' open spaces, with the remainder having a wider usage. This local component was </w:t>
      </w:r>
      <w:r w:rsidR="00313ACF">
        <w:rPr>
          <w:lang w:val="en-AU"/>
        </w:rPr>
        <w:t>2.83 ha.</w:t>
      </w:r>
      <w:r>
        <w:rPr>
          <w:lang w:val="en-AU"/>
        </w:rPr>
        <w:t xml:space="preserve"> and by the early 1970s this figure was being endorsed by the courts as the amount of open space to be contributed by developers at the time of subdivision. In publishing the 1972 survey results the same figure was adopted as a suggested standard for the provision of both 'local' and 'district' open space, with any other component of the original </w:t>
      </w:r>
      <w:r w:rsidR="00403E98">
        <w:rPr>
          <w:lang w:val="en-AU"/>
        </w:rPr>
        <w:t>4</w:t>
      </w:r>
      <w:r>
        <w:rPr>
          <w:lang w:val="en-AU"/>
        </w:rPr>
        <w:t xml:space="preserve"> </w:t>
      </w:r>
      <w:r w:rsidR="0026420D">
        <w:rPr>
          <w:lang w:val="en-AU"/>
        </w:rPr>
        <w:t xml:space="preserve">ha. </w:t>
      </w:r>
      <w:r>
        <w:rPr>
          <w:lang w:val="en-AU"/>
        </w:rPr>
        <w:t>eliminated. (</w:t>
      </w:r>
      <w:r w:rsidR="0026420D">
        <w:rPr>
          <w:lang w:val="en-AU"/>
        </w:rPr>
        <w:t>NSWDE</w:t>
      </w:r>
      <w:r w:rsidR="007B6337">
        <w:rPr>
          <w:lang w:val="en-AU"/>
        </w:rPr>
        <w:t>P</w:t>
      </w:r>
      <w:r>
        <w:rPr>
          <w:lang w:val="en-AU"/>
        </w:rPr>
        <w:t>, 1985: 11</w:t>
      </w:r>
      <w:r w:rsidR="00750230">
        <w:rPr>
          <w:lang w:val="en-AU"/>
        </w:rPr>
        <w:t xml:space="preserve">: </w:t>
      </w:r>
      <w:r w:rsidR="00D42FFA">
        <w:rPr>
          <w:lang w:val="en-AU"/>
        </w:rPr>
        <w:t>acres in original changed to ha.</w:t>
      </w:r>
      <w:r>
        <w:rPr>
          <w:lang w:val="en-AU"/>
        </w:rPr>
        <w:t xml:space="preserve">). </w:t>
      </w:r>
    </w:p>
    <w:p w:rsidR="00D529F3" w:rsidRDefault="00D529F3" w:rsidP="0054231D">
      <w:pPr>
        <w:tabs>
          <w:tab w:val="left" w:pos="-1099"/>
          <w:tab w:val="left" w:pos="-720"/>
          <w:tab w:val="left" w:pos="0"/>
          <w:tab w:val="left" w:pos="430"/>
          <w:tab w:val="left" w:pos="884"/>
        </w:tabs>
        <w:rPr>
          <w:lang w:val="en-AU"/>
        </w:rPr>
      </w:pPr>
    </w:p>
    <w:p w:rsidR="00403E98" w:rsidRDefault="00750230" w:rsidP="0054231D">
      <w:pPr>
        <w:tabs>
          <w:tab w:val="left" w:pos="-1099"/>
          <w:tab w:val="left" w:pos="-720"/>
          <w:tab w:val="left" w:pos="0"/>
          <w:tab w:val="left" w:pos="430"/>
          <w:tab w:val="left" w:pos="884"/>
        </w:tabs>
        <w:rPr>
          <w:lang w:val="en-AU"/>
        </w:rPr>
      </w:pPr>
      <w:r>
        <w:rPr>
          <w:lang w:val="en-AU"/>
        </w:rPr>
        <w:t xml:space="preserve">However, </w:t>
      </w:r>
      <w:r w:rsidR="00D529F3">
        <w:rPr>
          <w:lang w:val="en-AU"/>
        </w:rPr>
        <w:t xml:space="preserve">the report of the 1972 survey, as noted above, makes no reference to a </w:t>
      </w:r>
      <w:r w:rsidR="00313ACF">
        <w:rPr>
          <w:lang w:val="en-AU"/>
        </w:rPr>
        <w:t xml:space="preserve">4 ha. </w:t>
      </w:r>
      <w:r w:rsidR="00D529F3">
        <w:rPr>
          <w:lang w:val="en-AU"/>
        </w:rPr>
        <w:t xml:space="preserve">standard or to 'components'. </w:t>
      </w:r>
    </w:p>
    <w:p w:rsidR="00403E98" w:rsidRDefault="00403E98" w:rsidP="0054231D">
      <w:pPr>
        <w:tabs>
          <w:tab w:val="left" w:pos="-1099"/>
          <w:tab w:val="left" w:pos="-720"/>
          <w:tab w:val="left" w:pos="0"/>
          <w:tab w:val="left" w:pos="430"/>
          <w:tab w:val="left" w:pos="884"/>
        </w:tabs>
        <w:rPr>
          <w:lang w:val="en-AU"/>
        </w:rPr>
      </w:pPr>
    </w:p>
    <w:p w:rsidR="00D529F3" w:rsidRDefault="00403E98" w:rsidP="0054231D">
      <w:pPr>
        <w:tabs>
          <w:tab w:val="left" w:pos="-1099"/>
          <w:tab w:val="left" w:pos="-720"/>
          <w:tab w:val="left" w:pos="0"/>
          <w:tab w:val="left" w:pos="430"/>
          <w:tab w:val="left" w:pos="884"/>
        </w:tabs>
        <w:rPr>
          <w:lang w:val="en-AU"/>
        </w:rPr>
      </w:pPr>
      <w:r>
        <w:rPr>
          <w:lang w:val="en-AU"/>
        </w:rPr>
        <w:t>I</w:t>
      </w:r>
      <w:r w:rsidR="00D529F3">
        <w:rPr>
          <w:lang w:val="en-AU"/>
        </w:rPr>
        <w:t>n the 1992</w:t>
      </w:r>
      <w:r>
        <w:rPr>
          <w:lang w:val="en-AU"/>
        </w:rPr>
        <w:t xml:space="preserve"> revised</w:t>
      </w:r>
      <w:r w:rsidR="00092C08">
        <w:rPr>
          <w:lang w:val="en-AU"/>
        </w:rPr>
        <w:t xml:space="preserve"> NSW</w:t>
      </w:r>
      <w:r>
        <w:rPr>
          <w:lang w:val="en-AU"/>
        </w:rPr>
        <w:t xml:space="preserve"> </w:t>
      </w:r>
      <w:r w:rsidR="00D529F3">
        <w:rPr>
          <w:i/>
          <w:iCs/>
          <w:lang w:val="en-AU"/>
        </w:rPr>
        <w:t>Guidelines</w:t>
      </w:r>
      <w:r>
        <w:rPr>
          <w:iCs/>
          <w:lang w:val="en-AU"/>
        </w:rPr>
        <w:t xml:space="preserve">, the position in regard to the standard was more </w:t>
      </w:r>
      <w:r w:rsidR="005937E7">
        <w:rPr>
          <w:iCs/>
          <w:lang w:val="en-AU"/>
        </w:rPr>
        <w:t>clearly stated</w:t>
      </w:r>
      <w:r>
        <w:rPr>
          <w:iCs/>
          <w:lang w:val="en-AU"/>
        </w:rPr>
        <w:t xml:space="preserve">: it was described </w:t>
      </w:r>
      <w:r w:rsidR="00D529F3">
        <w:rPr>
          <w:lang w:val="en-AU"/>
        </w:rPr>
        <w:t>as 'inaccurate and misleading' (NSW</w:t>
      </w:r>
      <w:r>
        <w:rPr>
          <w:lang w:val="en-AU"/>
        </w:rPr>
        <w:t>DEP</w:t>
      </w:r>
      <w:r w:rsidR="00D529F3">
        <w:rPr>
          <w:lang w:val="en-AU"/>
        </w:rPr>
        <w:t>, 1992: 7)</w:t>
      </w:r>
      <w:r w:rsidR="00610358">
        <w:rPr>
          <w:lang w:val="en-AU"/>
        </w:rPr>
        <w:t xml:space="preserve"> and a demand/needs-based approach was endorsed</w:t>
      </w:r>
      <w:r w:rsidR="00D529F3">
        <w:rPr>
          <w:lang w:val="en-AU"/>
        </w:rPr>
        <w:t>.</w:t>
      </w:r>
      <w:r w:rsidR="001853D2">
        <w:rPr>
          <w:lang w:val="en-AU"/>
        </w:rPr>
        <w:t xml:space="preserve"> </w:t>
      </w:r>
      <w:r w:rsidR="005A522F">
        <w:rPr>
          <w:lang w:val="en-AU"/>
        </w:rPr>
        <w:t xml:space="preserve">However, despite the precautionary comments noted above, </w:t>
      </w:r>
      <w:r w:rsidR="001853D2">
        <w:rPr>
          <w:lang w:val="en-AU"/>
        </w:rPr>
        <w:t xml:space="preserve">in the most recent NSW guidelines (NSWDP, </w:t>
      </w:r>
      <w:r w:rsidR="001853D2" w:rsidRPr="00F84BAD">
        <w:rPr>
          <w:lang w:val="en-AU"/>
        </w:rPr>
        <w:t>2010</w:t>
      </w:r>
      <w:r w:rsidR="001853D2">
        <w:rPr>
          <w:lang w:val="en-AU"/>
        </w:rPr>
        <w:t>), standards</w:t>
      </w:r>
      <w:r w:rsidR="005A522F" w:rsidRPr="005A522F">
        <w:rPr>
          <w:lang w:val="en-AU"/>
        </w:rPr>
        <w:t xml:space="preserve"> </w:t>
      </w:r>
      <w:r w:rsidR="005A522F">
        <w:rPr>
          <w:lang w:val="en-AU"/>
        </w:rPr>
        <w:t>are reinstated</w:t>
      </w:r>
      <w:r w:rsidR="001853D2">
        <w:rPr>
          <w:lang w:val="en-AU"/>
        </w:rPr>
        <w:t xml:space="preserve">, albeit in area-percentage and catchment area formats.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1975: Planning Workshop/PA Management Consultants</w:t>
      </w:r>
    </w:p>
    <w:p w:rsidR="00D529F3" w:rsidRDefault="00D529F3" w:rsidP="0054231D">
      <w:pPr>
        <w:tabs>
          <w:tab w:val="left" w:pos="-1099"/>
          <w:tab w:val="left" w:pos="-720"/>
          <w:tab w:val="left" w:pos="0"/>
          <w:tab w:val="left" w:pos="430"/>
          <w:tab w:val="left" w:pos="884"/>
        </w:tabs>
        <w:rPr>
          <w:lang w:val="en-AU"/>
        </w:rPr>
      </w:pPr>
      <w:r>
        <w:rPr>
          <w:lang w:val="en-AU"/>
        </w:rPr>
        <w:t>In 1975 two consultancy groups, Planning Workshop and PA Management Consultants</w:t>
      </w:r>
      <w:r w:rsidR="007B6337">
        <w:rPr>
          <w:lang w:val="en-AU"/>
        </w:rPr>
        <w:t>,</w:t>
      </w:r>
      <w:r>
        <w:rPr>
          <w:lang w:val="en-AU"/>
        </w:rPr>
        <w:t xml:space="preserve"> were commissioned by the federal government to examine the costs and benefits of alternative groupings of neighbourhood services, including leisure services, in new development areas. In  undertaking this task, the consultants put forward standards in two formats:</w:t>
      </w:r>
    </w:p>
    <w:p w:rsidR="00D529F3" w:rsidRDefault="00D529F3" w:rsidP="0054231D">
      <w:pPr>
        <w:tabs>
          <w:tab w:val="left" w:pos="-1099"/>
          <w:tab w:val="left" w:pos="-720"/>
          <w:tab w:val="left" w:pos="0"/>
          <w:tab w:val="left" w:pos="430"/>
          <w:tab w:val="left" w:pos="884"/>
        </w:tabs>
        <w:ind w:left="430" w:hanging="430"/>
        <w:rPr>
          <w:lang w:val="en-AU"/>
        </w:rPr>
      </w:pPr>
      <w:r>
        <w:rPr>
          <w:lang w:val="en-AU"/>
        </w:rPr>
        <w:t xml:space="preserve">1. </w:t>
      </w:r>
      <w:r>
        <w:rPr>
          <w:lang w:val="en-AU"/>
        </w:rPr>
        <w:tab/>
        <w:t>prescriptions for service levels for neighbourhood units of 6000 population;</w:t>
      </w:r>
    </w:p>
    <w:p w:rsidR="00D529F3" w:rsidRDefault="00D529F3" w:rsidP="0054231D">
      <w:pPr>
        <w:tabs>
          <w:tab w:val="left" w:pos="-1099"/>
          <w:tab w:val="left" w:pos="-720"/>
          <w:tab w:val="left" w:pos="0"/>
          <w:tab w:val="left" w:pos="430"/>
          <w:tab w:val="left" w:pos="884"/>
        </w:tabs>
        <w:ind w:left="430" w:hanging="430"/>
        <w:rPr>
          <w:lang w:val="en-AU"/>
        </w:rPr>
      </w:pPr>
      <w:r>
        <w:rPr>
          <w:lang w:val="en-AU"/>
        </w:rPr>
        <w:t xml:space="preserve">2. </w:t>
      </w:r>
      <w:r>
        <w:rPr>
          <w:lang w:val="en-AU"/>
        </w:rPr>
        <w:tab/>
        <w:t>a summary of standards from elsewhere, expressed in terms of population levels required to support one unit of supply, adjusted for Australian conditions.</w:t>
      </w:r>
    </w:p>
    <w:p w:rsidR="00533A4B" w:rsidRDefault="00533A4B"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Despite the </w:t>
      </w:r>
      <w:r w:rsidR="005A522F">
        <w:rPr>
          <w:lang w:val="en-AU"/>
        </w:rPr>
        <w:t>volume</w:t>
      </w:r>
      <w:r>
        <w:rPr>
          <w:lang w:val="en-AU"/>
        </w:rPr>
        <w:t xml:space="preserve"> of research summarised in the report, the precise method by which the first of these prescriptions was established is not clear. In the second case over 30 standards </w:t>
      </w:r>
      <w:r w:rsidR="00073F28">
        <w:rPr>
          <w:lang w:val="en-AU"/>
        </w:rPr>
        <w:t xml:space="preserve">for different types of service </w:t>
      </w:r>
      <w:r>
        <w:rPr>
          <w:lang w:val="en-AU"/>
        </w:rPr>
        <w:t>are presented with their sources described as</w:t>
      </w:r>
      <w:r w:rsidR="00092C08">
        <w:rPr>
          <w:lang w:val="en-AU"/>
        </w:rPr>
        <w:t xml:space="preserve"> </w:t>
      </w:r>
      <w:r>
        <w:rPr>
          <w:lang w:val="en-AU"/>
        </w:rPr>
        <w:t>follows:</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Selected from a search of the literature on planning standards, adjusted for projected Australian conditions. Some standards have been slightly modified for the purpose of simplified modelling. These standards are intended for illustrative purposes only and should not be regarded as accurate guidelines for any particular community. (Planning Workshop/PA Management Consultants, 1975: 104).</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Sources listed include the US National Recreation and Parks Association (Buechner, 1971), </w:t>
      </w:r>
      <w:r w:rsidR="007B6337">
        <w:rPr>
          <w:lang w:val="en-AU"/>
        </w:rPr>
        <w:t xml:space="preserve">American researcher Seymour </w:t>
      </w:r>
      <w:r>
        <w:rPr>
          <w:lang w:val="en-AU"/>
        </w:rPr>
        <w:t>Gold (1973)</w:t>
      </w:r>
      <w:r w:rsidR="00D73DCA">
        <w:rPr>
          <w:lang w:val="en-AU"/>
        </w:rPr>
        <w:t xml:space="preserve"> (</w:t>
      </w:r>
      <w:r>
        <w:rPr>
          <w:lang w:val="en-AU"/>
        </w:rPr>
        <w:t xml:space="preserve">who </w:t>
      </w:r>
      <w:r w:rsidR="00D73DCA">
        <w:rPr>
          <w:lang w:val="en-AU"/>
        </w:rPr>
        <w:t xml:space="preserve">was opposed to </w:t>
      </w:r>
      <w:r>
        <w:rPr>
          <w:lang w:val="en-AU"/>
        </w:rPr>
        <w:t>the standards approach to planning</w:t>
      </w:r>
      <w:r w:rsidR="00D73DCA">
        <w:rPr>
          <w:lang w:val="en-AU"/>
        </w:rPr>
        <w:t>)</w:t>
      </w:r>
      <w:r>
        <w:rPr>
          <w:lang w:val="en-AU"/>
        </w:rPr>
        <w:t>, and three general planning sources. There is no reference to sp</w:t>
      </w:r>
      <w:r w:rsidR="001853D2">
        <w:rPr>
          <w:lang w:val="en-AU"/>
        </w:rPr>
        <w:t>ecifically Australian sources. D</w:t>
      </w:r>
      <w:r>
        <w:rPr>
          <w:lang w:val="en-AU"/>
        </w:rPr>
        <w:t xml:space="preserve">etails </w:t>
      </w:r>
      <w:r w:rsidR="001853D2">
        <w:rPr>
          <w:lang w:val="en-AU"/>
        </w:rPr>
        <w:t xml:space="preserve">as to </w:t>
      </w:r>
      <w:r>
        <w:rPr>
          <w:lang w:val="en-AU"/>
        </w:rPr>
        <w:t>how the adjustments for Australian conditions were made are not provided</w:t>
      </w:r>
      <w:r w:rsidR="00E83BA1">
        <w:rPr>
          <w:lang w:val="en-AU"/>
        </w:rPr>
        <w:t xml:space="preserve">.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1977/1981: National Capital Development Commission</w:t>
      </w:r>
    </w:p>
    <w:p w:rsidR="00D529F3" w:rsidRDefault="00D529F3" w:rsidP="0054231D">
      <w:pPr>
        <w:tabs>
          <w:tab w:val="left" w:pos="-1099"/>
          <w:tab w:val="left" w:pos="-720"/>
          <w:tab w:val="left" w:pos="0"/>
          <w:tab w:val="left" w:pos="430"/>
          <w:tab w:val="left" w:pos="884"/>
        </w:tabs>
        <w:rPr>
          <w:lang w:val="en-AU"/>
        </w:rPr>
      </w:pPr>
      <w:r>
        <w:rPr>
          <w:lang w:val="en-AU"/>
        </w:rPr>
        <w:lastRenderedPageBreak/>
        <w:t xml:space="preserve">The National Capital Development Commission, responsible for the development of Canberra, published its </w:t>
      </w:r>
      <w:r>
        <w:rPr>
          <w:i/>
          <w:iCs/>
          <w:lang w:val="en-AU"/>
        </w:rPr>
        <w:t>Urban Open Space Guidelines</w:t>
      </w:r>
      <w:r>
        <w:rPr>
          <w:lang w:val="en-AU"/>
        </w:rPr>
        <w:t xml:space="preserve"> in 19</w:t>
      </w:r>
      <w:r w:rsidR="00092C08">
        <w:rPr>
          <w:lang w:val="en-AU"/>
        </w:rPr>
        <w:t>77</w:t>
      </w:r>
      <w:r>
        <w:rPr>
          <w:lang w:val="en-AU"/>
        </w:rPr>
        <w:t xml:space="preserve"> and declared, in regard to standards:</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It is clear that there is no scientific basis for the early standards from which present day standards have been derived. Early standards were professional estimates, based on observation, of the amount of space required by each person engaged in the range of activities likely in open space. ... Clearly the relevance of any such standard becomes suspect once it is quoted out of the context for which the standard is derived. At best, open space standards are a professional estimate by people familiar with management of open space and the needs of urban residents. (NCDC, 19</w:t>
      </w:r>
      <w:r w:rsidR="00143F4F">
        <w:rPr>
          <w:lang w:val="en-AU"/>
        </w:rPr>
        <w:t>77/</w:t>
      </w:r>
      <w:r>
        <w:rPr>
          <w:lang w:val="en-AU"/>
        </w:rPr>
        <w:t>81: 2-3).</w:t>
      </w:r>
    </w:p>
    <w:p w:rsidR="00D529F3" w:rsidRDefault="00D529F3" w:rsidP="0054231D">
      <w:pPr>
        <w:tabs>
          <w:tab w:val="left" w:pos="-1099"/>
          <w:tab w:val="left" w:pos="-720"/>
          <w:tab w:val="left" w:pos="0"/>
          <w:tab w:val="left" w:pos="430"/>
          <w:tab w:val="left" w:pos="884"/>
        </w:tabs>
        <w:rPr>
          <w:lang w:val="en-AU"/>
        </w:rPr>
      </w:pPr>
    </w:p>
    <w:p w:rsidR="00533A4B" w:rsidRDefault="00533A4B"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Despite the apparent deficiencies of these unspecified 'early standards' and their likely unsuitability for use out of context, the Commission went on to present an open space standard of 10 acres (4 ha.) per 1000 population for Canberra. It presented no explicit basis for the standard beyond the following vague comments:</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 xml:space="preserve">The Commission's policy is to provide public parks, sportsground and recreation space within the boundaries of developed urban areas in line with recognised standards. The standard currently adopted evolved from consideration of past practices and the needs of Canberra residents. It is similar to standards adopted in some overseas countries. It provides for 4 hectares (10 acres) of municipal recreation space per 1,000 population. ... </w:t>
      </w:r>
    </w:p>
    <w:p w:rsidR="00D529F3" w:rsidRDefault="00D529F3" w:rsidP="0054231D">
      <w:pPr>
        <w:tabs>
          <w:tab w:val="left" w:pos="-1099"/>
          <w:tab w:val="left" w:pos="-720"/>
          <w:tab w:val="left" w:pos="0"/>
          <w:tab w:val="left" w:pos="430"/>
          <w:tab w:val="left" w:pos="884"/>
        </w:tabs>
        <w:ind w:left="430" w:firstLine="454"/>
        <w:rPr>
          <w:lang w:val="en-AU"/>
        </w:rPr>
      </w:pPr>
      <w:r>
        <w:rPr>
          <w:lang w:val="en-AU"/>
        </w:rPr>
        <w:t>From the days of the earliest planning for Canberra, open space provision has been aimed at around 10 acres/1,000 population (equivalent to the current 4 hectares). This level of provision was informally agreed by those planners involved in the development of the National Capital. In 1972 the figure of 10 acres/1,000 was formalised by the Commission as a minimum provision in urban areas, following research into overseas practices and into contemporary levels of use of open space existing in Canberra at the time. (NCDC, 1981: 2-3).</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No further details of the 'research into overseas practices' and local use levels are given.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1989: Joint Venture for More Affordable Housing (JVMAH)</w:t>
      </w:r>
    </w:p>
    <w:p w:rsidR="00D529F3" w:rsidRDefault="00D529F3" w:rsidP="0054231D">
      <w:pPr>
        <w:tabs>
          <w:tab w:val="left" w:pos="-1099"/>
          <w:tab w:val="left" w:pos="-720"/>
          <w:tab w:val="left" w:pos="0"/>
          <w:tab w:val="left" w:pos="430"/>
          <w:tab w:val="left" w:pos="884"/>
        </w:tabs>
        <w:rPr>
          <w:lang w:val="en-AU"/>
        </w:rPr>
      </w:pPr>
      <w:r>
        <w:rPr>
          <w:lang w:val="en-AU"/>
        </w:rPr>
        <w:t xml:space="preserve">The Joint Venture for More Affordable Housing (JVMAH), a Commonwealth government task force, published the </w:t>
      </w:r>
      <w:r>
        <w:rPr>
          <w:i/>
          <w:iCs/>
          <w:lang w:val="en-AU"/>
        </w:rPr>
        <w:t>Australian Model Code for Residential Development</w:t>
      </w:r>
      <w:r>
        <w:rPr>
          <w:lang w:val="en-AU"/>
        </w:rPr>
        <w:t xml:space="preserve"> </w:t>
      </w:r>
      <w:r w:rsidR="00D11A74">
        <w:rPr>
          <w:lang w:val="en-AU"/>
        </w:rPr>
        <w:t xml:space="preserve">(AMCORD) </w:t>
      </w:r>
      <w:r>
        <w:rPr>
          <w:lang w:val="en-AU"/>
        </w:rPr>
        <w:t xml:space="preserve">in 1989. The reference to this source </w:t>
      </w:r>
      <w:r w:rsidR="00B75A71">
        <w:rPr>
          <w:lang w:val="en-AU"/>
        </w:rPr>
        <w:t xml:space="preserve">in the NSW </w:t>
      </w:r>
      <w:r w:rsidR="00B75A71">
        <w:rPr>
          <w:i/>
          <w:iCs/>
          <w:lang w:val="en-AU"/>
        </w:rPr>
        <w:t>Guidelines</w:t>
      </w:r>
      <w:r w:rsidR="00B75A71">
        <w:rPr>
          <w:lang w:val="en-AU"/>
        </w:rPr>
        <w:t xml:space="preserve"> </w:t>
      </w:r>
      <w:r>
        <w:rPr>
          <w:lang w:val="en-AU"/>
        </w:rPr>
        <w:t>is ambivalent, but could give the impression that JVMAH recommended the use of a British 7 acre/2.83 ha. standard. In fact, the report refers specifically to a 10 acre/4 ha. standard in the following terms:</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Standards for the provision of open space derived from Britain and the United States, where standards were developed between the 1890s and 1935, based on the original idea of providing adequate space for 'play and gymnastics' for children. A standard of 4 hectares per 1,000 people became widely accepted on the 'mistaken belief that the standards had been scientifically developed' (Marriott, 1987). (JVMAH, 1989: 72)</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lastRenderedPageBreak/>
        <w:t xml:space="preserve">This synopsis </w:t>
      </w:r>
      <w:r w:rsidR="00B65B7F">
        <w:rPr>
          <w:lang w:val="en-AU"/>
        </w:rPr>
        <w:t xml:space="preserve">was taken </w:t>
      </w:r>
      <w:r>
        <w:rPr>
          <w:lang w:val="en-AU"/>
        </w:rPr>
        <w:t xml:space="preserve">from the South Australian planning </w:t>
      </w:r>
      <w:r w:rsidR="00B65B7F">
        <w:rPr>
          <w:lang w:val="en-AU"/>
        </w:rPr>
        <w:t xml:space="preserve">guidelines </w:t>
      </w:r>
      <w:r>
        <w:rPr>
          <w:lang w:val="en-AU"/>
        </w:rPr>
        <w:t>(Marriott, 1987), although publication details are not provided in the list of references</w:t>
      </w:r>
      <w:r w:rsidR="00B65B7F">
        <w:rPr>
          <w:lang w:val="en-AU"/>
        </w:rPr>
        <w:t xml:space="preserve">. </w:t>
      </w:r>
      <w:r>
        <w:rPr>
          <w:lang w:val="en-AU"/>
        </w:rPr>
        <w:t xml:space="preserve">The report also refers to the statement concerning the lack of a scientific basis for existing standards included in Canberra's </w:t>
      </w:r>
      <w:r>
        <w:rPr>
          <w:i/>
          <w:iCs/>
          <w:lang w:val="en-AU"/>
        </w:rPr>
        <w:t xml:space="preserve">Urban Open Space Guidelines </w:t>
      </w:r>
      <w:r>
        <w:rPr>
          <w:lang w:val="en-AU"/>
        </w:rPr>
        <w:t>discussed above.</w:t>
      </w:r>
      <w:r w:rsidR="00B65B7F">
        <w:rPr>
          <w:lang w:val="en-AU"/>
        </w:rPr>
        <w:t xml:space="preserve"> </w:t>
      </w:r>
      <w:r>
        <w:rPr>
          <w:lang w:val="en-AU"/>
        </w:rPr>
        <w:t>Thus, while the JVMAH report makes reference to a standard, it does not endorse its use, giving the following reason:</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The main objection to allocating open space according to strict population formulae is on the grounds that few parks are used to capacity, even in densely populated areas and that changes in population size and structure occur over time. It is argued instead that, provided size, distribution and accessibility criteria are satisfied, public open space provision may be adequately met without having to resort to the allocation of space according to uncertain population predictions and projected requirements. (JVMAH, 1989: 74)</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No evidence is given to support the statement that 'few parks are used to capacity, even in densely populated areas', but it </w:t>
      </w:r>
      <w:r w:rsidR="00D11A74">
        <w:rPr>
          <w:lang w:val="en-AU"/>
        </w:rPr>
        <w:t>could</w:t>
      </w:r>
      <w:r>
        <w:rPr>
          <w:lang w:val="en-AU"/>
        </w:rPr>
        <w:t xml:space="preserve"> be a reflection of the 'under-use of parks' myth promulgated since the 1970s (see Veal, 2006). Neither is the apparently problematical reliance on 'uncertain population predictions and projected requirements' </w:t>
      </w:r>
      <w:r w:rsidR="00D11A74">
        <w:rPr>
          <w:lang w:val="en-AU"/>
        </w:rPr>
        <w:t>discussed further</w:t>
      </w:r>
      <w:r>
        <w:rPr>
          <w:lang w:val="en-AU"/>
        </w:rPr>
        <w:t>. The report recommends that a 'needs-based' approach to open space planning be adopte</w:t>
      </w:r>
      <w:r w:rsidR="00E83BA1">
        <w:rPr>
          <w:lang w:val="en-AU"/>
        </w:rPr>
        <w:t xml:space="preserve">d, based on an 'approved plan' </w:t>
      </w:r>
      <w:r w:rsidR="00B65B7F">
        <w:rPr>
          <w:lang w:val="en-AU"/>
        </w:rPr>
        <w:t xml:space="preserve">but </w:t>
      </w:r>
      <w:r w:rsidR="00E83BA1">
        <w:rPr>
          <w:lang w:val="en-AU"/>
        </w:rPr>
        <w:t>also recommends a</w:t>
      </w:r>
      <w:r w:rsidR="00107914">
        <w:rPr>
          <w:lang w:val="en-AU"/>
        </w:rPr>
        <w:t xml:space="preserve">n area-percentage </w:t>
      </w:r>
      <w:r w:rsidR="00E83BA1">
        <w:rPr>
          <w:lang w:val="en-AU"/>
        </w:rPr>
        <w:t>open space standard of 'not less than 6% of the site area' (JVMAH, 1989: 75).</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i/>
          <w:iCs/>
          <w:lang w:val="en-AU"/>
        </w:rPr>
        <w:t>Origins: conclusions</w:t>
      </w:r>
    </w:p>
    <w:p w:rsidR="00D529F3" w:rsidRDefault="00D529F3" w:rsidP="0054231D">
      <w:pPr>
        <w:tabs>
          <w:tab w:val="left" w:pos="-1099"/>
          <w:tab w:val="left" w:pos="-720"/>
          <w:tab w:val="left" w:pos="0"/>
          <w:tab w:val="left" w:pos="430"/>
          <w:tab w:val="left" w:pos="884"/>
        </w:tabs>
        <w:rPr>
          <w:lang w:val="en-AU"/>
        </w:rPr>
      </w:pPr>
      <w:r>
        <w:rPr>
          <w:lang w:val="en-AU"/>
        </w:rPr>
        <w:t>This review of eight sources therefore reveals no documented evidence identifying the specific, original source or basis of the open space standards commonly used in Australia. However, there are numerous gen</w:t>
      </w:r>
      <w:r w:rsidR="00D73DCA">
        <w:rPr>
          <w:lang w:val="en-AU"/>
        </w:rPr>
        <w:t>eral references to British and N</w:t>
      </w:r>
      <w:r>
        <w:rPr>
          <w:lang w:val="en-AU"/>
        </w:rPr>
        <w:t xml:space="preserve">orth American standards so </w:t>
      </w:r>
      <w:r w:rsidR="00D11A74">
        <w:rPr>
          <w:lang w:val="en-AU"/>
        </w:rPr>
        <w:t xml:space="preserve">some of </w:t>
      </w:r>
      <w:r>
        <w:rPr>
          <w:lang w:val="en-AU"/>
        </w:rPr>
        <w:t>the most significant</w:t>
      </w:r>
      <w:r w:rsidR="00B75A71">
        <w:rPr>
          <w:lang w:val="en-AU"/>
        </w:rPr>
        <w:t xml:space="preserve"> of these </w:t>
      </w:r>
      <w:r>
        <w:rPr>
          <w:lang w:val="en-AU"/>
        </w:rPr>
        <w:t xml:space="preserve"> </w:t>
      </w:r>
      <w:r w:rsidR="00D11A74">
        <w:rPr>
          <w:lang w:val="en-AU"/>
        </w:rPr>
        <w:t xml:space="preserve">are discussed </w:t>
      </w:r>
      <w:r>
        <w:rPr>
          <w:lang w:val="en-AU"/>
        </w:rPr>
        <w:t xml:space="preserve">in the next </w:t>
      </w:r>
      <w:r w:rsidR="00D73DCA">
        <w:rPr>
          <w:lang w:val="en-AU"/>
        </w:rPr>
        <w:t>section</w:t>
      </w:r>
      <w:r>
        <w:rPr>
          <w:lang w:val="en-AU"/>
        </w:rPr>
        <w:t>.</w:t>
      </w:r>
    </w:p>
    <w:p w:rsidR="00D529F3" w:rsidRDefault="00D529F3" w:rsidP="0054231D">
      <w:pPr>
        <w:tabs>
          <w:tab w:val="left" w:pos="-1099"/>
          <w:tab w:val="left" w:pos="-720"/>
          <w:tab w:val="left" w:pos="0"/>
          <w:tab w:val="left" w:pos="430"/>
          <w:tab w:val="left" w:pos="884"/>
        </w:tabs>
        <w:rPr>
          <w:lang w:val="en-AU"/>
        </w:rPr>
      </w:pPr>
    </w:p>
    <w:p w:rsidR="0091538F" w:rsidRDefault="0091538F" w:rsidP="0054231D">
      <w:pPr>
        <w:tabs>
          <w:tab w:val="left" w:pos="-1099"/>
          <w:tab w:val="left" w:pos="-720"/>
          <w:tab w:val="left" w:pos="0"/>
          <w:tab w:val="left" w:pos="430"/>
          <w:tab w:val="left" w:pos="884"/>
        </w:tabs>
        <w:rPr>
          <w:b/>
          <w:bCs/>
          <w:lang w:val="en-AU"/>
        </w:rPr>
      </w:pPr>
      <w:r>
        <w:rPr>
          <w:b/>
          <w:bCs/>
          <w:lang w:val="en-AU"/>
        </w:rPr>
        <w:t>Overseas standards</w:t>
      </w:r>
    </w:p>
    <w:p w:rsidR="0091538F" w:rsidRDefault="0091538F" w:rsidP="0054231D">
      <w:pPr>
        <w:tabs>
          <w:tab w:val="left" w:pos="-1099"/>
          <w:tab w:val="left" w:pos="-720"/>
          <w:tab w:val="left" w:pos="0"/>
          <w:tab w:val="left" w:pos="430"/>
          <w:tab w:val="left" w:pos="884"/>
        </w:tabs>
        <w:rPr>
          <w:b/>
          <w:bCs/>
          <w:lang w:val="en-AU"/>
        </w:rPr>
      </w:pPr>
    </w:p>
    <w:p w:rsidR="00D73DCA" w:rsidRDefault="00D73DCA" w:rsidP="0054231D">
      <w:pPr>
        <w:tabs>
          <w:tab w:val="left" w:pos="-1099"/>
          <w:tab w:val="left" w:pos="-720"/>
          <w:tab w:val="left" w:pos="0"/>
          <w:tab w:val="left" w:pos="430"/>
          <w:tab w:val="left" w:pos="884"/>
        </w:tabs>
        <w:rPr>
          <w:bCs/>
          <w:lang w:val="en-AU"/>
        </w:rPr>
      </w:pPr>
      <w:r>
        <w:rPr>
          <w:bCs/>
          <w:lang w:val="en-AU"/>
        </w:rPr>
        <w:t>While none of the above sources mentions the NPFA by name, and only one refers to the NRA/NRPA by name, it is reasonable to assume that the</w:t>
      </w:r>
      <w:r w:rsidR="00D11A74">
        <w:rPr>
          <w:bCs/>
          <w:lang w:val="en-AU"/>
        </w:rPr>
        <w:t>y</w:t>
      </w:r>
      <w:r>
        <w:rPr>
          <w:bCs/>
          <w:lang w:val="en-AU"/>
        </w:rPr>
        <w:t xml:space="preserve"> are the British and North American sources referred to, so they are examined briefly here.</w:t>
      </w:r>
    </w:p>
    <w:p w:rsidR="00D73DCA" w:rsidRPr="00D73DCA" w:rsidRDefault="00D73DCA" w:rsidP="0054231D">
      <w:pPr>
        <w:tabs>
          <w:tab w:val="left" w:pos="-1099"/>
          <w:tab w:val="left" w:pos="-720"/>
          <w:tab w:val="left" w:pos="0"/>
          <w:tab w:val="left" w:pos="430"/>
          <w:tab w:val="left" w:pos="884"/>
        </w:tabs>
        <w:rPr>
          <w:bCs/>
          <w:lang w:val="en-AU"/>
        </w:rPr>
      </w:pPr>
    </w:p>
    <w:p w:rsidR="00D529F3" w:rsidRPr="0091538F" w:rsidRDefault="00D529F3" w:rsidP="0054231D">
      <w:pPr>
        <w:tabs>
          <w:tab w:val="left" w:pos="-1099"/>
          <w:tab w:val="left" w:pos="-720"/>
          <w:tab w:val="left" w:pos="0"/>
          <w:tab w:val="left" w:pos="430"/>
          <w:tab w:val="left" w:pos="884"/>
        </w:tabs>
        <w:rPr>
          <w:i/>
          <w:lang w:val="en-AU"/>
        </w:rPr>
      </w:pPr>
      <w:r w:rsidRPr="0091538F">
        <w:rPr>
          <w:bCs/>
          <w:i/>
          <w:lang w:val="en-AU"/>
        </w:rPr>
        <w:t>Fields in Trust/National Playing Fields Assoc</w:t>
      </w:r>
      <w:r w:rsidR="00107914">
        <w:rPr>
          <w:bCs/>
          <w:i/>
          <w:lang w:val="en-AU"/>
        </w:rPr>
        <w:t>iation</w:t>
      </w:r>
      <w:r w:rsidRPr="0091538F">
        <w:rPr>
          <w:bCs/>
          <w:i/>
          <w:lang w:val="en-AU"/>
        </w:rPr>
        <w:t xml:space="preserve"> standard (UK)</w:t>
      </w:r>
    </w:p>
    <w:p w:rsidR="00D529F3" w:rsidRDefault="00D529F3" w:rsidP="0054231D">
      <w:pPr>
        <w:tabs>
          <w:tab w:val="left" w:pos="-1099"/>
          <w:tab w:val="left" w:pos="-720"/>
          <w:tab w:val="left" w:pos="0"/>
          <w:tab w:val="left" w:pos="430"/>
          <w:tab w:val="left" w:pos="884"/>
        </w:tabs>
        <w:rPr>
          <w:lang w:val="en-AU"/>
        </w:rPr>
      </w:pPr>
      <w:r>
        <w:rPr>
          <w:lang w:val="en-AU"/>
        </w:rPr>
        <w:t>The standard pr</w:t>
      </w:r>
      <w:r w:rsidR="00E83BA1">
        <w:rPr>
          <w:lang w:val="en-AU"/>
        </w:rPr>
        <w:t>omulgated by Fields in Trust (FI</w:t>
      </w:r>
      <w:r>
        <w:rPr>
          <w:lang w:val="en-AU"/>
        </w:rPr>
        <w:t>T), formerly the National Playing Fields Association, has a long history, which is set out in the latest document on the standard (F</w:t>
      </w:r>
      <w:r w:rsidR="00D73DCA">
        <w:rPr>
          <w:lang w:val="en-AU"/>
        </w:rPr>
        <w:t>IT</w:t>
      </w:r>
      <w:r>
        <w:rPr>
          <w:lang w:val="en-AU"/>
        </w:rPr>
        <w:t>, 2008). The basis of the standard</w:t>
      </w:r>
      <w:r w:rsidR="00B75A71">
        <w:rPr>
          <w:lang w:val="en-AU"/>
        </w:rPr>
        <w:t>,</w:t>
      </w:r>
      <w:r>
        <w:rPr>
          <w:lang w:val="en-AU"/>
        </w:rPr>
        <w:t xml:space="preserve"> as developed in 1925</w:t>
      </w:r>
      <w:r w:rsidR="00B75A71">
        <w:rPr>
          <w:lang w:val="en-AU"/>
        </w:rPr>
        <w:t>,</w:t>
      </w:r>
      <w:r>
        <w:rPr>
          <w:lang w:val="en-AU"/>
        </w:rPr>
        <w:t xml:space="preserve"> was as follows:</w:t>
      </w:r>
    </w:p>
    <w:p w:rsidR="00D529F3" w:rsidRDefault="00D529F3" w:rsidP="0054231D">
      <w:pPr>
        <w:pStyle w:val="Level1"/>
        <w:numPr>
          <w:ilvl w:val="0"/>
          <w:numId w:val="10"/>
        </w:numPr>
        <w:tabs>
          <w:tab w:val="left" w:pos="-1099"/>
          <w:tab w:val="left" w:pos="-720"/>
          <w:tab w:val="left" w:pos="0"/>
          <w:tab w:val="left" w:pos="430"/>
          <w:tab w:val="left" w:pos="884"/>
        </w:tabs>
        <w:rPr>
          <w:lang w:val="en-AU"/>
        </w:rPr>
      </w:pPr>
      <w:r>
        <w:rPr>
          <w:lang w:val="en-AU"/>
        </w:rPr>
        <w:t xml:space="preserve">for every 1000 population, 500 people were below the age of 40; </w:t>
      </w:r>
    </w:p>
    <w:p w:rsidR="00D529F3" w:rsidRDefault="00D529F3" w:rsidP="0054231D">
      <w:pPr>
        <w:pStyle w:val="Level1"/>
        <w:numPr>
          <w:ilvl w:val="0"/>
          <w:numId w:val="10"/>
        </w:numPr>
        <w:tabs>
          <w:tab w:val="left" w:pos="-1099"/>
          <w:tab w:val="left" w:pos="-720"/>
          <w:tab w:val="left" w:pos="0"/>
          <w:tab w:val="left" w:pos="430"/>
          <w:tab w:val="left" w:pos="884"/>
        </w:tabs>
        <w:rPr>
          <w:lang w:val="en-AU"/>
        </w:rPr>
      </w:pPr>
      <w:r>
        <w:rPr>
          <w:lang w:val="en-AU"/>
        </w:rPr>
        <w:t>of these it was assumed that 150 would either not want to play sport or would be unable to because of infirmity;</w:t>
      </w:r>
    </w:p>
    <w:p w:rsidR="00D529F3" w:rsidRDefault="00D529F3" w:rsidP="0054231D">
      <w:pPr>
        <w:pStyle w:val="Level1"/>
        <w:numPr>
          <w:ilvl w:val="0"/>
          <w:numId w:val="10"/>
        </w:numPr>
        <w:tabs>
          <w:tab w:val="left" w:pos="-1099"/>
          <w:tab w:val="left" w:pos="-720"/>
          <w:tab w:val="left" w:pos="0"/>
          <w:tab w:val="left" w:pos="430"/>
          <w:tab w:val="left" w:pos="884"/>
        </w:tabs>
        <w:rPr>
          <w:lang w:val="en-AU"/>
        </w:rPr>
      </w:pPr>
      <w:r>
        <w:rPr>
          <w:lang w:val="en-AU"/>
        </w:rPr>
        <w:t>a further 150 would use school facilities;</w:t>
      </w:r>
    </w:p>
    <w:p w:rsidR="00D529F3" w:rsidRDefault="00D529F3" w:rsidP="0054231D">
      <w:pPr>
        <w:pStyle w:val="Level1"/>
        <w:numPr>
          <w:ilvl w:val="0"/>
          <w:numId w:val="10"/>
        </w:numPr>
        <w:tabs>
          <w:tab w:val="left" w:pos="-1099"/>
          <w:tab w:val="left" w:pos="-720"/>
          <w:tab w:val="left" w:pos="0"/>
          <w:tab w:val="left" w:pos="430"/>
          <w:tab w:val="left" w:pos="884"/>
        </w:tabs>
        <w:rPr>
          <w:lang w:val="en-AU"/>
        </w:rPr>
      </w:pPr>
      <w:r>
        <w:rPr>
          <w:lang w:val="en-AU"/>
        </w:rPr>
        <w:t xml:space="preserve">so 200 people in every 1000 would need to be catered for.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Given the size of sports teams and frequency of play, it was estimated that the needs of these 200 people could be accommodated on one senior and one junior football pitch, one cricket</w:t>
      </w:r>
      <w:r w:rsidR="00B75A71" w:rsidRPr="00B75A71">
        <w:rPr>
          <w:lang w:val="en-AU"/>
        </w:rPr>
        <w:t xml:space="preserve"> </w:t>
      </w:r>
      <w:r w:rsidR="00B75A71">
        <w:rPr>
          <w:lang w:val="en-AU"/>
        </w:rPr>
        <w:lastRenderedPageBreak/>
        <w:t>pitch</w:t>
      </w:r>
      <w:r>
        <w:rPr>
          <w:lang w:val="en-AU"/>
        </w:rPr>
        <w:t>, one three-rink bowling green, two tennis courts, one children's playground of ½ acre (0.2 ha.) and one pavilion. Th</w:t>
      </w:r>
      <w:r w:rsidR="00D11A74">
        <w:rPr>
          <w:lang w:val="en-AU"/>
        </w:rPr>
        <w:t>ese requirements</w:t>
      </w:r>
      <w:r w:rsidR="00B75976">
        <w:rPr>
          <w:lang w:val="en-AU"/>
        </w:rPr>
        <w:t xml:space="preserve"> </w:t>
      </w:r>
      <w:r>
        <w:rPr>
          <w:lang w:val="en-AU"/>
        </w:rPr>
        <w:t xml:space="preserve"> could be </w:t>
      </w:r>
      <w:r w:rsidR="00B75976">
        <w:rPr>
          <w:lang w:val="en-AU"/>
        </w:rPr>
        <w:t>met</w:t>
      </w:r>
      <w:r>
        <w:rPr>
          <w:lang w:val="en-AU"/>
        </w:rPr>
        <w:t xml:space="preserve"> on 5.0 acres</w:t>
      </w:r>
      <w:r w:rsidR="00B75976">
        <w:rPr>
          <w:lang w:val="en-AU"/>
        </w:rPr>
        <w:t xml:space="preserve"> of land</w:t>
      </w:r>
      <w:r>
        <w:rPr>
          <w:lang w:val="en-AU"/>
        </w:rPr>
        <w:t>.</w:t>
      </w:r>
      <w:r w:rsidR="00E83BA1">
        <w:rPr>
          <w:lang w:val="en-AU"/>
        </w:rPr>
        <w:t xml:space="preserve"> </w:t>
      </w:r>
      <w:r>
        <w:rPr>
          <w:lang w:val="en-AU"/>
        </w:rPr>
        <w:t xml:space="preserve">By 1938 various iterations had resulted in the standard of 6 acres (2.4 ha.) per 1000 population for playing fields and children's playgrounds and it has remained at that level ever since, despite changes in </w:t>
      </w:r>
      <w:r w:rsidR="00B75A71">
        <w:rPr>
          <w:lang w:val="en-AU"/>
        </w:rPr>
        <w:t xml:space="preserve">Britain's </w:t>
      </w:r>
      <w:r>
        <w:rPr>
          <w:lang w:val="en-AU"/>
        </w:rPr>
        <w:t>age-structure, mobility, incomes and other aspects of lifestyle.</w:t>
      </w:r>
      <w:r w:rsidR="00107914">
        <w:rPr>
          <w:lang w:val="en-AU"/>
        </w:rPr>
        <w:t xml:space="preserve"> </w:t>
      </w:r>
      <w:r>
        <w:rPr>
          <w:lang w:val="en-AU"/>
        </w:rPr>
        <w:t xml:space="preserve">Thus the original NPFA standard was based on an estimate of likely participation levels, which can be seen, for its time, as a demand-based approach. Demand estimates were </w:t>
      </w:r>
      <w:r w:rsidR="00B75A71">
        <w:rPr>
          <w:lang w:val="en-AU"/>
        </w:rPr>
        <w:t xml:space="preserve">apparently </w:t>
      </w:r>
      <w:r>
        <w:rPr>
          <w:lang w:val="en-AU"/>
        </w:rPr>
        <w:t xml:space="preserve">made in the absence of formal survey data on participation but, although survey evidence has been available in Britain since the 1960s, the published reports of the revisions of the standards </w:t>
      </w:r>
      <w:r w:rsidR="00107914">
        <w:rPr>
          <w:lang w:val="en-AU"/>
        </w:rPr>
        <w:t xml:space="preserve">(eg, NPFA 1977, 2001; FIT, 2008) </w:t>
      </w:r>
      <w:r>
        <w:rPr>
          <w:lang w:val="en-AU"/>
        </w:rPr>
        <w:t xml:space="preserve">do not refer to this evidence as a basis for making revisions to, or confirming, the standard.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i/>
          <w:iCs/>
          <w:lang w:val="en-AU"/>
        </w:rPr>
      </w:pPr>
      <w:r>
        <w:rPr>
          <w:i/>
          <w:iCs/>
          <w:lang w:val="en-AU"/>
        </w:rPr>
        <w:t>National Recreation (and Parks) Association standards (USA)</w:t>
      </w:r>
    </w:p>
    <w:p w:rsidR="00D529F3" w:rsidRDefault="00D529F3" w:rsidP="0054231D">
      <w:pPr>
        <w:tabs>
          <w:tab w:val="left" w:pos="-1099"/>
          <w:tab w:val="left" w:pos="-720"/>
          <w:tab w:val="left" w:pos="0"/>
          <w:tab w:val="left" w:pos="430"/>
          <w:tab w:val="left" w:pos="884"/>
        </w:tabs>
        <w:rPr>
          <w:lang w:val="en-AU"/>
        </w:rPr>
      </w:pPr>
      <w:r>
        <w:rPr>
          <w:lang w:val="en-AU"/>
        </w:rPr>
        <w:t xml:space="preserve">In the United States, the then National Recreation Association adopted a set of standards for the provision of recreation facilities at its inaugural meeting in April 1906 (Buechner, 1971: 7). These </w:t>
      </w:r>
      <w:r w:rsidR="00B75976">
        <w:rPr>
          <w:lang w:val="en-AU"/>
        </w:rPr>
        <w:t xml:space="preserve">standards </w:t>
      </w:r>
      <w:r>
        <w:rPr>
          <w:lang w:val="en-AU"/>
        </w:rPr>
        <w:t>were revised and updated on a number of occasions, most recently in 1971 (Buechner, 1971) and 1983 (Lancaster, 1983)</w:t>
      </w:r>
      <w:r w:rsidR="0091538F">
        <w:rPr>
          <w:lang w:val="en-AU"/>
        </w:rPr>
        <w:t xml:space="preserve">, but abandoned in 1996 (Mertes and Hall, 1996: 7). </w:t>
      </w:r>
      <w:r>
        <w:rPr>
          <w:lang w:val="en-AU"/>
        </w:rPr>
        <w:t>The standard was, for many years, 10 acres (4.05 ha.) per 1000 population, divided into neighbourhood, district and 'large urban' parks and between children's play, sport and informal r</w:t>
      </w:r>
      <w:r w:rsidR="0091538F">
        <w:rPr>
          <w:lang w:val="en-AU"/>
        </w:rPr>
        <w:t xml:space="preserve">ecreation. </w:t>
      </w:r>
    </w:p>
    <w:p w:rsidR="0091538F" w:rsidRDefault="0091538F"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While the standards were based on widespread consultation with practitioners, no technical basis for their derivation was </w:t>
      </w:r>
      <w:r w:rsidR="00A85278">
        <w:rPr>
          <w:lang w:val="en-AU"/>
        </w:rPr>
        <w:t xml:space="preserve">publicly </w:t>
      </w:r>
      <w:r>
        <w:rPr>
          <w:lang w:val="en-AU"/>
        </w:rPr>
        <w:t>provided</w:t>
      </w:r>
      <w:r w:rsidR="0086343E">
        <w:rPr>
          <w:lang w:val="en-AU"/>
        </w:rPr>
        <w:t>, a</w:t>
      </w:r>
      <w:r>
        <w:rPr>
          <w:lang w:val="en-AU"/>
        </w:rPr>
        <w:t>nd researchers have been unable to provide firm historical evidence on the</w:t>
      </w:r>
      <w:r w:rsidR="00B75976">
        <w:rPr>
          <w:lang w:val="en-AU"/>
        </w:rPr>
        <w:t>ir</w:t>
      </w:r>
      <w:r>
        <w:rPr>
          <w:lang w:val="en-AU"/>
        </w:rPr>
        <w:t xml:space="preserve"> technical origin</w:t>
      </w:r>
      <w:r w:rsidR="00B75976">
        <w:rPr>
          <w:lang w:val="en-AU"/>
        </w:rPr>
        <w:t>s</w:t>
      </w:r>
      <w:r>
        <w:rPr>
          <w:lang w:val="en-AU"/>
        </w:rPr>
        <w:t xml:space="preserve">. Indeed, the NRPA itself has been quoted as saying: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Quite early in the [twentieth] century someone proposed that a municipality should provide ten acres of recreation space per thousand of the population. The actual origin of this standard is not known; however, the National Recreation Association accepted and promoted it as a desirable standard (NRPA, quoted in Wilkinson, 1985: 191).</w:t>
      </w:r>
    </w:p>
    <w:p w:rsidR="00D529F3" w:rsidRDefault="00D529F3" w:rsidP="0054231D">
      <w:pPr>
        <w:tabs>
          <w:tab w:val="left" w:pos="-1099"/>
          <w:tab w:val="left" w:pos="-720"/>
          <w:tab w:val="left" w:pos="0"/>
          <w:tab w:val="left" w:pos="430"/>
          <w:tab w:val="left" w:pos="884"/>
        </w:tabs>
        <w:rPr>
          <w:lang w:val="en-AU"/>
        </w:rPr>
      </w:pPr>
    </w:p>
    <w:p w:rsidR="0091538F" w:rsidRDefault="00D529F3" w:rsidP="0054231D">
      <w:pPr>
        <w:tabs>
          <w:tab w:val="left" w:pos="-1099"/>
          <w:tab w:val="left" w:pos="-720"/>
          <w:tab w:val="left" w:pos="0"/>
          <w:tab w:val="left" w:pos="430"/>
          <w:tab w:val="left" w:pos="884"/>
        </w:tabs>
        <w:rPr>
          <w:lang w:val="en-AU"/>
        </w:rPr>
      </w:pPr>
      <w:r>
        <w:rPr>
          <w:lang w:val="en-AU"/>
        </w:rPr>
        <w:t xml:space="preserve">While 10 acres/4.05 ha./1000 population is identical to the standard used in the </w:t>
      </w:r>
      <w:r w:rsidRPr="0086343E">
        <w:rPr>
          <w:i/>
          <w:lang w:val="en-AU"/>
        </w:rPr>
        <w:t>Cumberland Plan</w:t>
      </w:r>
      <w:r>
        <w:rPr>
          <w:lang w:val="en-AU"/>
        </w:rPr>
        <w:t xml:space="preserve">, </w:t>
      </w:r>
      <w:r w:rsidR="0086343E">
        <w:rPr>
          <w:lang w:val="en-AU"/>
        </w:rPr>
        <w:t xml:space="preserve">discussed above, </w:t>
      </w:r>
      <w:r>
        <w:rPr>
          <w:lang w:val="en-AU"/>
        </w:rPr>
        <w:t xml:space="preserve">the latter includes golf courses whereas the NRPA standard does not. The NCDC standard is also 4 hectares, and excludes golf courses, but the allocation between activities is quite different. </w:t>
      </w:r>
      <w:r w:rsidR="00A85278">
        <w:rPr>
          <w:lang w:val="en-AU"/>
        </w:rPr>
        <w:t xml:space="preserve">Neither of these Australian sources explicitly mentions the NRA/NRPA. </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b/>
          <w:bCs/>
          <w:lang w:val="en-AU"/>
        </w:rPr>
        <w:t>Conclusions</w:t>
      </w:r>
    </w:p>
    <w:p w:rsidR="00737A97" w:rsidRDefault="00737A97" w:rsidP="0054231D">
      <w:pPr>
        <w:tabs>
          <w:tab w:val="left" w:pos="-1099"/>
          <w:tab w:val="left" w:pos="-720"/>
          <w:tab w:val="left" w:pos="0"/>
          <w:tab w:val="left" w:pos="430"/>
          <w:tab w:val="left" w:pos="884"/>
        </w:tabs>
        <w:rPr>
          <w:lang w:val="en-AU"/>
        </w:rPr>
      </w:pPr>
    </w:p>
    <w:p w:rsidR="00A85278" w:rsidRDefault="00D529F3" w:rsidP="0054231D">
      <w:pPr>
        <w:tabs>
          <w:tab w:val="left" w:pos="-1099"/>
          <w:tab w:val="left" w:pos="-720"/>
          <w:tab w:val="left" w:pos="0"/>
          <w:tab w:val="left" w:pos="430"/>
          <w:tab w:val="left" w:pos="884"/>
        </w:tabs>
        <w:rPr>
          <w:lang w:val="en-AU"/>
        </w:rPr>
      </w:pPr>
      <w:r>
        <w:rPr>
          <w:lang w:val="en-AU"/>
        </w:rPr>
        <w:t>This historical overview of the origins of open space planning standards in Austr</w:t>
      </w:r>
      <w:r w:rsidR="009016AE">
        <w:rPr>
          <w:lang w:val="en-AU"/>
        </w:rPr>
        <w:t>alia has revealed the following</w:t>
      </w:r>
      <w:r w:rsidR="00B75976">
        <w:rPr>
          <w:lang w:val="en-AU"/>
        </w:rPr>
        <w:t xml:space="preserve"> points</w:t>
      </w:r>
      <w:r w:rsidR="009016AE">
        <w:rPr>
          <w:lang w:val="en-AU"/>
        </w:rPr>
        <w:t xml:space="preserve">. </w:t>
      </w:r>
    </w:p>
    <w:p w:rsidR="00A85278" w:rsidRDefault="00A85278" w:rsidP="0054231D">
      <w:pPr>
        <w:tabs>
          <w:tab w:val="left" w:pos="-1099"/>
          <w:tab w:val="left" w:pos="-720"/>
          <w:tab w:val="left" w:pos="0"/>
          <w:tab w:val="left" w:pos="430"/>
          <w:tab w:val="left" w:pos="884"/>
        </w:tabs>
        <w:rPr>
          <w:lang w:val="en-AU"/>
        </w:rPr>
      </w:pPr>
    </w:p>
    <w:p w:rsidR="00A85278" w:rsidRDefault="009016AE" w:rsidP="0054231D">
      <w:pPr>
        <w:tabs>
          <w:tab w:val="left" w:pos="-1099"/>
          <w:tab w:val="left" w:pos="-720"/>
          <w:tab w:val="left" w:pos="0"/>
          <w:tab w:val="left" w:pos="430"/>
          <w:tab w:val="left" w:pos="884"/>
        </w:tabs>
        <w:rPr>
          <w:lang w:val="en-AU"/>
        </w:rPr>
      </w:pPr>
      <w:r>
        <w:rPr>
          <w:lang w:val="en-AU"/>
        </w:rPr>
        <w:t>First, d</w:t>
      </w:r>
      <w:r w:rsidR="00D529F3">
        <w:rPr>
          <w:lang w:val="en-AU"/>
        </w:rPr>
        <w:t xml:space="preserve">espite official encouragement to move from a standards approach to open space planning to </w:t>
      </w:r>
      <w:r w:rsidR="00A85278">
        <w:rPr>
          <w:lang w:val="en-AU"/>
        </w:rPr>
        <w:t>demand/</w:t>
      </w:r>
      <w:r w:rsidR="00D529F3">
        <w:rPr>
          <w:lang w:val="en-AU"/>
        </w:rPr>
        <w:t>needs-based approach</w:t>
      </w:r>
      <w:r w:rsidR="00A85278">
        <w:rPr>
          <w:lang w:val="en-AU"/>
        </w:rPr>
        <w:t>es</w:t>
      </w:r>
      <w:r w:rsidR="00D529F3">
        <w:rPr>
          <w:lang w:val="en-AU"/>
        </w:rPr>
        <w:t xml:space="preserve">, the traditional standard of 2.83 hectares per 1000 population is still frequently referred to </w:t>
      </w:r>
      <w:r w:rsidR="00C43EC9">
        <w:rPr>
          <w:lang w:val="en-AU"/>
        </w:rPr>
        <w:t xml:space="preserve">as a 'starting point' in </w:t>
      </w:r>
      <w:r>
        <w:rPr>
          <w:lang w:val="en-AU"/>
        </w:rPr>
        <w:t xml:space="preserve">official </w:t>
      </w:r>
      <w:r w:rsidR="00C43EC9">
        <w:rPr>
          <w:lang w:val="en-AU"/>
        </w:rPr>
        <w:t>planning guidelines</w:t>
      </w:r>
      <w:r w:rsidR="00D529F3">
        <w:rPr>
          <w:lang w:val="en-AU"/>
        </w:rPr>
        <w:t>.</w:t>
      </w:r>
    </w:p>
    <w:p w:rsidR="00A85278" w:rsidRDefault="00A85278" w:rsidP="0054231D">
      <w:pPr>
        <w:tabs>
          <w:tab w:val="left" w:pos="-1099"/>
          <w:tab w:val="left" w:pos="-720"/>
          <w:tab w:val="left" w:pos="0"/>
          <w:tab w:val="left" w:pos="430"/>
          <w:tab w:val="left" w:pos="884"/>
        </w:tabs>
        <w:rPr>
          <w:lang w:val="en-AU"/>
        </w:rPr>
      </w:pPr>
    </w:p>
    <w:p w:rsidR="00A85278" w:rsidRDefault="009016AE" w:rsidP="0054231D">
      <w:pPr>
        <w:tabs>
          <w:tab w:val="left" w:pos="-1099"/>
          <w:tab w:val="left" w:pos="-720"/>
          <w:tab w:val="left" w:pos="0"/>
          <w:tab w:val="left" w:pos="430"/>
          <w:tab w:val="left" w:pos="884"/>
        </w:tabs>
        <w:rPr>
          <w:lang w:val="en-AU"/>
        </w:rPr>
      </w:pPr>
      <w:r>
        <w:rPr>
          <w:lang w:val="en-AU"/>
        </w:rPr>
        <w:t xml:space="preserve">Second, </w:t>
      </w:r>
      <w:r w:rsidR="00D529F3">
        <w:rPr>
          <w:lang w:val="en-AU"/>
        </w:rPr>
        <w:t xml:space="preserve">numerous sources state that </w:t>
      </w:r>
      <w:r w:rsidR="00C43EC9">
        <w:rPr>
          <w:lang w:val="en-AU"/>
        </w:rPr>
        <w:t>Australian open space s</w:t>
      </w:r>
      <w:r w:rsidR="00D529F3">
        <w:rPr>
          <w:lang w:val="en-AU"/>
        </w:rPr>
        <w:t>tandard</w:t>
      </w:r>
      <w:r w:rsidR="00C43EC9">
        <w:rPr>
          <w:lang w:val="en-AU"/>
        </w:rPr>
        <w:t>s were</w:t>
      </w:r>
      <w:r w:rsidR="00D529F3">
        <w:rPr>
          <w:lang w:val="en-AU"/>
        </w:rPr>
        <w:t xml:space="preserve"> based on British and/or American standards, </w:t>
      </w:r>
      <w:r>
        <w:rPr>
          <w:lang w:val="en-AU"/>
        </w:rPr>
        <w:t xml:space="preserve">while often </w:t>
      </w:r>
      <w:r w:rsidR="00EC455B">
        <w:rPr>
          <w:lang w:val="en-AU"/>
        </w:rPr>
        <w:t>acknowledg</w:t>
      </w:r>
      <w:r>
        <w:rPr>
          <w:lang w:val="en-AU"/>
        </w:rPr>
        <w:t>ing</w:t>
      </w:r>
      <w:r w:rsidR="00EC455B">
        <w:rPr>
          <w:lang w:val="en-AU"/>
        </w:rPr>
        <w:t xml:space="preserve"> </w:t>
      </w:r>
      <w:r w:rsidR="00D529F3">
        <w:rPr>
          <w:lang w:val="en-AU"/>
        </w:rPr>
        <w:t xml:space="preserve">that there was little rationale for </w:t>
      </w:r>
      <w:r w:rsidR="00B75976">
        <w:rPr>
          <w:lang w:val="en-AU"/>
        </w:rPr>
        <w:t>so doing</w:t>
      </w:r>
      <w:r w:rsidR="00D529F3">
        <w:rPr>
          <w:lang w:val="en-AU"/>
        </w:rPr>
        <w:t xml:space="preserve">, </w:t>
      </w:r>
      <w:r>
        <w:rPr>
          <w:lang w:val="en-AU"/>
        </w:rPr>
        <w:t xml:space="preserve">but </w:t>
      </w:r>
      <w:r w:rsidR="00D529F3">
        <w:rPr>
          <w:lang w:val="en-AU"/>
        </w:rPr>
        <w:t xml:space="preserve">it has been impossible to find documented evidence </w:t>
      </w:r>
      <w:r w:rsidR="00C43EC9">
        <w:rPr>
          <w:lang w:val="en-AU"/>
        </w:rPr>
        <w:t xml:space="preserve">definitively </w:t>
      </w:r>
      <w:r w:rsidR="00D529F3">
        <w:rPr>
          <w:lang w:val="en-AU"/>
        </w:rPr>
        <w:t>linking the</w:t>
      </w:r>
      <w:r w:rsidR="00C43EC9">
        <w:rPr>
          <w:lang w:val="en-AU"/>
        </w:rPr>
        <w:t xml:space="preserve">se </w:t>
      </w:r>
      <w:r w:rsidR="00D529F3">
        <w:rPr>
          <w:lang w:val="en-AU"/>
        </w:rPr>
        <w:t>standard</w:t>
      </w:r>
      <w:r>
        <w:rPr>
          <w:lang w:val="en-AU"/>
        </w:rPr>
        <w:t>s</w:t>
      </w:r>
      <w:r w:rsidR="00D529F3">
        <w:rPr>
          <w:lang w:val="en-AU"/>
        </w:rPr>
        <w:t xml:space="preserve"> to specific overseas standard</w:t>
      </w:r>
      <w:r w:rsidR="00C43EC9">
        <w:rPr>
          <w:lang w:val="en-AU"/>
        </w:rPr>
        <w:t>s</w:t>
      </w:r>
      <w:r w:rsidR="00D529F3">
        <w:rPr>
          <w:lang w:val="en-AU"/>
        </w:rPr>
        <w:t>, let alone providing a rationale for doing so.</w:t>
      </w:r>
      <w:r w:rsidR="00A85278">
        <w:rPr>
          <w:lang w:val="en-AU"/>
        </w:rPr>
        <w:t xml:space="preserve"> </w:t>
      </w:r>
    </w:p>
    <w:p w:rsidR="00A85278" w:rsidRDefault="00A85278" w:rsidP="0054231D">
      <w:pPr>
        <w:tabs>
          <w:tab w:val="left" w:pos="-1099"/>
          <w:tab w:val="left" w:pos="-720"/>
          <w:tab w:val="left" w:pos="0"/>
          <w:tab w:val="left" w:pos="430"/>
          <w:tab w:val="left" w:pos="884"/>
        </w:tabs>
        <w:rPr>
          <w:lang w:val="en-AU"/>
        </w:rPr>
      </w:pPr>
    </w:p>
    <w:p w:rsidR="0054231D" w:rsidRDefault="0054231D" w:rsidP="0054231D">
      <w:pPr>
        <w:tabs>
          <w:tab w:val="left" w:pos="-1099"/>
          <w:tab w:val="left" w:pos="-720"/>
          <w:tab w:val="left" w:pos="0"/>
          <w:tab w:val="left" w:pos="430"/>
          <w:tab w:val="left" w:pos="884"/>
        </w:tabs>
        <w:rPr>
          <w:lang w:val="en-AU"/>
        </w:rPr>
      </w:pPr>
    </w:p>
    <w:p w:rsidR="002A20B5" w:rsidRDefault="00A85278" w:rsidP="0054231D">
      <w:pPr>
        <w:tabs>
          <w:tab w:val="left" w:pos="-1099"/>
          <w:tab w:val="left" w:pos="-720"/>
          <w:tab w:val="left" w:pos="0"/>
          <w:tab w:val="left" w:pos="430"/>
          <w:tab w:val="left" w:pos="884"/>
        </w:tabs>
        <w:rPr>
          <w:lang w:val="en-AU"/>
        </w:rPr>
      </w:pPr>
      <w:r>
        <w:rPr>
          <w:lang w:val="en-AU"/>
        </w:rPr>
        <w:t xml:space="preserve">Third, </w:t>
      </w:r>
      <w:r w:rsidR="00D529F3" w:rsidRPr="00C43EC9">
        <w:rPr>
          <w:lang w:val="en-AU"/>
        </w:rPr>
        <w:t xml:space="preserve">the </w:t>
      </w:r>
      <w:r>
        <w:rPr>
          <w:lang w:val="en-AU"/>
        </w:rPr>
        <w:t xml:space="preserve">basis of the </w:t>
      </w:r>
      <w:r w:rsidR="00D529F3" w:rsidRPr="00C43EC9">
        <w:rPr>
          <w:lang w:val="en-AU"/>
        </w:rPr>
        <w:t>British NPFA</w:t>
      </w:r>
      <w:r>
        <w:rPr>
          <w:lang w:val="en-AU"/>
        </w:rPr>
        <w:t>/FIT</w:t>
      </w:r>
      <w:r w:rsidR="00D529F3" w:rsidRPr="00C43EC9">
        <w:rPr>
          <w:lang w:val="en-AU"/>
        </w:rPr>
        <w:t xml:space="preserve"> standard</w:t>
      </w:r>
      <w:r w:rsidR="004B29A3">
        <w:rPr>
          <w:lang w:val="en-AU"/>
        </w:rPr>
        <w:t xml:space="preserve">, </w:t>
      </w:r>
      <w:r w:rsidR="00B75976">
        <w:rPr>
          <w:lang w:val="en-AU"/>
        </w:rPr>
        <w:t>namely</w:t>
      </w:r>
      <w:r w:rsidR="004B29A3">
        <w:rPr>
          <w:lang w:val="en-AU"/>
        </w:rPr>
        <w:t xml:space="preserve"> estimated demand for sport in Britain </w:t>
      </w:r>
      <w:r>
        <w:rPr>
          <w:lang w:val="en-AU"/>
        </w:rPr>
        <w:t>in 1925</w:t>
      </w:r>
      <w:r w:rsidR="004B29A3">
        <w:rPr>
          <w:lang w:val="en-AU"/>
        </w:rPr>
        <w:t>,</w:t>
      </w:r>
      <w:r>
        <w:rPr>
          <w:lang w:val="en-AU"/>
        </w:rPr>
        <w:t xml:space="preserve"> </w:t>
      </w:r>
      <w:r w:rsidR="004B29A3">
        <w:rPr>
          <w:lang w:val="en-AU"/>
        </w:rPr>
        <w:t xml:space="preserve">raises serious questions as to how it could ever have been seen as a valid basis for provision in Australia, while the basis of the American NRA/NRPA standard was unknown even by its promulgators and was abandoned in 1996. </w:t>
      </w:r>
    </w:p>
    <w:p w:rsidR="002A20B5" w:rsidRPr="002A20B5" w:rsidRDefault="002A20B5" w:rsidP="0054231D">
      <w:pPr>
        <w:pStyle w:val="Level1"/>
        <w:tabs>
          <w:tab w:val="left" w:pos="-1099"/>
          <w:tab w:val="left" w:pos="-720"/>
          <w:tab w:val="left" w:pos="0"/>
          <w:tab w:val="left" w:pos="284"/>
          <w:tab w:val="left" w:pos="426"/>
          <w:tab w:val="left" w:pos="709"/>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 xml:space="preserve">Open space planning standards were for many years the cornerstone of recreation planning in Australia, thus influencing the allocation of substantial areas of land and expenditure of significant </w:t>
      </w:r>
      <w:r w:rsidR="003344FD">
        <w:rPr>
          <w:lang w:val="en-AU"/>
        </w:rPr>
        <w:t xml:space="preserve">public and private </w:t>
      </w:r>
      <w:r w:rsidR="004B29A3">
        <w:rPr>
          <w:lang w:val="en-AU"/>
        </w:rPr>
        <w:t>resources</w:t>
      </w:r>
      <w:r>
        <w:rPr>
          <w:lang w:val="en-AU"/>
        </w:rPr>
        <w:t xml:space="preserve">. </w:t>
      </w:r>
      <w:r w:rsidR="00B75976">
        <w:rPr>
          <w:lang w:val="en-AU"/>
        </w:rPr>
        <w:t>Y</w:t>
      </w:r>
      <w:r>
        <w:rPr>
          <w:lang w:val="en-AU"/>
        </w:rPr>
        <w:t xml:space="preserve">et the whole basis of the standards used was suspect. Official, professional and academic sources provide only vague, and often inaccurate, references to overseas origins and bases of the standards used. There appears to be no publicly available documentation of decisions made to adopt certain specific standards from overseas or of any decisions made to modify them for local use. </w:t>
      </w:r>
    </w:p>
    <w:p w:rsidR="004B29A3" w:rsidRDefault="004B29A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We should, however, no</w:t>
      </w:r>
      <w:r w:rsidR="00143F4F">
        <w:rPr>
          <w:lang w:val="en-AU"/>
        </w:rPr>
        <w:t>t</w:t>
      </w:r>
      <w:r>
        <w:rPr>
          <w:lang w:val="en-AU"/>
        </w:rPr>
        <w:t xml:space="preserve"> be too harsh on those in the past who did their best with available information to provide guidelines which they believed would benefit the community. As Gilbert Smith put it in his book on </w:t>
      </w:r>
      <w:r>
        <w:rPr>
          <w:i/>
          <w:iCs/>
          <w:lang w:val="en-AU"/>
        </w:rPr>
        <w:t>Social Need</w:t>
      </w:r>
      <w:r>
        <w:rPr>
          <w:lang w:val="en-AU"/>
        </w:rPr>
        <w:t>:</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ind w:left="430"/>
        <w:rPr>
          <w:lang w:val="en-AU"/>
        </w:rPr>
      </w:pPr>
      <w:r>
        <w:rPr>
          <w:lang w:val="en-AU"/>
        </w:rPr>
        <w:t>.. it is important to draw the distinction between the criteria of rationality and those of truth (or validity), for they are not the same. It is not irrational to believe something or to make an assumption that only later or elsewhere is discovered to be false, so long as at the particular time and in that partic</w:t>
      </w:r>
      <w:r w:rsidR="004B29A3">
        <w:rPr>
          <w:lang w:val="en-AU"/>
        </w:rPr>
        <w:t xml:space="preserve">ular place </w:t>
      </w:r>
      <w:r w:rsidR="00B31BFD">
        <w:rPr>
          <w:lang w:val="en-AU"/>
        </w:rPr>
        <w:t xml:space="preserve">it </w:t>
      </w:r>
      <w:r w:rsidR="004B29A3">
        <w:rPr>
          <w:lang w:val="en-AU"/>
        </w:rPr>
        <w:t>was a reasonable one.</w:t>
      </w:r>
      <w:r>
        <w:rPr>
          <w:lang w:val="en-AU"/>
        </w:rPr>
        <w:t xml:space="preserve"> (Smith, 1980: 22)</w:t>
      </w:r>
    </w:p>
    <w:p w:rsidR="00D529F3" w:rsidRDefault="00D529F3" w:rsidP="0054231D">
      <w:pPr>
        <w:tabs>
          <w:tab w:val="left" w:pos="-1099"/>
          <w:tab w:val="left" w:pos="-720"/>
          <w:tab w:val="left" w:pos="0"/>
          <w:tab w:val="left" w:pos="430"/>
          <w:tab w:val="left" w:pos="884"/>
        </w:tabs>
        <w:rPr>
          <w:lang w:val="en-AU"/>
        </w:rPr>
      </w:pPr>
    </w:p>
    <w:p w:rsidR="00D529F3" w:rsidRDefault="00B75976" w:rsidP="0054231D">
      <w:pPr>
        <w:tabs>
          <w:tab w:val="left" w:pos="-1099"/>
          <w:tab w:val="left" w:pos="-720"/>
          <w:tab w:val="left" w:pos="0"/>
          <w:tab w:val="left" w:pos="430"/>
          <w:tab w:val="left" w:pos="884"/>
        </w:tabs>
        <w:rPr>
          <w:lang w:val="en-AU"/>
        </w:rPr>
      </w:pPr>
      <w:r>
        <w:rPr>
          <w:lang w:val="en-AU"/>
        </w:rPr>
        <w:t>However</w:t>
      </w:r>
      <w:r w:rsidR="00D529F3">
        <w:rPr>
          <w:lang w:val="en-AU"/>
        </w:rPr>
        <w:t xml:space="preserve">, the 'criteria of rationality' were neglected in Australia. Even when standards were in vogue, there appears to have been no attempt by the professional bodies involved to develop a specific Australian standard based on </w:t>
      </w:r>
      <w:r w:rsidR="003344FD">
        <w:rPr>
          <w:lang w:val="en-AU"/>
        </w:rPr>
        <w:t xml:space="preserve">relevant </w:t>
      </w:r>
      <w:r w:rsidR="00D529F3">
        <w:rPr>
          <w:lang w:val="en-AU"/>
        </w:rPr>
        <w:t>Australian data.</w:t>
      </w:r>
    </w:p>
    <w:p w:rsidR="009D3E1E" w:rsidRDefault="009D3E1E"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s>
        <w:rPr>
          <w:lang w:val="en-AU"/>
        </w:rPr>
      </w:pPr>
      <w:r>
        <w:rPr>
          <w:lang w:val="en-AU"/>
        </w:rPr>
        <w:t>While critics of the use of standards have</w:t>
      </w:r>
      <w:r w:rsidR="00B75976">
        <w:rPr>
          <w:lang w:val="en-AU"/>
        </w:rPr>
        <w:t>, over the years,</w:t>
      </w:r>
      <w:r>
        <w:rPr>
          <w:lang w:val="en-AU"/>
        </w:rPr>
        <w:t xml:space="preserve"> drawn attention   </w:t>
      </w:r>
      <w:r w:rsidR="009D3E1E">
        <w:rPr>
          <w:lang w:val="en-AU"/>
        </w:rPr>
        <w:t>in general terms</w:t>
      </w:r>
      <w:r w:rsidR="00B75976">
        <w:rPr>
          <w:lang w:val="en-AU"/>
        </w:rPr>
        <w:t xml:space="preserve"> to various of the gaps and inconsistencies discussed above</w:t>
      </w:r>
      <w:r w:rsidR="009D3E1E">
        <w:rPr>
          <w:lang w:val="en-AU"/>
        </w:rPr>
        <w:t xml:space="preserve"> </w:t>
      </w:r>
      <w:r w:rsidR="00B31BFD">
        <w:rPr>
          <w:lang w:val="en-AU"/>
        </w:rPr>
        <w:t>,</w:t>
      </w:r>
      <w:r>
        <w:rPr>
          <w:lang w:val="en-AU"/>
        </w:rPr>
        <w:t xml:space="preserve"> th</w:t>
      </w:r>
      <w:r w:rsidR="009D3E1E">
        <w:rPr>
          <w:lang w:val="en-AU"/>
        </w:rPr>
        <w:t>e</w:t>
      </w:r>
      <w:r>
        <w:rPr>
          <w:lang w:val="en-AU"/>
        </w:rPr>
        <w:t xml:space="preserve"> </w:t>
      </w:r>
      <w:r w:rsidR="00B31BFD">
        <w:rPr>
          <w:lang w:val="en-AU"/>
        </w:rPr>
        <w:t xml:space="preserve">contribution of this </w:t>
      </w:r>
      <w:r>
        <w:rPr>
          <w:lang w:val="en-AU"/>
        </w:rPr>
        <w:t xml:space="preserve">paper </w:t>
      </w:r>
      <w:r w:rsidR="00B31BFD">
        <w:rPr>
          <w:lang w:val="en-AU"/>
        </w:rPr>
        <w:t xml:space="preserve">has been </w:t>
      </w:r>
      <w:r>
        <w:rPr>
          <w:lang w:val="en-AU"/>
        </w:rPr>
        <w:t xml:space="preserve">to </w:t>
      </w:r>
      <w:r w:rsidR="00B31BFD">
        <w:rPr>
          <w:lang w:val="en-AU"/>
        </w:rPr>
        <w:t xml:space="preserve">seek to </w:t>
      </w:r>
      <w:r>
        <w:rPr>
          <w:lang w:val="en-AU"/>
        </w:rPr>
        <w:t xml:space="preserve">document the extraordinary saga of the </w:t>
      </w:r>
      <w:r w:rsidR="009D3E1E">
        <w:rPr>
          <w:lang w:val="en-AU"/>
        </w:rPr>
        <w:t xml:space="preserve">origins </w:t>
      </w:r>
      <w:r>
        <w:rPr>
          <w:lang w:val="en-AU"/>
        </w:rPr>
        <w:t>of standards in Australia in a little more detail than has been available in previous accounts.</w:t>
      </w:r>
      <w:r w:rsidR="00B31BFD">
        <w:rPr>
          <w:lang w:val="en-AU"/>
        </w:rPr>
        <w:t xml:space="preserve"> The paper stops short of discussing the various methodologies which have been proposed to replace the use of standards in planning for leisure in Australia. Such a discussion would require a paper in its own right.</w:t>
      </w:r>
    </w:p>
    <w:p w:rsidR="0054231D" w:rsidRDefault="0054231D" w:rsidP="0054231D">
      <w:pPr>
        <w:tabs>
          <w:tab w:val="left" w:pos="-1099"/>
          <w:tab w:val="left" w:pos="-720"/>
          <w:tab w:val="left" w:pos="0"/>
          <w:tab w:val="left" w:pos="430"/>
          <w:tab w:val="left" w:pos="884"/>
        </w:tabs>
        <w:rPr>
          <w:b/>
          <w:bCs/>
          <w:lang w:val="en-AU"/>
        </w:rPr>
      </w:pPr>
    </w:p>
    <w:p w:rsidR="0054231D" w:rsidRDefault="0054231D" w:rsidP="0054231D">
      <w:pPr>
        <w:tabs>
          <w:tab w:val="left" w:pos="-1099"/>
          <w:tab w:val="left" w:pos="-720"/>
          <w:tab w:val="left" w:pos="0"/>
          <w:tab w:val="left" w:pos="430"/>
          <w:tab w:val="left" w:pos="884"/>
        </w:tabs>
        <w:rPr>
          <w:b/>
          <w:bCs/>
          <w:lang w:val="en-AU"/>
        </w:rPr>
      </w:pPr>
    </w:p>
    <w:p w:rsidR="00D529F3" w:rsidRDefault="00D529F3" w:rsidP="0054231D">
      <w:pPr>
        <w:tabs>
          <w:tab w:val="left" w:pos="-1099"/>
          <w:tab w:val="left" w:pos="-720"/>
          <w:tab w:val="left" w:pos="0"/>
          <w:tab w:val="left" w:pos="430"/>
          <w:tab w:val="left" w:pos="884"/>
        </w:tabs>
        <w:rPr>
          <w:lang w:val="en-AU"/>
        </w:rPr>
      </w:pPr>
      <w:r>
        <w:rPr>
          <w:b/>
          <w:bCs/>
          <w:lang w:val="en-AU"/>
        </w:rPr>
        <w:t>References</w:t>
      </w:r>
    </w:p>
    <w:p w:rsidR="00D529F3" w:rsidRDefault="00D529F3" w:rsidP="0054231D">
      <w:pPr>
        <w:tabs>
          <w:tab w:val="left" w:pos="-1099"/>
          <w:tab w:val="left" w:pos="-720"/>
          <w:tab w:val="left" w:pos="0"/>
          <w:tab w:val="left" w:pos="430"/>
          <w:tab w:val="left" w:pos="884"/>
        </w:tabs>
        <w:rPr>
          <w:lang w:val="en-AU"/>
        </w:rPr>
      </w:pP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Australian Social and Recreation Research Pty Ltd (ASR</w:t>
      </w:r>
      <w:r w:rsidR="00AB1886">
        <w:rPr>
          <w:lang w:val="en-AU"/>
        </w:rPr>
        <w:t>R</w:t>
      </w:r>
      <w:r>
        <w:rPr>
          <w:lang w:val="en-AU"/>
        </w:rPr>
        <w:t xml:space="preserve">) (2008) </w:t>
      </w:r>
      <w:r>
        <w:rPr>
          <w:i/>
          <w:iCs/>
          <w:lang w:val="en-AU"/>
        </w:rPr>
        <w:t>Planning for Community Infrastructure in Growth Areas</w:t>
      </w:r>
      <w:r>
        <w:rPr>
          <w:lang w:val="en-AU"/>
        </w:rPr>
        <w:t xml:space="preserve">. Wyndham, Vic: Wyndham City Council, available at: </w:t>
      </w:r>
      <w:r>
        <w:rPr>
          <w:lang w:val="en-AU"/>
        </w:rPr>
        <w:lastRenderedPageBreak/>
        <w:t>www.wyndham.vic.gov.au/aboutwyndham/planspolicieslocallaws/commdev/ plancominfr</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Brown, A. J., and Sherrard, H. M. (1951) </w:t>
      </w:r>
      <w:r>
        <w:rPr>
          <w:i/>
          <w:iCs/>
          <w:lang w:val="en-AU"/>
        </w:rPr>
        <w:t>Town and Country Planning</w:t>
      </w:r>
      <w:r>
        <w:rPr>
          <w:lang w:val="en-AU"/>
        </w:rPr>
        <w:t>. Melbourne: Melbourne University Press.</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Buechner, R. D. (ed.) (1971) </w:t>
      </w:r>
      <w:r>
        <w:rPr>
          <w:i/>
          <w:iCs/>
          <w:lang w:val="en-AU"/>
        </w:rPr>
        <w:t>National Park, Recreation and Open Space Standards</w:t>
      </w:r>
      <w:r>
        <w:rPr>
          <w:lang w:val="en-AU"/>
        </w:rPr>
        <w:t>. Washington, DC: National Park and Recreation Association.</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Cumberland County Council (1948)</w:t>
      </w:r>
      <w:r>
        <w:rPr>
          <w:i/>
          <w:iCs/>
          <w:lang w:val="en-AU"/>
        </w:rPr>
        <w:t xml:space="preserve"> The Planning Scheme for the County of Cumberland, New South Wales</w:t>
      </w:r>
      <w:r>
        <w:rPr>
          <w:lang w:val="en-AU"/>
        </w:rPr>
        <w:t>. Sydney: Cumberland County Council.</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Fields in Trust (2008) </w:t>
      </w:r>
      <w:r>
        <w:rPr>
          <w:i/>
          <w:iCs/>
          <w:lang w:val="en-AU"/>
        </w:rPr>
        <w:t>Planning and Design for Outdoor Sport and Play</w:t>
      </w:r>
      <w:r>
        <w:rPr>
          <w:lang w:val="en-AU"/>
        </w:rPr>
        <w:t>. London: Fields in Trust.</w:t>
      </w:r>
    </w:p>
    <w:p w:rsidR="00DF56C1" w:rsidRPr="00DF56C1" w:rsidRDefault="00DF56C1" w:rsidP="0054231D">
      <w:pPr>
        <w:tabs>
          <w:tab w:val="left" w:pos="-1099"/>
          <w:tab w:val="left" w:pos="-720"/>
          <w:tab w:val="left" w:pos="0"/>
          <w:tab w:val="left" w:pos="430"/>
          <w:tab w:val="left" w:pos="884"/>
          <w:tab w:val="left" w:pos="3402"/>
        </w:tabs>
        <w:ind w:left="430" w:hanging="430"/>
        <w:rPr>
          <w:lang w:val="en-AU"/>
        </w:rPr>
      </w:pPr>
      <w:r>
        <w:rPr>
          <w:lang w:val="en-AU"/>
        </w:rPr>
        <w:t xml:space="preserve">Gold, S. M. (1973) </w:t>
      </w:r>
      <w:r>
        <w:rPr>
          <w:i/>
          <w:lang w:val="en-AU"/>
        </w:rPr>
        <w:t>Urban Recreation Planning</w:t>
      </w:r>
      <w:r>
        <w:rPr>
          <w:lang w:val="en-AU"/>
        </w:rPr>
        <w:t>. Philadelphia, PA: Lea &amp; Febiger.</w:t>
      </w:r>
    </w:p>
    <w:p w:rsidR="00D529F3" w:rsidRDefault="00D529F3" w:rsidP="0054231D">
      <w:pPr>
        <w:tabs>
          <w:tab w:val="left" w:pos="-1099"/>
          <w:tab w:val="left" w:pos="-720"/>
          <w:tab w:val="left" w:pos="0"/>
          <w:tab w:val="left" w:pos="430"/>
          <w:tab w:val="left" w:pos="884"/>
          <w:tab w:val="left" w:pos="3402"/>
        </w:tabs>
        <w:rPr>
          <w:lang w:val="en-AU"/>
        </w:rPr>
      </w:pPr>
      <w:r>
        <w:rPr>
          <w:lang w:val="en-AU"/>
        </w:rPr>
        <w:t xml:space="preserve">Gold, S. M. (1980) </w:t>
      </w:r>
      <w:r>
        <w:rPr>
          <w:i/>
          <w:iCs/>
          <w:lang w:val="en-AU"/>
        </w:rPr>
        <w:t>Recreation Planning and Design</w:t>
      </w:r>
      <w:r>
        <w:rPr>
          <w:lang w:val="en-AU"/>
        </w:rPr>
        <w:t>. New York: McGraw-Hill.</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Gray, J. E., and Cullen, P. (1976) </w:t>
      </w:r>
      <w:r>
        <w:rPr>
          <w:i/>
          <w:iCs/>
          <w:lang w:val="en-AU"/>
        </w:rPr>
        <w:t>Guidelines for the Management of Urban Park Systems</w:t>
      </w:r>
      <w:r>
        <w:rPr>
          <w:lang w:val="en-AU"/>
        </w:rPr>
        <w:t>. Northcote, Vic: Australian Institute of Parks and Recreation.</w:t>
      </w:r>
    </w:p>
    <w:p w:rsidR="00D529F3" w:rsidRDefault="00D529F3" w:rsidP="0054231D">
      <w:pPr>
        <w:tabs>
          <w:tab w:val="left" w:pos="-1099"/>
          <w:tab w:val="left" w:pos="-720"/>
          <w:tab w:val="left" w:pos="0"/>
          <w:tab w:val="left" w:pos="430"/>
          <w:tab w:val="left" w:pos="884"/>
          <w:tab w:val="left" w:pos="3402"/>
        </w:tabs>
        <w:rPr>
          <w:lang w:val="en-AU"/>
        </w:rPr>
      </w:pPr>
      <w:r>
        <w:rPr>
          <w:lang w:val="en-AU"/>
        </w:rPr>
        <w:t xml:space="preserve">Jeavons, S. (2000) Whose fault is it anyway? </w:t>
      </w:r>
      <w:r>
        <w:rPr>
          <w:i/>
          <w:iCs/>
          <w:lang w:val="en-AU"/>
        </w:rPr>
        <w:t>Australian Leisure Management</w:t>
      </w:r>
      <w:r>
        <w:rPr>
          <w:lang w:val="en-AU"/>
        </w:rPr>
        <w:t>, 18, 42-44.</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Joint Venture for More Affordable Housing (JVMAH) (1989) </w:t>
      </w:r>
      <w:r>
        <w:rPr>
          <w:i/>
          <w:iCs/>
          <w:lang w:val="en-AU"/>
        </w:rPr>
        <w:t>Australian Model Code for Residential Development</w:t>
      </w:r>
      <w:r>
        <w:rPr>
          <w:lang w:val="en-AU"/>
        </w:rPr>
        <w:t>. Canberra: Dept. of Industry, Technology and Commerce/AGPS.</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Lancaster, R. A. (1983) </w:t>
      </w:r>
      <w:r>
        <w:rPr>
          <w:i/>
          <w:iCs/>
          <w:lang w:val="en-AU"/>
        </w:rPr>
        <w:t>Recreation, Park and Open Space Standards and Guidelines</w:t>
      </w:r>
      <w:r>
        <w:rPr>
          <w:lang w:val="en-AU"/>
        </w:rPr>
        <w:t>. Alexandria, VA: National Park and Recreation Association.</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Marriott, K. (1980a) Traditional approaches to urban recreation planning. In D. Mercer and E. Hamilton-Smith (eds) </w:t>
      </w:r>
      <w:r>
        <w:rPr>
          <w:i/>
          <w:iCs/>
          <w:lang w:val="en-AU"/>
        </w:rPr>
        <w:t>Recreation Planning and Social Change</w:t>
      </w:r>
      <w:r>
        <w:rPr>
          <w:lang w:val="en-AU"/>
        </w:rPr>
        <w:t>. Malvern, Vic.: Sorrett, pp. 113-23.</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Marriott, K. (1980b) Urban recreation open space and facility planning. In D. Mercer and E. Hamilton-Smith (eds) </w:t>
      </w:r>
      <w:r>
        <w:rPr>
          <w:i/>
          <w:iCs/>
          <w:lang w:val="en-AU"/>
        </w:rPr>
        <w:t>Recreation Planning and Social Change</w:t>
      </w:r>
      <w:r>
        <w:rPr>
          <w:lang w:val="en-AU"/>
        </w:rPr>
        <w:t>. Malvern, Vic.: Sorrett, pp. 132-152.</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Marriott, K. (1987)</w:t>
      </w:r>
      <w:r>
        <w:rPr>
          <w:i/>
          <w:iCs/>
          <w:lang w:val="en-AU"/>
        </w:rPr>
        <w:t xml:space="preserve"> Recreation Planning: A Manual for Local Government</w:t>
      </w:r>
      <w:r>
        <w:rPr>
          <w:lang w:val="en-AU"/>
        </w:rPr>
        <w:t>. Adelaide: South Australian Department of Recreation and Sport.</w:t>
      </w:r>
      <w:r>
        <w:rPr>
          <w:i/>
          <w:iCs/>
          <w:lang w:val="en-AU"/>
        </w:rPr>
        <w:t xml:space="preserve"> </w:t>
      </w:r>
    </w:p>
    <w:p w:rsidR="00D529F3" w:rsidRDefault="00D529F3" w:rsidP="0054231D">
      <w:pPr>
        <w:tabs>
          <w:tab w:val="left" w:pos="-1099"/>
          <w:tab w:val="left" w:pos="-720"/>
          <w:tab w:val="left" w:pos="0"/>
          <w:tab w:val="left" w:pos="430"/>
          <w:tab w:val="left" w:pos="884"/>
          <w:tab w:val="left" w:pos="3402"/>
        </w:tabs>
        <w:ind w:left="430" w:hanging="430"/>
        <w:rPr>
          <w:lang w:val="en-AU"/>
        </w:rPr>
        <w:sectPr w:rsidR="00D529F3">
          <w:footerReference w:type="default" r:id="rId8"/>
          <w:type w:val="continuous"/>
          <w:pgSz w:w="11905" w:h="16837"/>
          <w:pgMar w:top="1440" w:right="1440" w:bottom="1440" w:left="1440" w:header="1440" w:footer="1440" w:gutter="0"/>
          <w:cols w:space="720"/>
          <w:noEndnote/>
        </w:sectPr>
      </w:pPr>
    </w:p>
    <w:p w:rsidR="00D529F3" w:rsidRDefault="00D529F3" w:rsidP="0054231D">
      <w:pPr>
        <w:tabs>
          <w:tab w:val="left" w:pos="-1099"/>
          <w:tab w:val="left" w:pos="-720"/>
          <w:tab w:val="left" w:pos="0"/>
          <w:tab w:val="left" w:pos="430"/>
          <w:tab w:val="left" w:pos="884"/>
          <w:tab w:val="left" w:pos="3402"/>
        </w:tabs>
        <w:rPr>
          <w:lang w:val="en-AU"/>
        </w:rPr>
      </w:pPr>
      <w:r>
        <w:rPr>
          <w:lang w:val="en-AU"/>
        </w:rPr>
        <w:lastRenderedPageBreak/>
        <w:t xml:space="preserve">Marriott, K. (1999) Nothing is standard any more. </w:t>
      </w:r>
      <w:r>
        <w:rPr>
          <w:i/>
          <w:iCs/>
          <w:lang w:val="en-AU"/>
        </w:rPr>
        <w:t>Australian Leisure Management</w:t>
      </w:r>
      <w:r>
        <w:rPr>
          <w:lang w:val="en-AU"/>
        </w:rPr>
        <w:t>, 16, 18-19.</w:t>
      </w:r>
    </w:p>
    <w:p w:rsidR="00DF42D2" w:rsidRPr="00F84BAD" w:rsidRDefault="008E67FD" w:rsidP="0054231D">
      <w:pPr>
        <w:tabs>
          <w:tab w:val="left" w:pos="-1099"/>
          <w:tab w:val="left" w:pos="-720"/>
          <w:tab w:val="left" w:pos="0"/>
          <w:tab w:val="left" w:pos="544"/>
          <w:tab w:val="left" w:pos="997"/>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4" w:hanging="544"/>
        <w:rPr>
          <w:lang w:val="en-AU"/>
        </w:rPr>
      </w:pPr>
      <w:r w:rsidRPr="00F84BAD">
        <w:rPr>
          <w:lang w:val="en-AU"/>
        </w:rPr>
        <w:fldChar w:fldCharType="begin"/>
      </w:r>
      <w:r w:rsidR="00DF42D2" w:rsidRPr="00F84BAD">
        <w:rPr>
          <w:lang w:val="en-AU"/>
        </w:rPr>
        <w:instrText xml:space="preserve"> SEQ CHAPTER \h \r 1</w:instrText>
      </w:r>
      <w:r w:rsidRPr="00F84BAD">
        <w:rPr>
          <w:lang w:val="en-AU"/>
        </w:rPr>
        <w:fldChar w:fldCharType="end"/>
      </w:r>
      <w:r w:rsidR="00DF42D2" w:rsidRPr="00F84BAD">
        <w:rPr>
          <w:lang w:val="en-AU"/>
        </w:rPr>
        <w:t xml:space="preserve">Marriott, K. (2010) </w:t>
      </w:r>
      <w:r w:rsidR="00DF42D2" w:rsidRPr="00F84BAD">
        <w:rPr>
          <w:i/>
          <w:iCs/>
          <w:lang w:val="en-AU"/>
        </w:rPr>
        <w:t xml:space="preserve">Planning for the Provision of Leisure and Recreation in Australia. </w:t>
      </w:r>
      <w:r w:rsidR="00DF42D2" w:rsidRPr="00F84BAD">
        <w:rPr>
          <w:lang w:val="en-AU"/>
        </w:rPr>
        <w:t>Hobart: Sport &amp; Recreation Tasmania. Available at: www.develop</w:t>
      </w:r>
      <w:r w:rsidR="00143F4F">
        <w:rPr>
          <w:lang w:val="en-AU"/>
        </w:rPr>
        <w:t>ment.tas.gov.au/</w:t>
      </w:r>
      <w:r w:rsidR="00DF42D2" w:rsidRPr="00F84BAD">
        <w:rPr>
          <w:lang w:val="en-AU"/>
        </w:rPr>
        <w:t>sportrec/</w:t>
      </w:r>
      <w:r w:rsidR="00143F4F">
        <w:rPr>
          <w:lang w:val="en-AU"/>
        </w:rPr>
        <w:t xml:space="preserve"> </w:t>
      </w:r>
      <w:r w:rsidR="00DF42D2" w:rsidRPr="00F84BAD">
        <w:rPr>
          <w:lang w:val="en-AU"/>
        </w:rPr>
        <w:t>publications_and_links/recreation_planning_manual.</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May, H. L., and Petgen, D. (1928) </w:t>
      </w:r>
      <w:r>
        <w:rPr>
          <w:i/>
          <w:iCs/>
          <w:lang w:val="en-AU"/>
        </w:rPr>
        <w:t>Leisure and its uses: Some International Observations</w:t>
      </w:r>
      <w:r>
        <w:rPr>
          <w:lang w:val="en-AU"/>
        </w:rPr>
        <w:t>. New York: A. S. Barnes &amp; Co.</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Mertes, J. D., and Hall, J. R. (1996) </w:t>
      </w:r>
      <w:r>
        <w:rPr>
          <w:i/>
          <w:iCs/>
          <w:lang w:val="en-AU"/>
        </w:rPr>
        <w:t>Park, Recreation, Open Space and Greenway Guidelines</w:t>
      </w:r>
      <w:r>
        <w:rPr>
          <w:lang w:val="en-AU"/>
        </w:rPr>
        <w:t>. Ashburn, VA: National Recreation and Park Association.</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National Capital Development Commission (NCDC) (1977</w:t>
      </w:r>
      <w:r w:rsidR="00143F4F">
        <w:rPr>
          <w:lang w:val="en-AU"/>
        </w:rPr>
        <w:t>/81</w:t>
      </w:r>
      <w:r>
        <w:rPr>
          <w:lang w:val="en-AU"/>
        </w:rPr>
        <w:t xml:space="preserve">) </w:t>
      </w:r>
      <w:r>
        <w:rPr>
          <w:i/>
          <w:iCs/>
          <w:lang w:val="en-AU"/>
        </w:rPr>
        <w:t>Urban Open Space Guidelines</w:t>
      </w:r>
      <w:r>
        <w:rPr>
          <w:lang w:val="en-AU"/>
        </w:rPr>
        <w:t>. Technical Paper 21, Canberra, ACT: NCDC.</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National Playing Fields Association (NPFA) (1971) </w:t>
      </w:r>
      <w:r>
        <w:rPr>
          <w:i/>
          <w:iCs/>
          <w:lang w:val="en-AU"/>
        </w:rPr>
        <w:t>Outdoor Playspace Requirements</w:t>
      </w:r>
      <w:r>
        <w:rPr>
          <w:lang w:val="en-AU"/>
        </w:rPr>
        <w:t>. London: NPFA.</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National Playing Fields Association (NPFA) (2001) </w:t>
      </w:r>
      <w:r>
        <w:rPr>
          <w:i/>
          <w:iCs/>
          <w:lang w:val="en-AU"/>
        </w:rPr>
        <w:t>The Six Acre Standard: Minimum Standards for Outdoor Playing Space</w:t>
      </w:r>
      <w:r>
        <w:rPr>
          <w:lang w:val="en-AU"/>
        </w:rPr>
        <w:t>. London: NPFA.</w:t>
      </w:r>
    </w:p>
    <w:p w:rsidR="00E959E4"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NSW Department of Environment and Planning (NSWDEP) (1985) </w:t>
      </w:r>
      <w:r>
        <w:rPr>
          <w:i/>
          <w:iCs/>
          <w:lang w:val="en-AU"/>
        </w:rPr>
        <w:t>Open Space in the Sydney Region: 1982 Open Space survey: Research Study 5</w:t>
      </w:r>
      <w:r>
        <w:rPr>
          <w:lang w:val="en-AU"/>
        </w:rPr>
        <w:t xml:space="preserve">. Sydney: Dept of </w:t>
      </w:r>
      <w:r>
        <w:rPr>
          <w:lang w:val="en-AU"/>
        </w:rPr>
        <w:lastRenderedPageBreak/>
        <w:t>Environment and Planning.</w:t>
      </w:r>
      <w:r w:rsidR="00E959E4" w:rsidRPr="00E959E4">
        <w:rPr>
          <w:lang w:val="en-AU"/>
        </w:rPr>
        <w:t xml:space="preserve"> </w:t>
      </w:r>
    </w:p>
    <w:p w:rsidR="00E959E4" w:rsidRPr="00E959E4" w:rsidRDefault="00E959E4" w:rsidP="0054231D">
      <w:pPr>
        <w:tabs>
          <w:tab w:val="left" w:pos="-1099"/>
          <w:tab w:val="left" w:pos="-720"/>
          <w:tab w:val="left" w:pos="0"/>
          <w:tab w:val="left" w:pos="430"/>
          <w:tab w:val="left" w:pos="884"/>
          <w:tab w:val="left" w:pos="3402"/>
        </w:tabs>
        <w:ind w:left="430" w:hanging="430"/>
        <w:rPr>
          <w:lang w:val="en-AU"/>
        </w:rPr>
      </w:pPr>
      <w:r>
        <w:rPr>
          <w:lang w:val="en-AU"/>
        </w:rPr>
        <w:t xml:space="preserve">NSW Department of Leisure, Sport and Tourism (NSWDLST)/Australian Bureau of Statistics (ABS) (1984) </w:t>
      </w:r>
      <w:r>
        <w:rPr>
          <w:i/>
          <w:lang w:val="en-AU"/>
        </w:rPr>
        <w:t>Recreation Demand Survey Manual for Use by Local Government in New South Wales: Draft</w:t>
      </w:r>
      <w:r>
        <w:rPr>
          <w:lang w:val="en-AU"/>
        </w:rPr>
        <w:t>. Sydney: NSWDLST.</w:t>
      </w:r>
    </w:p>
    <w:p w:rsidR="00D529F3" w:rsidRDefault="00E959E4" w:rsidP="0054231D">
      <w:pPr>
        <w:tabs>
          <w:tab w:val="left" w:pos="-1099"/>
          <w:tab w:val="left" w:pos="-720"/>
          <w:tab w:val="left" w:pos="0"/>
          <w:tab w:val="left" w:pos="430"/>
          <w:tab w:val="left" w:pos="884"/>
          <w:tab w:val="left" w:pos="3402"/>
        </w:tabs>
        <w:ind w:left="430" w:hanging="430"/>
        <w:rPr>
          <w:lang w:val="en-AU"/>
        </w:rPr>
      </w:pPr>
      <w:r>
        <w:rPr>
          <w:lang w:val="en-AU"/>
        </w:rPr>
        <w:t>NS</w:t>
      </w:r>
      <w:r w:rsidR="00D529F3">
        <w:rPr>
          <w:lang w:val="en-AU"/>
        </w:rPr>
        <w:t xml:space="preserve">W Department of Planning </w:t>
      </w:r>
      <w:r w:rsidR="00AB1886">
        <w:rPr>
          <w:lang w:val="en-AU"/>
        </w:rPr>
        <w:t xml:space="preserve">(NSWDP) </w:t>
      </w:r>
      <w:r w:rsidR="00D529F3">
        <w:rPr>
          <w:lang w:val="en-AU"/>
        </w:rPr>
        <w:t>(1992)</w:t>
      </w:r>
      <w:r w:rsidR="00D529F3">
        <w:rPr>
          <w:i/>
          <w:iCs/>
          <w:lang w:val="en-AU"/>
        </w:rPr>
        <w:t xml:space="preserve"> Outdoor Recreation and Open Place: Planning Guidelines for Local Councils</w:t>
      </w:r>
      <w:r w:rsidR="00D529F3">
        <w:rPr>
          <w:lang w:val="en-AU"/>
        </w:rPr>
        <w:t xml:space="preserve">. </w:t>
      </w:r>
      <w:r w:rsidR="00AB1886">
        <w:rPr>
          <w:lang w:val="en-AU"/>
        </w:rPr>
        <w:t xml:space="preserve">(Conducted by Manidis Roberts, consultants), </w:t>
      </w:r>
      <w:r w:rsidR="00D529F3">
        <w:rPr>
          <w:lang w:val="en-AU"/>
        </w:rPr>
        <w:t>Sydney: Department of Planning.</w:t>
      </w:r>
    </w:p>
    <w:p w:rsidR="00E959E4" w:rsidRDefault="00AB1886" w:rsidP="0054231D">
      <w:pPr>
        <w:tabs>
          <w:tab w:val="left" w:pos="-1099"/>
          <w:tab w:val="left" w:pos="-720"/>
          <w:tab w:val="left" w:pos="0"/>
          <w:tab w:val="left" w:pos="430"/>
          <w:tab w:val="left" w:pos="884"/>
          <w:tab w:val="left" w:pos="3402"/>
        </w:tabs>
        <w:ind w:left="430" w:hanging="430"/>
        <w:rPr>
          <w:lang w:val="en-AU"/>
        </w:rPr>
      </w:pPr>
      <w:r>
        <w:rPr>
          <w:lang w:val="en-AU"/>
        </w:rPr>
        <w:t>NSW Department of Planning</w:t>
      </w:r>
      <w:r w:rsidRPr="00F84BAD">
        <w:rPr>
          <w:lang w:val="en-AU"/>
        </w:rPr>
        <w:t xml:space="preserve"> </w:t>
      </w:r>
      <w:r>
        <w:rPr>
          <w:lang w:val="en-AU"/>
        </w:rPr>
        <w:t xml:space="preserve">(NSWDP) </w:t>
      </w:r>
      <w:r w:rsidRPr="00F84BAD">
        <w:rPr>
          <w:lang w:val="en-AU"/>
        </w:rPr>
        <w:t xml:space="preserve">(2010) </w:t>
      </w:r>
      <w:r w:rsidRPr="00F84BAD">
        <w:rPr>
          <w:i/>
          <w:lang w:val="en-AU"/>
        </w:rPr>
        <w:t>Recreation and Open Space Planning Guidelines for Local Government</w:t>
      </w:r>
      <w:r w:rsidRPr="00F84BAD">
        <w:rPr>
          <w:lang w:val="en-AU"/>
        </w:rPr>
        <w:t>.</w:t>
      </w:r>
      <w:r w:rsidRPr="00AB1886">
        <w:rPr>
          <w:lang w:val="en-AU"/>
        </w:rPr>
        <w:t xml:space="preserve"> </w:t>
      </w:r>
      <w:r>
        <w:rPr>
          <w:lang w:val="en-AU"/>
        </w:rPr>
        <w:t xml:space="preserve">(Conducted by </w:t>
      </w:r>
      <w:r w:rsidRPr="00F84BAD">
        <w:rPr>
          <w:lang w:val="en-AU"/>
        </w:rPr>
        <w:t>SGS Economics</w:t>
      </w:r>
      <w:r>
        <w:rPr>
          <w:lang w:val="en-AU"/>
        </w:rPr>
        <w:t>, consultants),</w:t>
      </w:r>
      <w:r w:rsidRPr="00F84BAD">
        <w:rPr>
          <w:lang w:val="en-AU"/>
        </w:rPr>
        <w:t xml:space="preserve"> Sydney: Department of Planning.</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New South Wales Planning and Environment Commission (NSWPEC) (1975) </w:t>
      </w:r>
      <w:r>
        <w:rPr>
          <w:i/>
          <w:iCs/>
          <w:lang w:val="en-AU"/>
        </w:rPr>
        <w:t>Sydney Region Open Space Survey</w:t>
      </w:r>
      <w:r>
        <w:rPr>
          <w:lang w:val="en-AU"/>
        </w:rPr>
        <w:t>. Sydney: NSWPEC.</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Planning Workshop and PA Management Cons</w:t>
      </w:r>
      <w:r w:rsidR="00D27855">
        <w:rPr>
          <w:lang w:val="en-AU"/>
        </w:rPr>
        <w:t>ultants (1975) Implications of c</w:t>
      </w:r>
      <w:r>
        <w:rPr>
          <w:lang w:val="en-AU"/>
        </w:rPr>
        <w:t xml:space="preserve">ommunity centre development. In Department of Tourism and Recreation, </w:t>
      </w:r>
      <w:r>
        <w:rPr>
          <w:i/>
          <w:iCs/>
          <w:lang w:val="en-AU"/>
        </w:rPr>
        <w:t>Leisure – an New Perspective, Papers Presented at a National Seminar in Canberra, 22-24 April, 1974</w:t>
      </w:r>
      <w:r>
        <w:rPr>
          <w:lang w:val="en-AU"/>
        </w:rPr>
        <w:t xml:space="preserve">. Canberra: AGPS, 48-126. </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Shiels, G. (1989) More quality, less quantity in open space planning.</w:t>
      </w:r>
      <w:r>
        <w:rPr>
          <w:i/>
          <w:iCs/>
          <w:lang w:val="en-AU"/>
        </w:rPr>
        <w:t xml:space="preserve"> Australian Parks and Recreation, </w:t>
      </w:r>
      <w:r>
        <w:rPr>
          <w:lang w:val="en-AU"/>
        </w:rPr>
        <w:t>25(1): 12-14.</w:t>
      </w:r>
    </w:p>
    <w:p w:rsidR="00D529F3" w:rsidRDefault="00D529F3" w:rsidP="0054231D">
      <w:pPr>
        <w:tabs>
          <w:tab w:val="left" w:pos="-1099"/>
          <w:tab w:val="left" w:pos="-720"/>
          <w:tab w:val="left" w:pos="0"/>
          <w:tab w:val="left" w:pos="430"/>
          <w:tab w:val="left" w:pos="884"/>
          <w:tab w:val="left" w:pos="3402"/>
        </w:tabs>
        <w:rPr>
          <w:lang w:val="en-AU"/>
        </w:rPr>
      </w:pPr>
      <w:r>
        <w:rPr>
          <w:lang w:val="en-AU"/>
        </w:rPr>
        <w:t xml:space="preserve">Simpson, A. E. (1969) Park standards for Australia. </w:t>
      </w:r>
      <w:r>
        <w:rPr>
          <w:i/>
          <w:iCs/>
          <w:lang w:val="en-AU"/>
        </w:rPr>
        <w:t>Australian Parks</w:t>
      </w:r>
      <w:r>
        <w:rPr>
          <w:lang w:val="en-AU"/>
        </w:rPr>
        <w:t>, 6(1):12-16, 6(2) 5-11.</w:t>
      </w:r>
    </w:p>
    <w:p w:rsidR="009D3E1E" w:rsidRPr="009D3E1E" w:rsidRDefault="009D3E1E" w:rsidP="0054231D">
      <w:pPr>
        <w:tabs>
          <w:tab w:val="left" w:pos="-1099"/>
          <w:tab w:val="left" w:pos="-720"/>
          <w:tab w:val="left" w:pos="0"/>
          <w:tab w:val="left" w:pos="544"/>
          <w:tab w:val="left" w:pos="997"/>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4" w:hanging="544"/>
        <w:rPr>
          <w:lang w:val="en-AU"/>
        </w:rPr>
      </w:pPr>
      <w:r>
        <w:rPr>
          <w:lang w:val="en-AU"/>
        </w:rPr>
        <w:t xml:space="preserve">Smith, G. (1980) </w:t>
      </w:r>
      <w:r>
        <w:rPr>
          <w:i/>
          <w:lang w:val="en-AU"/>
        </w:rPr>
        <w:t>Social Need, Policy, Practice, and Research</w:t>
      </w:r>
      <w:r>
        <w:rPr>
          <w:lang w:val="en-AU"/>
        </w:rPr>
        <w:t>. London: Routledge and Kegan Paul.</w:t>
      </w:r>
    </w:p>
    <w:p w:rsidR="00D27855" w:rsidRDefault="00D27855" w:rsidP="0054231D">
      <w:pPr>
        <w:tabs>
          <w:tab w:val="left" w:pos="-1099"/>
          <w:tab w:val="left" w:pos="-720"/>
          <w:tab w:val="left" w:pos="0"/>
          <w:tab w:val="left" w:pos="544"/>
          <w:tab w:val="left" w:pos="997"/>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4" w:hanging="544"/>
        <w:rPr>
          <w:lang w:val="en-AU"/>
        </w:rPr>
      </w:pPr>
      <w:r w:rsidRPr="00F84BAD">
        <w:rPr>
          <w:lang w:val="en-AU"/>
        </w:rPr>
        <w:t xml:space="preserve">Sport and Recreation Queensland (2003) </w:t>
      </w:r>
      <w:r w:rsidRPr="00F84BAD">
        <w:rPr>
          <w:i/>
          <w:iCs/>
          <w:lang w:val="en-AU"/>
        </w:rPr>
        <w:t>Open Space for Sport and Recreation: Planning Principles and Implementation Notes</w:t>
      </w:r>
      <w:r w:rsidRPr="00F84BAD">
        <w:rPr>
          <w:lang w:val="en-AU"/>
        </w:rPr>
        <w:t>. Brisbane: Sport and Recreation Queensland.</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Sports Council (1968) </w:t>
      </w:r>
      <w:r>
        <w:rPr>
          <w:i/>
          <w:iCs/>
          <w:lang w:val="en-AU"/>
        </w:rPr>
        <w:t>Planning for Sport: Report of a Working Party on Scales of Provision</w:t>
      </w:r>
      <w:r>
        <w:rPr>
          <w:lang w:val="en-AU"/>
        </w:rPr>
        <w:t xml:space="preserve">. London: Central Council of Physical Recreation. </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Stephenson, G., and Hepburn, J. A. (1955) </w:t>
      </w:r>
      <w:r>
        <w:rPr>
          <w:i/>
          <w:iCs/>
          <w:lang w:val="en-AU"/>
        </w:rPr>
        <w:t>Plan for the Metropolitan Region Perth and Fremantle, Western Australia</w:t>
      </w:r>
      <w:r>
        <w:rPr>
          <w:lang w:val="en-AU"/>
        </w:rPr>
        <w:t>. Perth, WA: Government Printing Office.</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Theobald, W. (1984) A history of recreation resource planning: the origins of space standards. </w:t>
      </w:r>
      <w:r>
        <w:rPr>
          <w:i/>
          <w:iCs/>
          <w:lang w:val="en-AU"/>
        </w:rPr>
        <w:t>Leisure Studies</w:t>
      </w:r>
      <w:r>
        <w:rPr>
          <w:lang w:val="en-AU"/>
        </w:rPr>
        <w:t>, 3(2): 189-200.</w:t>
      </w:r>
    </w:p>
    <w:p w:rsidR="00D529F3" w:rsidRDefault="00D529F3" w:rsidP="0054231D">
      <w:pPr>
        <w:tabs>
          <w:tab w:val="left" w:pos="-1099"/>
          <w:tab w:val="left" w:pos="-720"/>
          <w:tab w:val="left" w:pos="0"/>
          <w:tab w:val="left" w:pos="430"/>
          <w:tab w:val="left" w:pos="884"/>
          <w:tab w:val="left" w:pos="3402"/>
        </w:tabs>
        <w:rPr>
          <w:lang w:val="en-AU"/>
        </w:rPr>
      </w:pPr>
      <w:r>
        <w:rPr>
          <w:lang w:val="en-AU"/>
        </w:rPr>
        <w:t xml:space="preserve">Torkildsen, G. (2005) </w:t>
      </w:r>
      <w:r>
        <w:rPr>
          <w:i/>
          <w:iCs/>
          <w:lang w:val="en-AU"/>
        </w:rPr>
        <w:t>Leisure and Recreation Management, 5</w:t>
      </w:r>
      <w:r>
        <w:rPr>
          <w:i/>
          <w:iCs/>
          <w:vertAlign w:val="superscript"/>
          <w:lang w:val="en-AU"/>
        </w:rPr>
        <w:t>th</w:t>
      </w:r>
      <w:r>
        <w:rPr>
          <w:i/>
          <w:iCs/>
          <w:lang w:val="en-AU"/>
        </w:rPr>
        <w:t xml:space="preserve"> Edn</w:t>
      </w:r>
      <w:r>
        <w:rPr>
          <w:lang w:val="en-AU"/>
        </w:rPr>
        <w:t>. London: Routledge.</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Veal, A. J. (2002) </w:t>
      </w:r>
      <w:r>
        <w:rPr>
          <w:i/>
          <w:iCs/>
          <w:lang w:val="en-AU"/>
        </w:rPr>
        <w:t>Leisure and Tourism, Policy and Planning</w:t>
      </w:r>
      <w:r>
        <w:rPr>
          <w:lang w:val="en-AU"/>
        </w:rPr>
        <w:t xml:space="preserve">. Wallingford, UK: CABI Publishing. </w:t>
      </w:r>
    </w:p>
    <w:p w:rsidR="00D529F3" w:rsidRDefault="00D529F3" w:rsidP="0054231D">
      <w:pPr>
        <w:tabs>
          <w:tab w:val="left" w:pos="-1099"/>
          <w:tab w:val="left" w:pos="-720"/>
          <w:tab w:val="left" w:pos="0"/>
          <w:tab w:val="left" w:pos="430"/>
          <w:tab w:val="left" w:pos="884"/>
          <w:tab w:val="left" w:pos="3402"/>
        </w:tabs>
        <w:rPr>
          <w:lang w:val="en-AU"/>
        </w:rPr>
      </w:pPr>
      <w:r>
        <w:rPr>
          <w:lang w:val="en-AU"/>
        </w:rPr>
        <w:t xml:space="preserve">Veal, A. J. (2006) The use of urban parks. </w:t>
      </w:r>
      <w:r>
        <w:rPr>
          <w:i/>
          <w:iCs/>
          <w:lang w:val="en-AU"/>
        </w:rPr>
        <w:t>Annals of Leisure Research</w:t>
      </w:r>
      <w:r w:rsidR="00D27855">
        <w:rPr>
          <w:lang w:val="en-AU"/>
        </w:rPr>
        <w:t>, 9(4), 245-</w:t>
      </w:r>
      <w:r>
        <w:rPr>
          <w:lang w:val="en-AU"/>
        </w:rPr>
        <w:t>77.</w:t>
      </w:r>
    </w:p>
    <w:p w:rsidR="00FA0C0E" w:rsidRDefault="00FA0C0E" w:rsidP="0054231D">
      <w:pPr>
        <w:tabs>
          <w:tab w:val="left" w:pos="-1099"/>
          <w:tab w:val="left" w:pos="-720"/>
          <w:tab w:val="left" w:pos="0"/>
          <w:tab w:val="left" w:pos="544"/>
          <w:tab w:val="left" w:pos="997"/>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4" w:hanging="544"/>
        <w:rPr>
          <w:iCs/>
        </w:rPr>
      </w:pPr>
      <w:r>
        <w:rPr>
          <w:iCs/>
        </w:rPr>
        <w:t xml:space="preserve">Veal, A. J. (2011) Planning for leisure, sport, tourism and the arts: goals and rationales. </w:t>
      </w:r>
      <w:r>
        <w:rPr>
          <w:i/>
          <w:iCs/>
        </w:rPr>
        <w:t>World Leisure Journal</w:t>
      </w:r>
      <w:r>
        <w:rPr>
          <w:iCs/>
        </w:rPr>
        <w:t>, 53(2), 119-48.</w:t>
      </w:r>
    </w:p>
    <w:p w:rsidR="00DF42D2" w:rsidRDefault="00DF42D2" w:rsidP="0054231D">
      <w:pPr>
        <w:tabs>
          <w:tab w:val="left" w:pos="-1099"/>
          <w:tab w:val="left" w:pos="-720"/>
          <w:tab w:val="left" w:pos="0"/>
          <w:tab w:val="left" w:pos="544"/>
          <w:tab w:val="left" w:pos="997"/>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4" w:hanging="544"/>
        <w:rPr>
          <w:lang w:val="en-AU"/>
        </w:rPr>
      </w:pPr>
      <w:r w:rsidRPr="00F84BAD">
        <w:rPr>
          <w:lang w:val="en-AU"/>
        </w:rPr>
        <w:t>WA Department of Sport and Recreation (2007)</w:t>
      </w:r>
      <w:r w:rsidRPr="00F84BAD">
        <w:rPr>
          <w:i/>
          <w:iCs/>
          <w:lang w:val="en-AU"/>
        </w:rPr>
        <w:t xml:space="preserve"> Decision-making </w:t>
      </w:r>
      <w:r>
        <w:rPr>
          <w:i/>
          <w:iCs/>
          <w:lang w:val="en-AU"/>
        </w:rPr>
        <w:t>G</w:t>
      </w:r>
      <w:r w:rsidRPr="00F84BAD">
        <w:rPr>
          <w:i/>
          <w:iCs/>
          <w:lang w:val="en-AU"/>
        </w:rPr>
        <w:t>uide: Sport and Recreation Facilities</w:t>
      </w:r>
      <w:r w:rsidRPr="00F84BAD">
        <w:rPr>
          <w:lang w:val="en-AU"/>
        </w:rPr>
        <w:t>. Perth: W</w:t>
      </w:r>
      <w:r>
        <w:rPr>
          <w:lang w:val="en-AU"/>
        </w:rPr>
        <w:t>A Dept of Sport and Recreation.</w:t>
      </w:r>
      <w:r w:rsidRPr="001D40A0">
        <w:rPr>
          <w:lang w:val="en-AU"/>
        </w:rPr>
        <w:t xml:space="preserve"> </w:t>
      </w:r>
    </w:p>
    <w:p w:rsidR="00D529F3" w:rsidRDefault="00D529F3" w:rsidP="0054231D">
      <w:pPr>
        <w:tabs>
          <w:tab w:val="left" w:pos="-1099"/>
          <w:tab w:val="left" w:pos="-720"/>
          <w:tab w:val="left" w:pos="0"/>
          <w:tab w:val="left" w:pos="430"/>
          <w:tab w:val="left" w:pos="884"/>
          <w:tab w:val="left" w:pos="3402"/>
        </w:tabs>
        <w:ind w:left="430" w:hanging="430"/>
        <w:rPr>
          <w:lang w:val="en-AU"/>
        </w:rPr>
      </w:pPr>
      <w:r>
        <w:rPr>
          <w:lang w:val="en-AU"/>
        </w:rPr>
        <w:t xml:space="preserve">Wilkinson, P. F. (1985) The golden fleece: the search for standards. </w:t>
      </w:r>
      <w:r>
        <w:rPr>
          <w:i/>
          <w:iCs/>
          <w:lang w:val="en-AU"/>
        </w:rPr>
        <w:t>Leisure Studies</w:t>
      </w:r>
      <w:r>
        <w:rPr>
          <w:lang w:val="en-AU"/>
        </w:rPr>
        <w:t>, 4(2): 189-204.</w:t>
      </w:r>
    </w:p>
    <w:p w:rsidR="00D529F3" w:rsidRDefault="00D529F3" w:rsidP="0054231D">
      <w:pPr>
        <w:tabs>
          <w:tab w:val="left" w:pos="-1099"/>
          <w:tab w:val="left" w:pos="-720"/>
          <w:tab w:val="left" w:pos="0"/>
          <w:tab w:val="left" w:pos="430"/>
          <w:tab w:val="left" w:pos="884"/>
          <w:tab w:val="left" w:pos="3402"/>
        </w:tabs>
        <w:rPr>
          <w:lang w:val="en-AU"/>
        </w:rPr>
      </w:pPr>
      <w:r>
        <w:rPr>
          <w:lang w:val="en-AU"/>
        </w:rPr>
        <w:t xml:space="preserve">Williams, S. (1995) </w:t>
      </w:r>
      <w:r>
        <w:rPr>
          <w:i/>
          <w:iCs/>
          <w:lang w:val="en-AU"/>
        </w:rPr>
        <w:t>Outdoor Recreation and the Urban Environment</w:t>
      </w:r>
      <w:r>
        <w:rPr>
          <w:lang w:val="en-AU"/>
        </w:rPr>
        <w:t>. London: Routledge.</w:t>
      </w:r>
    </w:p>
    <w:p w:rsidR="00AB1886" w:rsidRDefault="00AB1886" w:rsidP="0054231D">
      <w:pPr>
        <w:tabs>
          <w:tab w:val="left" w:pos="-1099"/>
          <w:tab w:val="left" w:pos="-720"/>
          <w:tab w:val="left" w:pos="0"/>
          <w:tab w:val="left" w:pos="430"/>
          <w:tab w:val="left" w:pos="884"/>
        </w:tabs>
        <w:rPr>
          <w:b/>
          <w:bCs/>
          <w:lang w:val="en-AU"/>
        </w:rPr>
      </w:pPr>
    </w:p>
    <w:p w:rsidR="00D529F3" w:rsidRDefault="00D529F3" w:rsidP="0054231D">
      <w:pPr>
        <w:tabs>
          <w:tab w:val="left" w:pos="-1099"/>
          <w:tab w:val="left" w:pos="-720"/>
          <w:tab w:val="left" w:pos="0"/>
          <w:tab w:val="left" w:pos="430"/>
          <w:tab w:val="left" w:pos="884"/>
        </w:tabs>
        <w:rPr>
          <w:lang w:val="en-AU"/>
        </w:rPr>
      </w:pPr>
      <w:r>
        <w:rPr>
          <w:b/>
          <w:bCs/>
          <w:lang w:val="en-AU"/>
        </w:rPr>
        <w:t>Notes</w:t>
      </w:r>
    </w:p>
    <w:sectPr w:rsidR="00D529F3" w:rsidSect="00D529F3">
      <w:type w:val="continuous"/>
      <w:pgSz w:w="11905" w:h="16837"/>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25" w:rsidRDefault="007A7725" w:rsidP="00D529F3">
      <w:r>
        <w:separator/>
      </w:r>
    </w:p>
  </w:endnote>
  <w:endnote w:type="continuationSeparator" w:id="0">
    <w:p w:rsidR="007A7725" w:rsidRDefault="007A7725" w:rsidP="00D529F3">
      <w:r>
        <w:continuationSeparator/>
      </w:r>
    </w:p>
  </w:endnote>
  <w:endnote w:id="1">
    <w:p w:rsidR="00B31BFD" w:rsidRPr="00230A2A" w:rsidRDefault="00B31BFD">
      <w:pPr>
        <w:spacing w:after="240"/>
        <w:rPr>
          <w:sz w:val="20"/>
          <w:szCs w:val="20"/>
          <w:lang w:val="en-AU"/>
        </w:rPr>
      </w:pPr>
      <w:r>
        <w:rPr>
          <w:rStyle w:val="FootnoteReference"/>
          <w:lang w:val="en-AU"/>
        </w:rPr>
        <w:endnoteRef/>
      </w:r>
      <w:r>
        <w:rPr>
          <w:lang w:val="en-AU"/>
        </w:rPr>
        <w:t xml:space="preserve">. </w:t>
      </w:r>
      <w:r w:rsidRPr="00230A2A">
        <w:rPr>
          <w:sz w:val="20"/>
          <w:szCs w:val="20"/>
          <w:lang w:val="en-AU"/>
        </w:rPr>
        <w:t xml:space="preserve">Until relatively recently, in the UK and Australia, these standards were expressed in terms of acres: 2.4 ha. = 6 acres, 4 ha. = 10 acres and 2.83 ha. = 7 acres. Acres are still used in the USA, but all are converted to hectares here. </w:t>
      </w:r>
    </w:p>
  </w:endnote>
  <w:endnote w:id="2">
    <w:p w:rsidR="00B31BFD" w:rsidRPr="00DF42D2" w:rsidRDefault="00B31BFD">
      <w:pPr>
        <w:pStyle w:val="EndnoteText"/>
        <w:rPr>
          <w:lang w:val="en-AU"/>
        </w:rPr>
      </w:pPr>
      <w:r w:rsidRPr="00F11CDD">
        <w:rPr>
          <w:rStyle w:val="EndnoteReference"/>
          <w:sz w:val="24"/>
          <w:szCs w:val="24"/>
        </w:rPr>
        <w:endnoteRef/>
      </w:r>
      <w:r w:rsidRPr="00F11CDD">
        <w:rPr>
          <w:sz w:val="24"/>
          <w:szCs w:val="24"/>
        </w:rPr>
        <w:t xml:space="preserve"> </w:t>
      </w:r>
      <w:r>
        <w:rPr>
          <w:lang w:val="en-AU"/>
        </w:rPr>
        <w:t>The exception is the Tasmanian guidelines (</w:t>
      </w:r>
      <w:r w:rsidRPr="00F84BAD">
        <w:rPr>
          <w:lang w:val="en-AU"/>
        </w:rPr>
        <w:t>Marriott</w:t>
      </w:r>
      <w:r>
        <w:rPr>
          <w:lang w:val="en-AU"/>
        </w:rPr>
        <w:t xml:space="preserve">, </w:t>
      </w:r>
      <w:r w:rsidRPr="00F84BAD">
        <w:rPr>
          <w:lang w:val="en-AU"/>
        </w:rPr>
        <w:t>2010)</w:t>
      </w:r>
      <w:r>
        <w:rPr>
          <w:lang w:val="en-AU"/>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505"/>
      <w:docPartObj>
        <w:docPartGallery w:val="Page Numbers (Bottom of Page)"/>
        <w:docPartUnique/>
      </w:docPartObj>
    </w:sdtPr>
    <w:sdtEndPr/>
    <w:sdtContent>
      <w:p w:rsidR="00B31BFD" w:rsidRDefault="00B31BFD">
        <w:pPr>
          <w:pStyle w:val="Footer"/>
          <w:jc w:val="center"/>
        </w:pPr>
      </w:p>
      <w:p w:rsidR="00B31BFD" w:rsidRDefault="00B31BFD">
        <w:pPr>
          <w:pStyle w:val="Footer"/>
          <w:jc w:val="center"/>
        </w:pPr>
      </w:p>
      <w:p w:rsidR="00B31BFD" w:rsidRDefault="007A7725">
        <w:pPr>
          <w:pStyle w:val="Footer"/>
          <w:jc w:val="center"/>
        </w:pPr>
        <w:r>
          <w:fldChar w:fldCharType="begin"/>
        </w:r>
        <w:r>
          <w:instrText xml:space="preserve"> PAGE   \* MERGEFORMAT </w:instrText>
        </w:r>
        <w:r>
          <w:fldChar w:fldCharType="separate"/>
        </w:r>
        <w:r w:rsidR="00CC4DEC">
          <w:rPr>
            <w:noProof/>
          </w:rPr>
          <w:t>12</w:t>
        </w:r>
        <w:r>
          <w:rPr>
            <w:noProof/>
          </w:rPr>
          <w:fldChar w:fldCharType="end"/>
        </w:r>
      </w:p>
    </w:sdtContent>
  </w:sdt>
  <w:p w:rsidR="00B31BFD" w:rsidRDefault="00B31B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25" w:rsidRDefault="007A7725" w:rsidP="00D529F3">
      <w:r>
        <w:separator/>
      </w:r>
    </w:p>
  </w:footnote>
  <w:footnote w:type="continuationSeparator" w:id="0">
    <w:p w:rsidR="007A7725" w:rsidRDefault="007A7725" w:rsidP="00D52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223ACE"/>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s"/>
    <w:lvl w:ilvl="0">
      <w:start w:val="1"/>
      <w:numFmt w:val="decimal"/>
      <w:lvlText w:null="1"/>
      <w:lvlJc w:val="left"/>
    </w:lvl>
    <w:lvl w:ilvl="1">
      <w:start w:val="1"/>
      <w:numFmt w:val="decimal"/>
      <w:lvlText w:val="m"/>
      <w:lvlJc w:val="left"/>
    </w:lvl>
    <w:lvl w:ilvl="2">
      <w:start w:val="1"/>
      <w:numFmt w:val="decimal"/>
      <w:lvlText w:val="-"/>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9">
    <w:nsid w:val="117020CE"/>
    <w:multiLevelType w:val="hybridMultilevel"/>
    <w:tmpl w:val="8CE2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F24820"/>
    <w:multiLevelType w:val="hybridMultilevel"/>
    <w:tmpl w:val="51D4C480"/>
    <w:lvl w:ilvl="0" w:tplc="08223ACE">
      <w:numFmt w:val="bullet"/>
      <w:lvlText w:val="•"/>
      <w:legacy w:legacy="1" w:legacySpace="0" w:legacyIndent="430"/>
      <w:lvlJc w:val="left"/>
      <w:pPr>
        <w:ind w:left="430" w:hanging="43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527040"/>
    <w:multiLevelType w:val="hybridMultilevel"/>
    <w:tmpl w:val="F32A32F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E33ACB"/>
    <w:multiLevelType w:val="hybridMultilevel"/>
    <w:tmpl w:val="8BB8B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857674D"/>
    <w:multiLevelType w:val="hybridMultilevel"/>
    <w:tmpl w:val="81565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2937089"/>
    <w:multiLevelType w:val="hybridMultilevel"/>
    <w:tmpl w:val="0002B3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C510CD4"/>
    <w:multiLevelType w:val="hybridMultilevel"/>
    <w:tmpl w:val="84E26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430"/>
        <w:lvlJc w:val="left"/>
        <w:pPr>
          <w:ind w:left="430" w:hanging="430"/>
        </w:pPr>
        <w:rPr>
          <w:rFonts w:ascii="Times New Roman" w:hAnsi="Times New Roman" w:cs="Times New Roman" w:hint="default"/>
        </w:rPr>
      </w:lvl>
    </w:lvlOverride>
  </w:num>
  <w:num w:numId="2">
    <w:abstractNumId w:val="0"/>
    <w:lvlOverride w:ilvl="0">
      <w:lvl w:ilvl="0">
        <w:numFmt w:val="bullet"/>
        <w:lvlText w:val="·"/>
        <w:legacy w:legacy="1" w:legacySpace="0" w:legacyIndent="3890"/>
        <w:lvlJc w:val="left"/>
        <w:pPr>
          <w:ind w:left="4320" w:hanging="3890"/>
        </w:pPr>
        <w:rPr>
          <w:rFonts w:ascii="Times New Roman" w:hAnsi="Times New Roman" w:cs="Times New Roman" w:hint="default"/>
        </w:rPr>
      </w:lvl>
    </w:lvlOverride>
  </w:num>
  <w:num w:numId="3">
    <w:abstractNumId w:val="0"/>
    <w:lvlOverride w:ilvl="0">
      <w:lvl w:ilvl="0">
        <w:numFmt w:val="bullet"/>
        <w:lvlText w:val="·"/>
        <w:legacy w:legacy="1" w:legacySpace="0" w:legacyIndent="454"/>
        <w:lvlJc w:val="left"/>
        <w:pPr>
          <w:ind w:left="884" w:hanging="454"/>
        </w:pPr>
        <w:rPr>
          <w:rFonts w:ascii="Times New Roman" w:hAnsi="Times New Roman" w:cs="Times New Roman" w:hint="default"/>
        </w:rPr>
      </w:lvl>
    </w:lvlOverride>
  </w:num>
  <w:num w:numId="4">
    <w:abstractNumId w:val="0"/>
    <w:lvlOverride w:ilvl="0">
      <w:lvl w:ilvl="0">
        <w:numFmt w:val="bullet"/>
        <w:lvlText w:val="•"/>
        <w:legacy w:legacy="1" w:legacySpace="0" w:legacyIndent="430"/>
        <w:lvlJc w:val="left"/>
        <w:pPr>
          <w:ind w:left="430" w:hanging="430"/>
        </w:pPr>
        <w:rPr>
          <w:rFonts w:ascii="Times New Roman" w:hAnsi="Times New Roman" w:cs="Times New Roman" w:hint="default"/>
        </w:rPr>
      </w:lvl>
    </w:lvlOverride>
  </w:num>
  <w:num w:numId="5">
    <w:abstractNumId w:val="0"/>
    <w:lvlOverride w:ilvl="0">
      <w:lvl w:ilvl="0">
        <w:numFmt w:val="bullet"/>
        <w:lvlText w:val=""/>
        <w:legacy w:legacy="1" w:legacySpace="0" w:legacyIndent="454"/>
        <w:lvlJc w:val="left"/>
        <w:pPr>
          <w:ind w:left="884" w:hanging="454"/>
        </w:pPr>
        <w:rPr>
          <w:rFonts w:ascii="Wingdings" w:hAnsi="Wingdings" w:hint="default"/>
        </w:rPr>
      </w:lvl>
    </w:lvlOverride>
  </w:num>
  <w:num w:numId="6">
    <w:abstractNumId w:val="9"/>
  </w:num>
  <w:num w:numId="7">
    <w:abstractNumId w:val="12"/>
  </w:num>
  <w:num w:numId="8">
    <w:abstractNumId w:val="15"/>
  </w:num>
  <w:num w:numId="9">
    <w:abstractNumId w:val="13"/>
  </w:num>
  <w:num w:numId="10">
    <w:abstractNumId w:val="10"/>
  </w:num>
  <w:num w:numId="11">
    <w:abstractNumId w:val="1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F3"/>
    <w:rsid w:val="00013650"/>
    <w:rsid w:val="00073F28"/>
    <w:rsid w:val="00087826"/>
    <w:rsid w:val="00092C08"/>
    <w:rsid w:val="000B7986"/>
    <w:rsid w:val="000F20EA"/>
    <w:rsid w:val="00107914"/>
    <w:rsid w:val="00143F4F"/>
    <w:rsid w:val="001451EA"/>
    <w:rsid w:val="001614B8"/>
    <w:rsid w:val="001853D2"/>
    <w:rsid w:val="001921CA"/>
    <w:rsid w:val="001B0AF2"/>
    <w:rsid w:val="001D2C97"/>
    <w:rsid w:val="001D7F92"/>
    <w:rsid w:val="001E1DA1"/>
    <w:rsid w:val="002000A8"/>
    <w:rsid w:val="00207A30"/>
    <w:rsid w:val="00212E41"/>
    <w:rsid w:val="00230A2A"/>
    <w:rsid w:val="0026420D"/>
    <w:rsid w:val="002A20B5"/>
    <w:rsid w:val="002C038E"/>
    <w:rsid w:val="00310D18"/>
    <w:rsid w:val="00313ACF"/>
    <w:rsid w:val="00322F12"/>
    <w:rsid w:val="003277B3"/>
    <w:rsid w:val="003344FD"/>
    <w:rsid w:val="0036302F"/>
    <w:rsid w:val="00403E98"/>
    <w:rsid w:val="00442EDA"/>
    <w:rsid w:val="004A4A1C"/>
    <w:rsid w:val="004B29A3"/>
    <w:rsid w:val="004B4F55"/>
    <w:rsid w:val="00514547"/>
    <w:rsid w:val="005258B3"/>
    <w:rsid w:val="00533A4B"/>
    <w:rsid w:val="0054231D"/>
    <w:rsid w:val="00555F11"/>
    <w:rsid w:val="005937E7"/>
    <w:rsid w:val="005A522F"/>
    <w:rsid w:val="00610358"/>
    <w:rsid w:val="00623520"/>
    <w:rsid w:val="00623EB9"/>
    <w:rsid w:val="00633B06"/>
    <w:rsid w:val="0064130D"/>
    <w:rsid w:val="00662D17"/>
    <w:rsid w:val="006F0AB4"/>
    <w:rsid w:val="007174BD"/>
    <w:rsid w:val="0073269B"/>
    <w:rsid w:val="00735D6B"/>
    <w:rsid w:val="00737A97"/>
    <w:rsid w:val="00750230"/>
    <w:rsid w:val="007A5D83"/>
    <w:rsid w:val="007A7725"/>
    <w:rsid w:val="007B6337"/>
    <w:rsid w:val="007D4E66"/>
    <w:rsid w:val="007D4EA6"/>
    <w:rsid w:val="008004EE"/>
    <w:rsid w:val="008117CB"/>
    <w:rsid w:val="0086343E"/>
    <w:rsid w:val="008B78F3"/>
    <w:rsid w:val="008C4829"/>
    <w:rsid w:val="008E67FD"/>
    <w:rsid w:val="009016AE"/>
    <w:rsid w:val="0091538F"/>
    <w:rsid w:val="0094104B"/>
    <w:rsid w:val="009667BB"/>
    <w:rsid w:val="009D3E1E"/>
    <w:rsid w:val="009E335F"/>
    <w:rsid w:val="00A01FF8"/>
    <w:rsid w:val="00A33618"/>
    <w:rsid w:val="00A443E3"/>
    <w:rsid w:val="00A85278"/>
    <w:rsid w:val="00A85A49"/>
    <w:rsid w:val="00AB1886"/>
    <w:rsid w:val="00B31BFD"/>
    <w:rsid w:val="00B50DBB"/>
    <w:rsid w:val="00B65B7F"/>
    <w:rsid w:val="00B75976"/>
    <w:rsid w:val="00B75A71"/>
    <w:rsid w:val="00BD76B9"/>
    <w:rsid w:val="00BE0057"/>
    <w:rsid w:val="00C06270"/>
    <w:rsid w:val="00C20F72"/>
    <w:rsid w:val="00C43EC9"/>
    <w:rsid w:val="00C8781B"/>
    <w:rsid w:val="00CA0BA4"/>
    <w:rsid w:val="00CC4DEC"/>
    <w:rsid w:val="00D11A74"/>
    <w:rsid w:val="00D27855"/>
    <w:rsid w:val="00D42FFA"/>
    <w:rsid w:val="00D529F3"/>
    <w:rsid w:val="00D63E2E"/>
    <w:rsid w:val="00D65E46"/>
    <w:rsid w:val="00D73DCA"/>
    <w:rsid w:val="00D94DD1"/>
    <w:rsid w:val="00DC3E4F"/>
    <w:rsid w:val="00DD36A5"/>
    <w:rsid w:val="00DF42D2"/>
    <w:rsid w:val="00DF56C1"/>
    <w:rsid w:val="00E5698E"/>
    <w:rsid w:val="00E60336"/>
    <w:rsid w:val="00E63919"/>
    <w:rsid w:val="00E66D69"/>
    <w:rsid w:val="00E83BA1"/>
    <w:rsid w:val="00E959E4"/>
    <w:rsid w:val="00EB49D7"/>
    <w:rsid w:val="00EC455B"/>
    <w:rsid w:val="00F11CDD"/>
    <w:rsid w:val="00F26E6A"/>
    <w:rsid w:val="00F52ABA"/>
    <w:rsid w:val="00F60FE1"/>
    <w:rsid w:val="00FA0C0E"/>
    <w:rsid w:val="00FB53A2"/>
    <w:rsid w:val="00FF4874"/>
    <w:rsid w:val="00FF5D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CB"/>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117CB"/>
  </w:style>
  <w:style w:type="paragraph" w:customStyle="1" w:styleId="Level1">
    <w:name w:val="Level 1"/>
    <w:basedOn w:val="Normal"/>
    <w:uiPriority w:val="99"/>
    <w:rsid w:val="008117CB"/>
    <w:pPr>
      <w:ind w:left="430" w:hanging="430"/>
    </w:pPr>
  </w:style>
  <w:style w:type="paragraph" w:customStyle="1" w:styleId="Level2">
    <w:name w:val="Level 2"/>
    <w:basedOn w:val="Normal"/>
    <w:uiPriority w:val="99"/>
    <w:rsid w:val="008117CB"/>
    <w:pPr>
      <w:ind w:left="884" w:hanging="454"/>
    </w:pPr>
  </w:style>
  <w:style w:type="paragraph" w:styleId="EndnoteText">
    <w:name w:val="endnote text"/>
    <w:basedOn w:val="Normal"/>
    <w:link w:val="EndnoteTextChar"/>
    <w:uiPriority w:val="99"/>
    <w:semiHidden/>
    <w:unhideWhenUsed/>
    <w:rsid w:val="00DF42D2"/>
    <w:rPr>
      <w:sz w:val="20"/>
      <w:szCs w:val="20"/>
    </w:rPr>
  </w:style>
  <w:style w:type="character" w:customStyle="1" w:styleId="EndnoteTextChar">
    <w:name w:val="Endnote Text Char"/>
    <w:basedOn w:val="DefaultParagraphFont"/>
    <w:link w:val="EndnoteText"/>
    <w:uiPriority w:val="99"/>
    <w:semiHidden/>
    <w:rsid w:val="00DF42D2"/>
    <w:rPr>
      <w:rFonts w:ascii="Times New Roman" w:hAnsi="Times New Roman" w:cs="Times New Roman"/>
      <w:sz w:val="20"/>
      <w:szCs w:val="20"/>
      <w:lang w:val="en-US"/>
    </w:rPr>
  </w:style>
  <w:style w:type="character" w:styleId="EndnoteReference">
    <w:name w:val="endnote reference"/>
    <w:basedOn w:val="DefaultParagraphFont"/>
    <w:uiPriority w:val="99"/>
    <w:semiHidden/>
    <w:unhideWhenUsed/>
    <w:rsid w:val="00DF42D2"/>
    <w:rPr>
      <w:vertAlign w:val="superscript"/>
    </w:rPr>
  </w:style>
  <w:style w:type="paragraph" w:styleId="ListParagraph">
    <w:name w:val="List Paragraph"/>
    <w:basedOn w:val="Normal"/>
    <w:uiPriority w:val="34"/>
    <w:qFormat/>
    <w:rsid w:val="007174BD"/>
    <w:pPr>
      <w:ind w:left="720"/>
      <w:contextualSpacing/>
    </w:pPr>
  </w:style>
  <w:style w:type="paragraph" w:styleId="Header">
    <w:name w:val="header"/>
    <w:basedOn w:val="Normal"/>
    <w:link w:val="HeaderChar"/>
    <w:uiPriority w:val="99"/>
    <w:semiHidden/>
    <w:unhideWhenUsed/>
    <w:rsid w:val="002000A8"/>
    <w:pPr>
      <w:tabs>
        <w:tab w:val="center" w:pos="4513"/>
        <w:tab w:val="right" w:pos="9026"/>
      </w:tabs>
    </w:pPr>
  </w:style>
  <w:style w:type="character" w:customStyle="1" w:styleId="HeaderChar">
    <w:name w:val="Header Char"/>
    <w:basedOn w:val="DefaultParagraphFont"/>
    <w:link w:val="Header"/>
    <w:uiPriority w:val="99"/>
    <w:semiHidden/>
    <w:rsid w:val="002000A8"/>
    <w:rPr>
      <w:rFonts w:ascii="Times New Roman" w:hAnsi="Times New Roman" w:cs="Times New Roman"/>
      <w:sz w:val="24"/>
      <w:szCs w:val="24"/>
      <w:lang w:val="en-US"/>
    </w:rPr>
  </w:style>
  <w:style w:type="paragraph" w:styleId="Footer">
    <w:name w:val="footer"/>
    <w:basedOn w:val="Normal"/>
    <w:link w:val="FooterChar"/>
    <w:uiPriority w:val="99"/>
    <w:unhideWhenUsed/>
    <w:rsid w:val="002000A8"/>
    <w:pPr>
      <w:tabs>
        <w:tab w:val="center" w:pos="4513"/>
        <w:tab w:val="right" w:pos="9026"/>
      </w:tabs>
    </w:pPr>
  </w:style>
  <w:style w:type="character" w:customStyle="1" w:styleId="FooterChar">
    <w:name w:val="Footer Char"/>
    <w:basedOn w:val="DefaultParagraphFont"/>
    <w:link w:val="Footer"/>
    <w:uiPriority w:val="99"/>
    <w:rsid w:val="002000A8"/>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E41"/>
    <w:rPr>
      <w:sz w:val="16"/>
      <w:szCs w:val="16"/>
    </w:rPr>
  </w:style>
  <w:style w:type="paragraph" w:styleId="CommentText">
    <w:name w:val="annotation text"/>
    <w:basedOn w:val="Normal"/>
    <w:link w:val="CommentTextChar"/>
    <w:uiPriority w:val="99"/>
    <w:semiHidden/>
    <w:unhideWhenUsed/>
    <w:rsid w:val="00212E41"/>
    <w:rPr>
      <w:sz w:val="20"/>
      <w:szCs w:val="20"/>
    </w:rPr>
  </w:style>
  <w:style w:type="character" w:customStyle="1" w:styleId="CommentTextChar">
    <w:name w:val="Comment Text Char"/>
    <w:basedOn w:val="DefaultParagraphFont"/>
    <w:link w:val="CommentText"/>
    <w:uiPriority w:val="99"/>
    <w:semiHidden/>
    <w:rsid w:val="00212E41"/>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E41"/>
    <w:rPr>
      <w:b/>
      <w:bCs/>
    </w:rPr>
  </w:style>
  <w:style w:type="character" w:customStyle="1" w:styleId="CommentSubjectChar">
    <w:name w:val="Comment Subject Char"/>
    <w:basedOn w:val="CommentTextChar"/>
    <w:link w:val="CommentSubject"/>
    <w:uiPriority w:val="99"/>
    <w:semiHidden/>
    <w:rsid w:val="00212E41"/>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E41"/>
    <w:rPr>
      <w:rFonts w:ascii="Tahoma" w:hAnsi="Tahoma" w:cs="Tahoma"/>
      <w:sz w:val="16"/>
      <w:szCs w:val="16"/>
    </w:rPr>
  </w:style>
  <w:style w:type="character" w:customStyle="1" w:styleId="BalloonTextChar">
    <w:name w:val="Balloon Text Char"/>
    <w:basedOn w:val="DefaultParagraphFont"/>
    <w:link w:val="BalloonText"/>
    <w:uiPriority w:val="99"/>
    <w:semiHidden/>
    <w:rsid w:val="00212E4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CB"/>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117CB"/>
  </w:style>
  <w:style w:type="paragraph" w:customStyle="1" w:styleId="Level1">
    <w:name w:val="Level 1"/>
    <w:basedOn w:val="Normal"/>
    <w:uiPriority w:val="99"/>
    <w:rsid w:val="008117CB"/>
    <w:pPr>
      <w:ind w:left="430" w:hanging="430"/>
    </w:pPr>
  </w:style>
  <w:style w:type="paragraph" w:customStyle="1" w:styleId="Level2">
    <w:name w:val="Level 2"/>
    <w:basedOn w:val="Normal"/>
    <w:uiPriority w:val="99"/>
    <w:rsid w:val="008117CB"/>
    <w:pPr>
      <w:ind w:left="884" w:hanging="454"/>
    </w:pPr>
  </w:style>
  <w:style w:type="paragraph" w:styleId="EndnoteText">
    <w:name w:val="endnote text"/>
    <w:basedOn w:val="Normal"/>
    <w:link w:val="EndnoteTextChar"/>
    <w:uiPriority w:val="99"/>
    <w:semiHidden/>
    <w:unhideWhenUsed/>
    <w:rsid w:val="00DF42D2"/>
    <w:rPr>
      <w:sz w:val="20"/>
      <w:szCs w:val="20"/>
    </w:rPr>
  </w:style>
  <w:style w:type="character" w:customStyle="1" w:styleId="EndnoteTextChar">
    <w:name w:val="Endnote Text Char"/>
    <w:basedOn w:val="DefaultParagraphFont"/>
    <w:link w:val="EndnoteText"/>
    <w:uiPriority w:val="99"/>
    <w:semiHidden/>
    <w:rsid w:val="00DF42D2"/>
    <w:rPr>
      <w:rFonts w:ascii="Times New Roman" w:hAnsi="Times New Roman" w:cs="Times New Roman"/>
      <w:sz w:val="20"/>
      <w:szCs w:val="20"/>
      <w:lang w:val="en-US"/>
    </w:rPr>
  </w:style>
  <w:style w:type="character" w:styleId="EndnoteReference">
    <w:name w:val="endnote reference"/>
    <w:basedOn w:val="DefaultParagraphFont"/>
    <w:uiPriority w:val="99"/>
    <w:semiHidden/>
    <w:unhideWhenUsed/>
    <w:rsid w:val="00DF42D2"/>
    <w:rPr>
      <w:vertAlign w:val="superscript"/>
    </w:rPr>
  </w:style>
  <w:style w:type="paragraph" w:styleId="ListParagraph">
    <w:name w:val="List Paragraph"/>
    <w:basedOn w:val="Normal"/>
    <w:uiPriority w:val="34"/>
    <w:qFormat/>
    <w:rsid w:val="007174BD"/>
    <w:pPr>
      <w:ind w:left="720"/>
      <w:contextualSpacing/>
    </w:pPr>
  </w:style>
  <w:style w:type="paragraph" w:styleId="Header">
    <w:name w:val="header"/>
    <w:basedOn w:val="Normal"/>
    <w:link w:val="HeaderChar"/>
    <w:uiPriority w:val="99"/>
    <w:semiHidden/>
    <w:unhideWhenUsed/>
    <w:rsid w:val="002000A8"/>
    <w:pPr>
      <w:tabs>
        <w:tab w:val="center" w:pos="4513"/>
        <w:tab w:val="right" w:pos="9026"/>
      </w:tabs>
    </w:pPr>
  </w:style>
  <w:style w:type="character" w:customStyle="1" w:styleId="HeaderChar">
    <w:name w:val="Header Char"/>
    <w:basedOn w:val="DefaultParagraphFont"/>
    <w:link w:val="Header"/>
    <w:uiPriority w:val="99"/>
    <w:semiHidden/>
    <w:rsid w:val="002000A8"/>
    <w:rPr>
      <w:rFonts w:ascii="Times New Roman" w:hAnsi="Times New Roman" w:cs="Times New Roman"/>
      <w:sz w:val="24"/>
      <w:szCs w:val="24"/>
      <w:lang w:val="en-US"/>
    </w:rPr>
  </w:style>
  <w:style w:type="paragraph" w:styleId="Footer">
    <w:name w:val="footer"/>
    <w:basedOn w:val="Normal"/>
    <w:link w:val="FooterChar"/>
    <w:uiPriority w:val="99"/>
    <w:unhideWhenUsed/>
    <w:rsid w:val="002000A8"/>
    <w:pPr>
      <w:tabs>
        <w:tab w:val="center" w:pos="4513"/>
        <w:tab w:val="right" w:pos="9026"/>
      </w:tabs>
    </w:pPr>
  </w:style>
  <w:style w:type="character" w:customStyle="1" w:styleId="FooterChar">
    <w:name w:val="Footer Char"/>
    <w:basedOn w:val="DefaultParagraphFont"/>
    <w:link w:val="Footer"/>
    <w:uiPriority w:val="99"/>
    <w:rsid w:val="002000A8"/>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E41"/>
    <w:rPr>
      <w:sz w:val="16"/>
      <w:szCs w:val="16"/>
    </w:rPr>
  </w:style>
  <w:style w:type="paragraph" w:styleId="CommentText">
    <w:name w:val="annotation text"/>
    <w:basedOn w:val="Normal"/>
    <w:link w:val="CommentTextChar"/>
    <w:uiPriority w:val="99"/>
    <w:semiHidden/>
    <w:unhideWhenUsed/>
    <w:rsid w:val="00212E41"/>
    <w:rPr>
      <w:sz w:val="20"/>
      <w:szCs w:val="20"/>
    </w:rPr>
  </w:style>
  <w:style w:type="character" w:customStyle="1" w:styleId="CommentTextChar">
    <w:name w:val="Comment Text Char"/>
    <w:basedOn w:val="DefaultParagraphFont"/>
    <w:link w:val="CommentText"/>
    <w:uiPriority w:val="99"/>
    <w:semiHidden/>
    <w:rsid w:val="00212E41"/>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E41"/>
    <w:rPr>
      <w:b/>
      <w:bCs/>
    </w:rPr>
  </w:style>
  <w:style w:type="character" w:customStyle="1" w:styleId="CommentSubjectChar">
    <w:name w:val="Comment Subject Char"/>
    <w:basedOn w:val="CommentTextChar"/>
    <w:link w:val="CommentSubject"/>
    <w:uiPriority w:val="99"/>
    <w:semiHidden/>
    <w:rsid w:val="00212E41"/>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E41"/>
    <w:rPr>
      <w:rFonts w:ascii="Tahoma" w:hAnsi="Tahoma" w:cs="Tahoma"/>
      <w:sz w:val="16"/>
      <w:szCs w:val="16"/>
    </w:rPr>
  </w:style>
  <w:style w:type="character" w:customStyle="1" w:styleId="BalloonTextChar">
    <w:name w:val="Balloon Text Char"/>
    <w:basedOn w:val="DefaultParagraphFont"/>
    <w:link w:val="BalloonText"/>
    <w:uiPriority w:val="99"/>
    <w:semiHidden/>
    <w:rsid w:val="00212E4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5872</Words>
  <Characters>33474</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TonyV</dc:creator>
  <cp:lastModifiedBy>Wendy Liu</cp:lastModifiedBy>
  <cp:revision>2</cp:revision>
  <dcterms:created xsi:type="dcterms:W3CDTF">2016-03-01T04:07:00Z</dcterms:created>
  <dcterms:modified xsi:type="dcterms:W3CDTF">2016-03-01T04:07:00Z</dcterms:modified>
</cp:coreProperties>
</file>