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74" w:rsidRPr="00371A17" w:rsidRDefault="00616874" w:rsidP="00616874">
      <w:pPr>
        <w:spacing w:after="0" w:line="240" w:lineRule="auto"/>
        <w:jc w:val="center"/>
        <w:rPr>
          <w:rFonts w:ascii="Times New Roman" w:hAnsi="Times New Roman" w:cs="Times New Roman"/>
          <w:sz w:val="28"/>
          <w:szCs w:val="28"/>
        </w:rPr>
      </w:pPr>
      <w:r w:rsidRPr="00371A17">
        <w:rPr>
          <w:rFonts w:ascii="Times New Roman" w:hAnsi="Times New Roman" w:cs="Times New Roman"/>
          <w:sz w:val="28"/>
          <w:szCs w:val="28"/>
        </w:rPr>
        <w:t>INVESTIGATING SOLUTIONS TO THE AFFORDABLE HOUSING SUPPLY CHALLENGES IN SYDNEY: TWO ALTERNATIVE TYPOLOGIES</w:t>
      </w:r>
    </w:p>
    <w:p w:rsidR="00616874" w:rsidRPr="00371A17" w:rsidRDefault="00616874" w:rsidP="00616874">
      <w:pPr>
        <w:pStyle w:val="Authors"/>
      </w:pPr>
      <w:r w:rsidRPr="00371A17">
        <w:t>PERNILLE CHRISTENSEN</w:t>
      </w:r>
      <w:r w:rsidRPr="00371A17">
        <w:rPr>
          <w:rStyle w:val="FootnoteReference"/>
        </w:rPr>
        <w:footnoteReference w:id="1"/>
      </w:r>
    </w:p>
    <w:p w:rsidR="00616874" w:rsidRPr="00371A17" w:rsidRDefault="00616874" w:rsidP="00616874">
      <w:pPr>
        <w:pStyle w:val="Authors"/>
      </w:pPr>
      <w:r w:rsidRPr="00371A17">
        <w:t>University of Technology Sydney</w:t>
      </w:r>
    </w:p>
    <w:p w:rsidR="00520E52" w:rsidRPr="00371A17" w:rsidRDefault="00520E52" w:rsidP="00520E52">
      <w:pPr>
        <w:spacing w:after="0" w:line="240" w:lineRule="auto"/>
        <w:jc w:val="center"/>
        <w:rPr>
          <w:rFonts w:ascii="Arial" w:hAnsi="Arial" w:cs="Arial"/>
          <w:b/>
          <w:sz w:val="28"/>
          <w:szCs w:val="28"/>
        </w:rPr>
      </w:pPr>
    </w:p>
    <w:p w:rsidR="00520E52" w:rsidRPr="00371A17" w:rsidRDefault="00520E52" w:rsidP="00520E52">
      <w:pPr>
        <w:spacing w:after="0" w:line="240" w:lineRule="auto"/>
        <w:jc w:val="center"/>
        <w:rPr>
          <w:rFonts w:ascii="Arial" w:hAnsi="Arial" w:cs="Arial"/>
          <w:sz w:val="20"/>
          <w:szCs w:val="20"/>
        </w:rPr>
      </w:pPr>
    </w:p>
    <w:p w:rsidR="00520E52" w:rsidRPr="00371A17" w:rsidRDefault="00EC16A4" w:rsidP="00F654D9">
      <w:pPr>
        <w:spacing w:after="0" w:line="240" w:lineRule="auto"/>
        <w:jc w:val="both"/>
        <w:rPr>
          <w:rFonts w:ascii="Times New Roman" w:hAnsi="Times New Roman" w:cs="Times New Roman"/>
        </w:rPr>
      </w:pPr>
      <w:r w:rsidRPr="00371A17">
        <w:rPr>
          <w:rFonts w:ascii="Times New Roman" w:hAnsi="Times New Roman" w:cs="Times New Roman"/>
          <w:b/>
          <w:sz w:val="24"/>
          <w:szCs w:val="24"/>
        </w:rPr>
        <w:t>Abstract</w:t>
      </w:r>
    </w:p>
    <w:p w:rsidR="00C24C5F" w:rsidRPr="00371A17" w:rsidRDefault="00C24C5F" w:rsidP="00C24C5F">
      <w:pPr>
        <w:spacing w:after="0" w:line="240" w:lineRule="auto"/>
        <w:jc w:val="both"/>
        <w:rPr>
          <w:rFonts w:ascii="Times New Roman" w:hAnsi="Times New Roman" w:cs="Times New Roman"/>
        </w:rPr>
      </w:pPr>
      <w:r w:rsidRPr="00371A17">
        <w:rPr>
          <w:rFonts w:ascii="Times New Roman" w:hAnsi="Times New Roman" w:cs="Times New Roman"/>
          <w:b/>
        </w:rPr>
        <w:t>Problem/Purpose:</w:t>
      </w:r>
      <w:r w:rsidRPr="00371A17">
        <w:rPr>
          <w:rFonts w:ascii="Times New Roman" w:hAnsi="Times New Roman" w:cs="Times New Roman"/>
        </w:rPr>
        <w:t xml:space="preserve"> Affordable housing is a growing challenge for global cities as urbanisation of our global population continues to increase. The City of Sydney</w:t>
      </w:r>
      <w:r w:rsidR="00371A17">
        <w:rPr>
          <w:rFonts w:ascii="Times New Roman" w:hAnsi="Times New Roman" w:cs="Times New Roman"/>
        </w:rPr>
        <w:t>(CoS)</w:t>
      </w:r>
      <w:r w:rsidRPr="00371A17">
        <w:rPr>
          <w:rFonts w:ascii="Times New Roman" w:hAnsi="Times New Roman" w:cs="Times New Roman"/>
        </w:rPr>
        <w:t xml:space="preserve"> has acknowledged this challenge in their Community Strategic Plan (2014), which in Target 4 states that “7.5% of all city housing … will be affordable housing, delivered by not-for-profit or other providers.” However, CoS planners also acknowledge that a key challenge of meeting this target is that they do not control the development of the product. This research offers a new way of thinking about the affordable housing typology as well as insights into how third party providers can be engaged to provide these alternative affordable housing solutions. </w:t>
      </w:r>
    </w:p>
    <w:p w:rsidR="00C24C5F" w:rsidRPr="00371A17" w:rsidRDefault="00C24C5F" w:rsidP="00C24C5F">
      <w:pPr>
        <w:spacing w:after="0" w:line="240" w:lineRule="auto"/>
        <w:jc w:val="both"/>
        <w:rPr>
          <w:rFonts w:ascii="Times New Roman" w:hAnsi="Times New Roman" w:cs="Times New Roman"/>
          <w:b/>
        </w:rPr>
      </w:pPr>
    </w:p>
    <w:p w:rsidR="00C24C5F" w:rsidRPr="00371A17" w:rsidRDefault="00C24C5F" w:rsidP="00C24C5F">
      <w:pPr>
        <w:spacing w:after="0" w:line="240" w:lineRule="auto"/>
        <w:jc w:val="both"/>
        <w:rPr>
          <w:rFonts w:ascii="Times New Roman" w:hAnsi="Times New Roman" w:cs="Times New Roman"/>
        </w:rPr>
      </w:pPr>
      <w:r w:rsidRPr="00371A17">
        <w:rPr>
          <w:rFonts w:ascii="Times New Roman" w:hAnsi="Times New Roman" w:cs="Times New Roman"/>
          <w:b/>
        </w:rPr>
        <w:t>Design/methodology:</w:t>
      </w:r>
      <w:r w:rsidRPr="00371A17">
        <w:rPr>
          <w:rFonts w:ascii="Times New Roman" w:hAnsi="Times New Roman" w:cs="Times New Roman"/>
        </w:rPr>
        <w:t xml:space="preserve"> A </w:t>
      </w:r>
      <w:r w:rsidR="005D23BE" w:rsidRPr="00371A17">
        <w:rPr>
          <w:rFonts w:ascii="Times New Roman" w:hAnsi="Times New Roman" w:cs="Times New Roman"/>
        </w:rPr>
        <w:t xml:space="preserve">desktop study </w:t>
      </w:r>
      <w:r w:rsidRPr="00371A17">
        <w:rPr>
          <w:rFonts w:ascii="Times New Roman" w:hAnsi="Times New Roman" w:cs="Times New Roman"/>
        </w:rPr>
        <w:t>was used to investigate alternative affordable housing typologies developed/implemented in other global cities as strategies to increase their affordable housing supply.</w:t>
      </w:r>
      <w:r w:rsidR="005D23BE" w:rsidRPr="00371A17">
        <w:rPr>
          <w:rFonts w:ascii="Times New Roman" w:hAnsi="Times New Roman" w:cs="Times New Roman"/>
        </w:rPr>
        <w:t xml:space="preserve">  Case examples are presented to demonstrate the effectiveness of the alternative typologies presented.</w:t>
      </w:r>
      <w:r w:rsidRPr="00371A17">
        <w:rPr>
          <w:rFonts w:ascii="Times New Roman" w:hAnsi="Times New Roman" w:cs="Times New Roman"/>
        </w:rPr>
        <w:t xml:space="preserve"> </w:t>
      </w:r>
    </w:p>
    <w:p w:rsidR="005D23BE" w:rsidRPr="00371A17" w:rsidRDefault="005D23BE" w:rsidP="00C24C5F">
      <w:pPr>
        <w:spacing w:after="0" w:line="240" w:lineRule="auto"/>
        <w:jc w:val="both"/>
        <w:rPr>
          <w:rFonts w:ascii="Times New Roman" w:hAnsi="Times New Roman" w:cs="Times New Roman"/>
        </w:rPr>
      </w:pPr>
    </w:p>
    <w:p w:rsidR="00C24C5F" w:rsidRPr="00371A17" w:rsidRDefault="00C24C5F" w:rsidP="00C24C5F">
      <w:pPr>
        <w:spacing w:after="0" w:line="240" w:lineRule="auto"/>
        <w:jc w:val="both"/>
        <w:rPr>
          <w:rFonts w:ascii="Times New Roman" w:hAnsi="Times New Roman" w:cs="Times New Roman"/>
        </w:rPr>
      </w:pPr>
      <w:r w:rsidRPr="00371A17">
        <w:rPr>
          <w:rFonts w:ascii="Times New Roman" w:hAnsi="Times New Roman" w:cs="Times New Roman"/>
          <w:b/>
        </w:rPr>
        <w:t>Findings:</w:t>
      </w:r>
      <w:r w:rsidRPr="00371A17">
        <w:rPr>
          <w:rFonts w:ascii="Times New Roman" w:hAnsi="Times New Roman" w:cs="Times New Roman"/>
        </w:rPr>
        <w:t xml:space="preserve"> In contrast to programs currently utilised in Sydney - which predominately create housing of a single type, in a single location with only one ownership model - the strategies </w:t>
      </w:r>
      <w:r w:rsidR="005D23BE" w:rsidRPr="00371A17">
        <w:rPr>
          <w:rFonts w:ascii="Times New Roman" w:hAnsi="Times New Roman" w:cs="Times New Roman"/>
        </w:rPr>
        <w:t xml:space="preserve">presented </w:t>
      </w:r>
      <w:r w:rsidRPr="00371A17">
        <w:rPr>
          <w:rFonts w:ascii="Times New Roman" w:hAnsi="Times New Roman" w:cs="Times New Roman"/>
        </w:rPr>
        <w:t>create a diversity of housing typ</w:t>
      </w:r>
      <w:r w:rsidR="005D23BE" w:rsidRPr="00371A17">
        <w:rPr>
          <w:rFonts w:ascii="Times New Roman" w:hAnsi="Times New Roman" w:cs="Times New Roman"/>
        </w:rPr>
        <w:t>e, location and ownership. M</w:t>
      </w:r>
      <w:r w:rsidRPr="00371A17">
        <w:rPr>
          <w:rFonts w:ascii="Times New Roman" w:hAnsi="Times New Roman" w:cs="Times New Roman"/>
        </w:rPr>
        <w:t>icro-unit</w:t>
      </w:r>
      <w:r w:rsidR="005D23BE" w:rsidRPr="00371A17">
        <w:rPr>
          <w:rFonts w:ascii="Times New Roman" w:hAnsi="Times New Roman" w:cs="Times New Roman"/>
        </w:rPr>
        <w:t>s and accessory dwelling units (ADUs) are explained, barriers are discussed, and a case example demonstrates their impact on the housing supply.</w:t>
      </w:r>
      <w:r w:rsidRPr="00371A17">
        <w:rPr>
          <w:rFonts w:ascii="Times New Roman" w:hAnsi="Times New Roman" w:cs="Times New Roman"/>
        </w:rPr>
        <w:t xml:space="preserve"> </w:t>
      </w:r>
    </w:p>
    <w:p w:rsidR="00C24C5F" w:rsidRPr="00371A17" w:rsidRDefault="00C24C5F" w:rsidP="00C24C5F">
      <w:pPr>
        <w:spacing w:after="0" w:line="240" w:lineRule="auto"/>
        <w:jc w:val="both"/>
        <w:rPr>
          <w:rFonts w:ascii="Times New Roman" w:hAnsi="Times New Roman" w:cs="Times New Roman"/>
          <w:b/>
        </w:rPr>
      </w:pPr>
    </w:p>
    <w:p w:rsidR="00C24C5F" w:rsidRPr="00371A17" w:rsidRDefault="00C24C5F" w:rsidP="00C24C5F">
      <w:pPr>
        <w:spacing w:after="0" w:line="240" w:lineRule="auto"/>
        <w:jc w:val="both"/>
        <w:rPr>
          <w:rFonts w:ascii="Times New Roman" w:hAnsi="Times New Roman" w:cs="Times New Roman"/>
        </w:rPr>
      </w:pPr>
      <w:r w:rsidRPr="00371A17">
        <w:rPr>
          <w:rFonts w:ascii="Times New Roman" w:hAnsi="Times New Roman" w:cs="Times New Roman"/>
          <w:b/>
        </w:rPr>
        <w:t>Originality/value:</w:t>
      </w:r>
      <w:r w:rsidRPr="00371A17">
        <w:rPr>
          <w:rFonts w:ascii="Times New Roman" w:hAnsi="Times New Roman" w:cs="Times New Roman"/>
        </w:rPr>
        <w:t xml:space="preserve"> The case study cities investigated in this study have similar political challenges to the CoS, but have developed and implemented creative solutions with third party providers. Their solutions may assist the City of Sydney, as well as other Australian cities, in developing creative, alternative strategies to help achieve their affordable housing targets. </w:t>
      </w:r>
    </w:p>
    <w:p w:rsidR="00C24C5F" w:rsidRPr="00371A17" w:rsidRDefault="00C24C5F" w:rsidP="00C24C5F">
      <w:pPr>
        <w:spacing w:after="0" w:line="240" w:lineRule="auto"/>
        <w:jc w:val="both"/>
        <w:rPr>
          <w:rFonts w:ascii="Times New Roman" w:hAnsi="Times New Roman" w:cs="Times New Roman"/>
          <w:b/>
        </w:rPr>
      </w:pPr>
    </w:p>
    <w:p w:rsidR="00C24C5F" w:rsidRPr="00371A17" w:rsidRDefault="00C24C5F" w:rsidP="00C24C5F">
      <w:pPr>
        <w:spacing w:after="0" w:line="240" w:lineRule="auto"/>
        <w:jc w:val="both"/>
        <w:rPr>
          <w:rFonts w:ascii="Times New Roman" w:hAnsi="Times New Roman" w:cs="Times New Roman"/>
        </w:rPr>
      </w:pPr>
      <w:r w:rsidRPr="00371A17">
        <w:rPr>
          <w:rFonts w:ascii="Times New Roman" w:hAnsi="Times New Roman" w:cs="Times New Roman"/>
          <w:b/>
        </w:rPr>
        <w:t>Keywords:</w:t>
      </w:r>
      <w:r w:rsidRPr="00371A17">
        <w:rPr>
          <w:rFonts w:ascii="Times New Roman" w:hAnsi="Times New Roman" w:cs="Times New Roman"/>
        </w:rPr>
        <w:t xml:space="preserve"> micro</w:t>
      </w:r>
      <w:r w:rsidR="00371A17">
        <w:rPr>
          <w:rFonts w:ascii="Times New Roman" w:hAnsi="Times New Roman" w:cs="Times New Roman"/>
        </w:rPr>
        <w:t>-</w:t>
      </w:r>
      <w:r w:rsidRPr="00371A17">
        <w:rPr>
          <w:rFonts w:ascii="Times New Roman" w:hAnsi="Times New Roman" w:cs="Times New Roman"/>
        </w:rPr>
        <w:t xml:space="preserve">unit, accessory dwelling unit, </w:t>
      </w:r>
      <w:r w:rsidR="002E3F15" w:rsidRPr="00371A17">
        <w:rPr>
          <w:rFonts w:ascii="Times New Roman" w:hAnsi="Times New Roman" w:cs="Times New Roman"/>
        </w:rPr>
        <w:t>ADU, secondary suite; laneway housing, social sustainability</w:t>
      </w:r>
    </w:p>
    <w:p w:rsidR="00C24C5F" w:rsidRPr="00371A17" w:rsidRDefault="00C24C5F" w:rsidP="00C24C5F">
      <w:pPr>
        <w:spacing w:after="0" w:line="240" w:lineRule="auto"/>
        <w:jc w:val="both"/>
        <w:rPr>
          <w:rFonts w:ascii="Times New Roman" w:hAnsi="Times New Roman" w:cs="Times New Roman"/>
          <w:b/>
          <w:bCs/>
        </w:rPr>
      </w:pPr>
    </w:p>
    <w:p w:rsidR="00EC16A4" w:rsidRPr="00371A17" w:rsidRDefault="00EC16A4" w:rsidP="00C24C5F">
      <w:pPr>
        <w:spacing w:after="0" w:line="240" w:lineRule="auto"/>
        <w:jc w:val="both"/>
        <w:rPr>
          <w:rFonts w:ascii="Times New Roman" w:hAnsi="Times New Roman" w:cs="Times New Roman"/>
          <w:b/>
          <w:bCs/>
        </w:rPr>
      </w:pPr>
    </w:p>
    <w:p w:rsidR="00520E52" w:rsidRPr="00371A17" w:rsidRDefault="00520E52" w:rsidP="00F654D9">
      <w:pPr>
        <w:spacing w:after="0" w:line="240" w:lineRule="auto"/>
        <w:jc w:val="both"/>
        <w:rPr>
          <w:rFonts w:ascii="Times New Roman" w:hAnsi="Times New Roman" w:cs="Times New Roman"/>
          <w:b/>
          <w:sz w:val="24"/>
          <w:szCs w:val="24"/>
        </w:rPr>
      </w:pPr>
      <w:r w:rsidRPr="00371A17">
        <w:rPr>
          <w:rFonts w:ascii="Times New Roman" w:hAnsi="Times New Roman" w:cs="Times New Roman"/>
          <w:b/>
          <w:sz w:val="24"/>
          <w:szCs w:val="24"/>
        </w:rPr>
        <w:t>Introduction</w:t>
      </w:r>
    </w:p>
    <w:p w:rsidR="00520E52" w:rsidRPr="00371A17" w:rsidRDefault="00520E52" w:rsidP="00B37578">
      <w:pPr>
        <w:spacing w:after="0" w:line="240" w:lineRule="auto"/>
        <w:jc w:val="both"/>
        <w:rPr>
          <w:rFonts w:ascii="Times New Roman" w:hAnsi="Times New Roman" w:cs="Times New Roman"/>
        </w:rPr>
      </w:pPr>
      <w:r w:rsidRPr="00371A17">
        <w:rPr>
          <w:rFonts w:ascii="Times New Roman" w:hAnsi="Times New Roman" w:cs="Times New Roman"/>
        </w:rPr>
        <w:t xml:space="preserve">The challenges associated with creating and offering affordable housing to a growing population is an issue facing cities around the world.  Australia’s cities are not immune to this challenge </w:t>
      </w:r>
      <w:r w:rsidR="00C24C5F" w:rsidRPr="00371A17">
        <w:rPr>
          <w:rFonts w:ascii="Times New Roman" w:hAnsi="Times New Roman" w:cs="Times New Roman"/>
        </w:rPr>
        <w:t>and</w:t>
      </w:r>
      <w:r w:rsidRPr="00371A17">
        <w:rPr>
          <w:rFonts w:ascii="Times New Roman" w:hAnsi="Times New Roman" w:cs="Times New Roman"/>
        </w:rPr>
        <w:t xml:space="preserve"> many have set ambitious targets to alleviate the current lack of affordable housing in their urban areas.  </w:t>
      </w:r>
      <w:r w:rsidR="00B34A92" w:rsidRPr="00371A17">
        <w:rPr>
          <w:rFonts w:ascii="Times New Roman" w:hAnsi="Times New Roman" w:cs="Times New Roman"/>
        </w:rPr>
        <w:t xml:space="preserve">Target 4 in the </w:t>
      </w:r>
      <w:r w:rsidRPr="00371A17">
        <w:rPr>
          <w:rFonts w:ascii="Times New Roman" w:hAnsi="Times New Roman" w:cs="Times New Roman"/>
        </w:rPr>
        <w:t xml:space="preserve">City of Sydney’s </w:t>
      </w:r>
      <w:r w:rsidRPr="00371A17">
        <w:rPr>
          <w:rFonts w:ascii="Times New Roman" w:hAnsi="Times New Roman" w:cs="Times New Roman"/>
          <w:i/>
        </w:rPr>
        <w:t>Sustainable Sydney 2030 Community Strategic Plan (2014)</w:t>
      </w:r>
      <w:r w:rsidRPr="00371A17">
        <w:rPr>
          <w:rFonts w:ascii="Times New Roman" w:hAnsi="Times New Roman" w:cs="Times New Roman"/>
        </w:rPr>
        <w:t xml:space="preserve"> identifies </w:t>
      </w:r>
      <w:r w:rsidR="00B34A92" w:rsidRPr="00371A17">
        <w:rPr>
          <w:rFonts w:ascii="Times New Roman" w:hAnsi="Times New Roman" w:cs="Times New Roman"/>
        </w:rPr>
        <w:t xml:space="preserve">affordable housing as a </w:t>
      </w:r>
      <w:r w:rsidRPr="00371A17">
        <w:rPr>
          <w:rFonts w:ascii="Times New Roman" w:hAnsi="Times New Roman" w:cs="Times New Roman"/>
        </w:rPr>
        <w:t xml:space="preserve">key </w:t>
      </w:r>
      <w:r w:rsidR="00CF1DF2" w:rsidRPr="00371A17">
        <w:rPr>
          <w:rFonts w:ascii="Times New Roman" w:hAnsi="Times New Roman" w:cs="Times New Roman"/>
        </w:rPr>
        <w:t xml:space="preserve">strategic </w:t>
      </w:r>
      <w:r w:rsidRPr="00371A17">
        <w:rPr>
          <w:rFonts w:ascii="Times New Roman" w:hAnsi="Times New Roman" w:cs="Times New Roman"/>
        </w:rPr>
        <w:t xml:space="preserve">area for </w:t>
      </w:r>
      <w:r w:rsidR="00B34A92" w:rsidRPr="00371A17">
        <w:rPr>
          <w:rFonts w:ascii="Times New Roman" w:hAnsi="Times New Roman" w:cs="Times New Roman"/>
        </w:rPr>
        <w:t xml:space="preserve">the City, stating a </w:t>
      </w:r>
      <w:r w:rsidR="00CF1DF2" w:rsidRPr="00371A17">
        <w:rPr>
          <w:rFonts w:ascii="Times New Roman" w:hAnsi="Times New Roman" w:cs="Times New Roman"/>
        </w:rPr>
        <w:t xml:space="preserve">target of </w:t>
      </w:r>
      <w:r w:rsidRPr="00371A17">
        <w:rPr>
          <w:rFonts w:ascii="Times New Roman" w:hAnsi="Times New Roman" w:cs="Times New Roman"/>
        </w:rPr>
        <w:t xml:space="preserve">“7.5% of all city housing … will be affordable housing, delivered by not-for-profit or other providers.”  </w:t>
      </w:r>
      <w:r w:rsidR="00B84EEC" w:rsidRPr="00371A17">
        <w:rPr>
          <w:rFonts w:ascii="Times New Roman" w:hAnsi="Times New Roman" w:cs="Times New Roman"/>
        </w:rPr>
        <w:t>This target equates to approximately 48,000 affordable dwellings.  The question of h</w:t>
      </w:r>
      <w:r w:rsidRPr="00371A17">
        <w:rPr>
          <w:rFonts w:ascii="Times New Roman" w:hAnsi="Times New Roman" w:cs="Times New Roman"/>
        </w:rPr>
        <w:t xml:space="preserve">ow to achieve this target without controlling the production of the product is a challenge facing not only Sydney, but other Australian cities as well.  Failing to reach the affordable housing </w:t>
      </w:r>
      <w:r w:rsidR="00C24C5F" w:rsidRPr="00371A17">
        <w:rPr>
          <w:rFonts w:ascii="Times New Roman" w:hAnsi="Times New Roman" w:cs="Times New Roman"/>
        </w:rPr>
        <w:t>target</w:t>
      </w:r>
      <w:r w:rsidRPr="00371A17">
        <w:rPr>
          <w:rFonts w:ascii="Times New Roman" w:hAnsi="Times New Roman" w:cs="Times New Roman"/>
        </w:rPr>
        <w:t xml:space="preserve"> is a real risk which has been identified by </w:t>
      </w:r>
      <w:r w:rsidR="00B34A92" w:rsidRPr="00371A17">
        <w:rPr>
          <w:rFonts w:ascii="Times New Roman" w:hAnsi="Times New Roman" w:cs="Times New Roman"/>
        </w:rPr>
        <w:t xml:space="preserve">planning </w:t>
      </w:r>
      <w:r w:rsidRPr="00371A17">
        <w:rPr>
          <w:rFonts w:ascii="Times New Roman" w:hAnsi="Times New Roman" w:cs="Times New Roman"/>
        </w:rPr>
        <w:t>staff within the Council</w:t>
      </w:r>
      <w:r w:rsidR="00B34A92" w:rsidRPr="00371A17">
        <w:rPr>
          <w:rFonts w:ascii="Times New Roman" w:hAnsi="Times New Roman" w:cs="Times New Roman"/>
        </w:rPr>
        <w:t xml:space="preserve">, noting </w:t>
      </w:r>
      <w:r w:rsidR="00CF1DF2" w:rsidRPr="00371A17">
        <w:rPr>
          <w:rFonts w:ascii="Times New Roman" w:hAnsi="Times New Roman" w:cs="Times New Roman"/>
        </w:rPr>
        <w:t xml:space="preserve">that Australian local governments (LGAs) are inhibited by the state in their ability to create policies to aid in attaining local </w:t>
      </w:r>
      <w:r w:rsidR="00C24C5F" w:rsidRPr="00371A17">
        <w:rPr>
          <w:rFonts w:ascii="Times New Roman" w:hAnsi="Times New Roman" w:cs="Times New Roman"/>
        </w:rPr>
        <w:t>(</w:t>
      </w:r>
      <w:r w:rsidR="00CF1DF2" w:rsidRPr="00371A17">
        <w:rPr>
          <w:rFonts w:ascii="Times New Roman" w:hAnsi="Times New Roman" w:cs="Times New Roman"/>
        </w:rPr>
        <w:t>social and</w:t>
      </w:r>
      <w:r w:rsidR="00C24C5F" w:rsidRPr="00371A17">
        <w:rPr>
          <w:rFonts w:ascii="Times New Roman" w:hAnsi="Times New Roman" w:cs="Times New Roman"/>
        </w:rPr>
        <w:t>)</w:t>
      </w:r>
      <w:r w:rsidR="00CF1DF2" w:rsidRPr="00371A17">
        <w:rPr>
          <w:rFonts w:ascii="Times New Roman" w:hAnsi="Times New Roman" w:cs="Times New Roman"/>
        </w:rPr>
        <w:t xml:space="preserve"> affordable housing targets.  </w:t>
      </w:r>
      <w:r w:rsidRPr="00371A17">
        <w:rPr>
          <w:rFonts w:ascii="Times New Roman" w:hAnsi="Times New Roman" w:cs="Times New Roman"/>
        </w:rPr>
        <w:t xml:space="preserve">This study </w:t>
      </w:r>
      <w:r w:rsidR="00B54113" w:rsidRPr="00371A17">
        <w:rPr>
          <w:rFonts w:ascii="Times New Roman" w:hAnsi="Times New Roman" w:cs="Times New Roman"/>
        </w:rPr>
        <w:t>investigates key strategies being implemented</w:t>
      </w:r>
      <w:r w:rsidR="00C24C5F" w:rsidRPr="00371A17">
        <w:rPr>
          <w:rFonts w:ascii="Times New Roman" w:hAnsi="Times New Roman" w:cs="Times New Roman"/>
        </w:rPr>
        <w:t xml:space="preserve"> to engage third party providers to increase the supply of affordable housing</w:t>
      </w:r>
      <w:r w:rsidR="00B54113" w:rsidRPr="00371A17">
        <w:rPr>
          <w:rFonts w:ascii="Times New Roman" w:hAnsi="Times New Roman" w:cs="Times New Roman"/>
        </w:rPr>
        <w:t xml:space="preserve"> in </w:t>
      </w:r>
      <w:r w:rsidRPr="00371A17">
        <w:rPr>
          <w:rFonts w:ascii="Times New Roman" w:hAnsi="Times New Roman" w:cs="Times New Roman"/>
        </w:rPr>
        <w:t xml:space="preserve">other </w:t>
      </w:r>
      <w:r w:rsidR="00C24C5F" w:rsidRPr="00371A17">
        <w:rPr>
          <w:rFonts w:ascii="Times New Roman" w:hAnsi="Times New Roman" w:cs="Times New Roman"/>
        </w:rPr>
        <w:t xml:space="preserve">global </w:t>
      </w:r>
      <w:r w:rsidRPr="00371A17">
        <w:rPr>
          <w:rFonts w:ascii="Times New Roman" w:hAnsi="Times New Roman" w:cs="Times New Roman"/>
        </w:rPr>
        <w:t xml:space="preserve">cities </w:t>
      </w:r>
      <w:r w:rsidR="00C24C5F" w:rsidRPr="00371A17">
        <w:rPr>
          <w:rFonts w:ascii="Times New Roman" w:hAnsi="Times New Roman" w:cs="Times New Roman"/>
        </w:rPr>
        <w:t xml:space="preserve">which </w:t>
      </w:r>
      <w:r w:rsidR="00B54113" w:rsidRPr="00371A17">
        <w:rPr>
          <w:rFonts w:ascii="Times New Roman" w:hAnsi="Times New Roman" w:cs="Times New Roman"/>
        </w:rPr>
        <w:t xml:space="preserve">are </w:t>
      </w:r>
      <w:r w:rsidR="00B34A92" w:rsidRPr="00371A17">
        <w:rPr>
          <w:rFonts w:ascii="Times New Roman" w:hAnsi="Times New Roman" w:cs="Times New Roman"/>
        </w:rPr>
        <w:t>similar</w:t>
      </w:r>
      <w:r w:rsidR="00B54113" w:rsidRPr="00371A17">
        <w:rPr>
          <w:rFonts w:ascii="Times New Roman" w:hAnsi="Times New Roman" w:cs="Times New Roman"/>
        </w:rPr>
        <w:t>ly</w:t>
      </w:r>
      <w:r w:rsidR="00B34A92" w:rsidRPr="00371A17">
        <w:rPr>
          <w:rFonts w:ascii="Times New Roman" w:hAnsi="Times New Roman" w:cs="Times New Roman"/>
        </w:rPr>
        <w:t xml:space="preserve"> </w:t>
      </w:r>
      <w:r w:rsidR="00B34A92" w:rsidRPr="00371A17">
        <w:rPr>
          <w:rFonts w:ascii="Times New Roman" w:hAnsi="Times New Roman" w:cs="Times New Roman"/>
        </w:rPr>
        <w:lastRenderedPageBreak/>
        <w:t>‘</w:t>
      </w:r>
      <w:r w:rsidR="00B54113" w:rsidRPr="00371A17">
        <w:rPr>
          <w:rFonts w:ascii="Times New Roman" w:hAnsi="Times New Roman" w:cs="Times New Roman"/>
        </w:rPr>
        <w:t>handcuffed</w:t>
      </w:r>
      <w:r w:rsidR="00B34A92" w:rsidRPr="00371A17">
        <w:rPr>
          <w:rFonts w:ascii="Times New Roman" w:hAnsi="Times New Roman" w:cs="Times New Roman"/>
        </w:rPr>
        <w:t>’</w:t>
      </w:r>
      <w:r w:rsidR="00C24C5F" w:rsidRPr="00371A17">
        <w:rPr>
          <w:rFonts w:ascii="Times New Roman" w:hAnsi="Times New Roman" w:cs="Times New Roman"/>
        </w:rPr>
        <w:t xml:space="preserve">, with </w:t>
      </w:r>
      <w:r w:rsidR="00B54113" w:rsidRPr="00371A17">
        <w:rPr>
          <w:rFonts w:ascii="Times New Roman" w:hAnsi="Times New Roman" w:cs="Times New Roman"/>
        </w:rPr>
        <w:t>regards to</w:t>
      </w:r>
      <w:r w:rsidR="00B34A92" w:rsidRPr="00371A17">
        <w:rPr>
          <w:rFonts w:ascii="Times New Roman" w:hAnsi="Times New Roman" w:cs="Times New Roman"/>
        </w:rPr>
        <w:t xml:space="preserve"> </w:t>
      </w:r>
      <w:r w:rsidR="00371A17" w:rsidRPr="00371A17">
        <w:rPr>
          <w:rFonts w:ascii="Times New Roman" w:hAnsi="Times New Roman" w:cs="Times New Roman"/>
        </w:rPr>
        <w:t>jurisdictional</w:t>
      </w:r>
      <w:r w:rsidR="00B34A92" w:rsidRPr="00371A17">
        <w:rPr>
          <w:rFonts w:ascii="Times New Roman" w:hAnsi="Times New Roman" w:cs="Times New Roman"/>
        </w:rPr>
        <w:t xml:space="preserve"> control</w:t>
      </w:r>
      <w:r w:rsidR="006C1078" w:rsidRPr="00371A17">
        <w:rPr>
          <w:rFonts w:ascii="Times New Roman" w:hAnsi="Times New Roman" w:cs="Times New Roman"/>
        </w:rPr>
        <w:t xml:space="preserve">.  </w:t>
      </w:r>
      <w:r w:rsidRPr="00371A17">
        <w:rPr>
          <w:rFonts w:ascii="Times New Roman" w:hAnsi="Times New Roman" w:cs="Times New Roman"/>
        </w:rPr>
        <w:t xml:space="preserve">These solutions may </w:t>
      </w:r>
      <w:r w:rsidR="006C1078" w:rsidRPr="00371A17">
        <w:rPr>
          <w:rFonts w:ascii="Times New Roman" w:hAnsi="Times New Roman" w:cs="Times New Roman"/>
        </w:rPr>
        <w:t xml:space="preserve">help </w:t>
      </w:r>
      <w:r w:rsidRPr="00371A17">
        <w:rPr>
          <w:rFonts w:ascii="Times New Roman" w:hAnsi="Times New Roman" w:cs="Times New Roman"/>
        </w:rPr>
        <w:t xml:space="preserve">Australian cities </w:t>
      </w:r>
      <w:r w:rsidR="006C1078" w:rsidRPr="00371A17">
        <w:rPr>
          <w:rFonts w:ascii="Times New Roman" w:hAnsi="Times New Roman" w:cs="Times New Roman"/>
        </w:rPr>
        <w:t xml:space="preserve">to </w:t>
      </w:r>
      <w:r w:rsidR="0018766B" w:rsidRPr="00371A17">
        <w:rPr>
          <w:rFonts w:ascii="Times New Roman" w:hAnsi="Times New Roman" w:cs="Times New Roman"/>
        </w:rPr>
        <w:t xml:space="preserve">reconsider the traditional housing model and </w:t>
      </w:r>
      <w:r w:rsidR="006C1078" w:rsidRPr="00371A17">
        <w:rPr>
          <w:rFonts w:ascii="Times New Roman" w:hAnsi="Times New Roman" w:cs="Times New Roman"/>
        </w:rPr>
        <w:t>implement similarly creative solutions to achieve their local affordable housing targets.</w:t>
      </w:r>
    </w:p>
    <w:p w:rsidR="00B37578" w:rsidRPr="00371A17" w:rsidRDefault="00B37578" w:rsidP="00B37578">
      <w:pPr>
        <w:spacing w:after="0" w:line="240" w:lineRule="auto"/>
        <w:jc w:val="both"/>
        <w:rPr>
          <w:rFonts w:ascii="Times New Roman" w:hAnsi="Times New Roman" w:cs="Times New Roman"/>
        </w:rPr>
      </w:pPr>
    </w:p>
    <w:p w:rsidR="00C24C5F" w:rsidRPr="00371A17" w:rsidRDefault="00D66D85" w:rsidP="00C24C5F">
      <w:pPr>
        <w:spacing w:after="0" w:line="240" w:lineRule="auto"/>
        <w:jc w:val="both"/>
        <w:rPr>
          <w:rFonts w:ascii="Times New Roman" w:hAnsi="Times New Roman" w:cs="Times New Roman"/>
          <w:b/>
          <w:sz w:val="24"/>
          <w:szCs w:val="24"/>
        </w:rPr>
      </w:pPr>
      <w:r w:rsidRPr="00371A17">
        <w:rPr>
          <w:rFonts w:ascii="Times New Roman" w:hAnsi="Times New Roman" w:cs="Times New Roman"/>
          <w:b/>
          <w:sz w:val="24"/>
          <w:szCs w:val="24"/>
        </w:rPr>
        <w:t>The Affordable Housing Challenge in Sydney</w:t>
      </w:r>
    </w:p>
    <w:p w:rsidR="007339D4" w:rsidRPr="00371A17" w:rsidRDefault="007339D4" w:rsidP="007339D4">
      <w:pPr>
        <w:spacing w:after="0" w:line="240" w:lineRule="auto"/>
        <w:jc w:val="both"/>
        <w:rPr>
          <w:rFonts w:ascii="Times New Roman" w:hAnsi="Times New Roman" w:cs="Times New Roman"/>
        </w:rPr>
      </w:pPr>
      <w:r w:rsidRPr="00371A17">
        <w:rPr>
          <w:rFonts w:ascii="Times New Roman" w:hAnsi="Times New Roman" w:cs="Times New Roman"/>
        </w:rPr>
        <w:t xml:space="preserve">Housing affordability is generally defined and assessed </w:t>
      </w:r>
      <w:r w:rsidR="006245BD" w:rsidRPr="00371A17">
        <w:rPr>
          <w:rFonts w:ascii="Times New Roman" w:hAnsi="Times New Roman" w:cs="Times New Roman"/>
        </w:rPr>
        <w:t xml:space="preserve">as </w:t>
      </w:r>
      <w:r w:rsidRPr="00371A17">
        <w:rPr>
          <w:rFonts w:ascii="Times New Roman" w:hAnsi="Times New Roman" w:cs="Times New Roman"/>
        </w:rPr>
        <w:t xml:space="preserve">a ratio of housing expenditure to household income </w:t>
      </w:r>
      <w:r w:rsidRPr="00371A17">
        <w:rPr>
          <w:rFonts w:ascii="Times New Roman" w:hAnsi="Times New Roman" w:cs="Times New Roman"/>
        </w:rPr>
        <w:fldChar w:fldCharType="begin"/>
      </w:r>
      <w:r w:rsidRPr="00371A17">
        <w:rPr>
          <w:rFonts w:ascii="Times New Roman" w:hAnsi="Times New Roman" w:cs="Times New Roman"/>
        </w:rPr>
        <w:instrText xml:space="preserve"> ADDIN EN.CITE &lt;EndNote&gt;&lt;Cite&gt;&lt;Author&gt;Mulliner&lt;/Author&gt;&lt;Year&gt;2013&lt;/Year&gt;&lt;RecNum&gt;61&lt;/RecNum&gt;&lt;DisplayText&gt;(Mulliner, Smallbone &amp;amp; Maliene 2013)&lt;/DisplayText&gt;&lt;record&gt;&lt;rec-number&gt;61&lt;/rec-number&gt;&lt;foreign-keys&gt;&lt;key app="EN" db-id="zfvstvpt1ra20qer2papvff395v0d9s2d9vx" timestamp="1423780826"&gt;61&lt;/key&gt;&lt;/foreign-keys&gt;&lt;ref-type name="Journal Article"&gt;17&lt;/ref-type&gt;&lt;contributors&gt;&lt;authors&gt;&lt;author&gt;Mulliner, E.,&lt;/author&gt;&lt;author&gt;Smallbone, K.,&lt;/author&gt;&lt;author&gt;Maliene, V.,&lt;/author&gt;&lt;/authors&gt;&lt;/contributors&gt;&lt;titles&gt;&lt;title&gt;An assessment of sustainable housing affordability using a multiple criteria decision making method&lt;/title&gt;&lt;secondary-title&gt;Omega&lt;/secondary-title&gt;&lt;/titles&gt;&lt;periodical&gt;&lt;full-title&gt;Omega&lt;/full-title&gt;&lt;/periodical&gt;&lt;pages&gt;270-279&lt;/pages&gt;&lt;volume&gt;41&lt;/volume&gt;&lt;number&gt;2&lt;/number&gt;&lt;dates&gt;&lt;year&gt;2013&lt;/year&gt;&lt;/dates&gt;&lt;urls&gt;&lt;/urls&gt;&lt;/record&gt;&lt;/Cite&gt;&lt;/EndNote&gt;</w:instrText>
      </w:r>
      <w:r w:rsidRPr="00371A17">
        <w:rPr>
          <w:rFonts w:ascii="Times New Roman" w:hAnsi="Times New Roman" w:cs="Times New Roman"/>
        </w:rPr>
        <w:fldChar w:fldCharType="separate"/>
      </w:r>
      <w:r w:rsidRPr="00371A17">
        <w:rPr>
          <w:rFonts w:ascii="Times New Roman" w:hAnsi="Times New Roman" w:cs="Times New Roman"/>
        </w:rPr>
        <w:t>(Mulliner, Smallbone &amp; Maliene 2013)</w:t>
      </w:r>
      <w:r w:rsidRPr="00371A17">
        <w:rPr>
          <w:rFonts w:ascii="Times New Roman" w:hAnsi="Times New Roman" w:cs="Times New Roman"/>
        </w:rPr>
        <w:fldChar w:fldCharType="end"/>
      </w:r>
      <w:r w:rsidRPr="00371A17">
        <w:rPr>
          <w:rFonts w:ascii="Times New Roman" w:hAnsi="Times New Roman" w:cs="Times New Roman"/>
        </w:rPr>
        <w:t xml:space="preserve">. The housing cost to income ratio, commonly referred to as the '30/40 rule', is the most commonly applied benchmark globally to assess housing affordability </w:t>
      </w:r>
      <w:r w:rsidRPr="00371A17">
        <w:rPr>
          <w:rFonts w:ascii="Times New Roman" w:hAnsi="Times New Roman" w:cs="Times New Roman"/>
        </w:rPr>
        <w:fldChar w:fldCharType="begin"/>
      </w:r>
      <w:r w:rsidRPr="00371A17">
        <w:rPr>
          <w:rFonts w:ascii="Times New Roman" w:hAnsi="Times New Roman" w:cs="Times New Roman"/>
        </w:rPr>
        <w:instrText xml:space="preserve"> ADDIN EN.CITE &lt;EndNote&gt;&lt;Cite&gt;&lt;Author&gt;O&amp;apos;Neill&lt;/Author&gt;&lt;Year&gt;2008&lt;/Year&gt;&lt;RecNum&gt;44&lt;/RecNum&gt;&lt;DisplayText&gt;(O&amp;apos;Neill et al. 2008)&lt;/DisplayText&gt;&lt;record&gt;&lt;rec-number&gt;44&lt;/rec-number&gt;&lt;foreign-keys&gt;&lt;key app="EN" db-id="zfvstvpt1ra20qer2papvff395v0d9s2d9vx" timestamp="1423604640"&gt;44&lt;/key&gt;&lt;/foreign-keys&gt;&lt;ref-type name="Electronic Article"&gt;43&lt;/ref-type&gt;&lt;contributors&gt;&lt;authors&gt;&lt;author&gt;O&amp;apos;Neill, P.,&lt;/author&gt;&lt;author&gt;Sliogeris, E.,&lt;/author&gt;&lt;author&gt;Crabtree, L.,&lt;/author&gt;&lt;author&gt;Phibbs, P.,&lt;/author&gt;&lt;author&gt;Johnston, K.&lt;/author&gt;&lt;/authors&gt;&lt;tertiary-authors&gt;&lt;author&gt;Urban Research Centre, University of Western Sydney&lt;/author&gt;&lt;/tertiary-authors&gt;&lt;/contributors&gt;&lt;titles&gt;&lt;title&gt;Housing affordability literature review and affordable housing program audit&lt;/title&gt;&lt;/titles&gt;&lt;pages&gt;19-22&lt;/pages&gt;&lt;dates&gt;&lt;year&gt;2008&lt;/year&gt;&lt;pub-dates&gt;&lt;date&gt;5 February 2015&lt;/date&gt;&lt;/pub-dates&gt;&lt;/dates&gt;&lt;pub-location&gt;Sydney&lt;/pub-location&gt;&lt;urls&gt;&lt;related-urls&gt;&lt;url&gt;http://www.uws.edu.au/__data/assets/pdf_file/0004/164623/landcom_report_2008-07-21.pdf&lt;/url&gt;&lt;/related-urls&gt;&lt;/urls&gt;&lt;/record&gt;&lt;/Cite&gt;&lt;/EndNote&gt;</w:instrText>
      </w:r>
      <w:r w:rsidRPr="00371A17">
        <w:rPr>
          <w:rFonts w:ascii="Times New Roman" w:hAnsi="Times New Roman" w:cs="Times New Roman"/>
        </w:rPr>
        <w:fldChar w:fldCharType="separate"/>
      </w:r>
      <w:r w:rsidRPr="00371A17">
        <w:rPr>
          <w:rFonts w:ascii="Times New Roman" w:hAnsi="Times New Roman" w:cs="Times New Roman"/>
        </w:rPr>
        <w:t>(O'Neill et al. 2008)</w:t>
      </w:r>
      <w:r w:rsidRPr="00371A17">
        <w:rPr>
          <w:rFonts w:ascii="Times New Roman" w:hAnsi="Times New Roman" w:cs="Times New Roman"/>
        </w:rPr>
        <w:fldChar w:fldCharType="end"/>
      </w:r>
      <w:r w:rsidRPr="00371A17">
        <w:rPr>
          <w:rFonts w:ascii="Times New Roman" w:hAnsi="Times New Roman" w:cs="Times New Roman"/>
        </w:rPr>
        <w:t xml:space="preserve"> and is also the definition </w:t>
      </w:r>
      <w:r w:rsidR="00C25FC1" w:rsidRPr="00371A17">
        <w:rPr>
          <w:rFonts w:ascii="Times New Roman" w:hAnsi="Times New Roman" w:cs="Times New Roman"/>
        </w:rPr>
        <w:t>used by the City of Sydney (Co</w:t>
      </w:r>
      <w:r w:rsidRPr="00371A17">
        <w:rPr>
          <w:rFonts w:ascii="Times New Roman" w:hAnsi="Times New Roman" w:cs="Times New Roman"/>
        </w:rPr>
        <w:t>S 2015</w:t>
      </w:r>
      <w:r w:rsidR="00C25FC1" w:rsidRPr="00371A17">
        <w:rPr>
          <w:rFonts w:ascii="Times New Roman" w:hAnsi="Times New Roman" w:cs="Times New Roman"/>
        </w:rPr>
        <w:t>b</w:t>
      </w:r>
      <w:r w:rsidRPr="00371A17">
        <w:rPr>
          <w:rFonts w:ascii="Times New Roman" w:hAnsi="Times New Roman" w:cs="Times New Roman"/>
        </w:rPr>
        <w:t xml:space="preserve">).  The ‘30/40 rule’ refers to the point at which 30 per cent of gross income is spent on housing costs in a household that is earning in the lowest 40 per cent of the income distribution for a city; beyond this ratio, housing is deemed unaffordable </w:t>
      </w:r>
      <w:r w:rsidRPr="00371A17">
        <w:rPr>
          <w:rFonts w:ascii="Times New Roman" w:hAnsi="Times New Roman" w:cs="Times New Roman"/>
        </w:rPr>
        <w:fldChar w:fldCharType="begin"/>
      </w:r>
      <w:r w:rsidRPr="00371A17">
        <w:rPr>
          <w:rFonts w:ascii="Times New Roman" w:hAnsi="Times New Roman" w:cs="Times New Roman"/>
        </w:rPr>
        <w:instrText xml:space="preserve"> ADDIN EN.CITE &lt;EndNote&gt;&lt;Cite&gt;&lt;Author&gt;Yates&lt;/Author&gt;&lt;Year&gt;2007&lt;/Year&gt;&lt;RecNum&gt;71&lt;/RecNum&gt;&lt;DisplayText&gt;(Yates et al. 2007)&lt;/DisplayText&gt;&lt;record&gt;&lt;rec-number&gt;71&lt;/rec-number&gt;&lt;foreign-keys&gt;&lt;key app="EN" db-id="zfvstvpt1ra20qer2papvff395v0d9s2d9vx" timestamp="1425380369"&gt;71&lt;/key&gt;&lt;/foreign-keys&gt;&lt;ref-type name="Electronic Article"&gt;43&lt;/ref-type&gt;&lt;contributors&gt;&lt;authors&gt;&lt;author&gt;Yates, J.,&lt;/author&gt;&lt;author&gt;Milligan, V.,&lt;/author&gt;&lt;author&gt;Berry, M.,&lt;/author&gt;&lt;author&gt;Burke, T.,&lt;/author&gt;&lt;author&gt;Gabriel, M.,&lt;/author&gt;&lt;author&gt;Phibbs, P.,&lt;/author&gt;&lt;author&gt;Pinnegar, S.,&lt;/author&gt;&lt;author&gt;Randolph, B.,&lt;/author&gt;&lt;/authors&gt;&lt;/contributors&gt;&lt;titles&gt;&lt;title&gt;Housing affordability: a 21st century problem, National Research Venture 3: Housing affordability for lower income Australians&lt;/title&gt;&lt;/titles&gt;&lt;dates&gt;&lt;year&gt;2007&lt;/year&gt;&lt;pub-dates&gt;&lt;date&gt;10 January 2015&lt;/date&gt;&lt;/pub-dates&gt;&lt;/dates&gt;&lt;pub-location&gt;Sydney&lt;/pub-location&gt;&lt;publisher&gt;Australian Housing and Urban Research Institute&lt;/publisher&gt;&lt;work-type&gt;AHURI Final Report No. 91&lt;/work-type&gt;&lt;urls&gt;&lt;related-urls&gt;&lt;url&gt;http://www.ahuri.edu.au/publications/download/ahuri_60279_fr&lt;/url&gt;&lt;/related-urls&gt;&lt;/urls&gt;&lt;access-date&gt;10 January 2015&lt;/access-date&gt;&lt;/record&gt;&lt;/Cite&gt;&lt;/EndNote&gt;</w:instrText>
      </w:r>
      <w:r w:rsidRPr="00371A17">
        <w:rPr>
          <w:rFonts w:ascii="Times New Roman" w:hAnsi="Times New Roman" w:cs="Times New Roman"/>
        </w:rPr>
        <w:fldChar w:fldCharType="separate"/>
      </w:r>
      <w:r w:rsidRPr="00371A17">
        <w:rPr>
          <w:rFonts w:ascii="Times New Roman" w:hAnsi="Times New Roman" w:cs="Times New Roman"/>
        </w:rPr>
        <w:t>(Yates et al. 2007)</w:t>
      </w:r>
      <w:r w:rsidRPr="00371A17">
        <w:rPr>
          <w:rFonts w:ascii="Times New Roman" w:hAnsi="Times New Roman" w:cs="Times New Roman"/>
        </w:rPr>
        <w:fldChar w:fldCharType="end"/>
      </w:r>
      <w:r w:rsidRPr="00371A17">
        <w:rPr>
          <w:rFonts w:ascii="Times New Roman" w:hAnsi="Times New Roman" w:cs="Times New Roman"/>
        </w:rPr>
        <w:t xml:space="preserve">. It should be noted that the ‘30/40 rule’ does not consider variations across household structures and </w:t>
      </w:r>
      <w:r w:rsidRPr="00371A17">
        <w:rPr>
          <w:rFonts w:ascii="Times New Roman" w:hAnsi="Times New Roman" w:cs="Times New Roman"/>
        </w:rPr>
        <w:drawing>
          <wp:anchor distT="0" distB="0" distL="114300" distR="114300" simplePos="0" relativeHeight="251659264" behindDoc="0" locked="0" layoutInCell="1" allowOverlap="1" wp14:anchorId="064688E0" wp14:editId="5AFDAC06">
            <wp:simplePos x="0" y="0"/>
            <wp:positionH relativeFrom="column">
              <wp:posOffset>9246207</wp:posOffset>
            </wp:positionH>
            <wp:positionV relativeFrom="paragraph">
              <wp:posOffset>-2954406</wp:posOffset>
            </wp:positionV>
            <wp:extent cx="3171048" cy="3318889"/>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3171048" cy="3318889"/>
                    </a:xfrm>
                    <a:prstGeom prst="rect">
                      <a:avLst/>
                    </a:prstGeom>
                  </pic:spPr>
                </pic:pic>
              </a:graphicData>
            </a:graphic>
          </wp:anchor>
        </w:drawing>
      </w:r>
      <w:r w:rsidRPr="00371A17">
        <w:rPr>
          <w:rFonts w:ascii="Times New Roman" w:hAnsi="Times New Roman" w:cs="Times New Roman"/>
        </w:rPr>
        <w:t xml:space="preserve">sizes in meeting further living costs, nor the inability to account for issues such as housing quality </w:t>
      </w:r>
      <w:r w:rsidRPr="00371A17">
        <w:rPr>
          <w:rFonts w:ascii="Times New Roman" w:hAnsi="Times New Roman" w:cs="Times New Roman"/>
        </w:rPr>
        <w:fldChar w:fldCharType="begin"/>
      </w:r>
      <w:r w:rsidRPr="00371A17">
        <w:rPr>
          <w:rFonts w:ascii="Times New Roman" w:hAnsi="Times New Roman" w:cs="Times New Roman"/>
        </w:rPr>
        <w:instrText xml:space="preserve"> ADDIN EN.CITE &lt;EndNote&gt;&lt;Cite&gt;&lt;Author&gt;Hulchanski&lt;/Author&gt;&lt;Year&gt;1995&lt;/Year&gt;&lt;RecNum&gt;62&lt;/RecNum&gt;&lt;DisplayText&gt;(Hulchanski 1995)&lt;/DisplayText&gt;&lt;record&gt;&lt;rec-number&gt;62&lt;/rec-number&gt;&lt;foreign-keys&gt;&lt;key app="EN" db-id="zfvstvpt1ra20qer2papvff395v0d9s2d9vx" timestamp="1423781329"&gt;62&lt;/key&gt;&lt;/foreign-keys&gt;&lt;ref-type name="Journal Article"&gt;17&lt;/ref-type&gt;&lt;contributors&gt;&lt;authors&gt;&lt;author&gt;Hulchanski, J.D.,&lt;/author&gt;&lt;/authors&gt;&lt;/contributors&gt;&lt;titles&gt;&lt;title&gt;The concept of housing affordability: six contemporary uses of the housing expenditure-to-income ratio&lt;/title&gt;&lt;secondary-title&gt;Housing Studies&lt;/secondary-title&gt;&lt;/titles&gt;&lt;periodical&gt;&lt;full-title&gt;Housing Studies&lt;/full-title&gt;&lt;/periodical&gt;&lt;pages&gt;471-491&lt;/pages&gt;&lt;volume&gt;10&lt;/volume&gt;&lt;number&gt;4&lt;/number&gt;&lt;dates&gt;&lt;year&gt;1995&lt;/year&gt;&lt;/dates&gt;&lt;urls&gt;&lt;/urls&gt;&lt;/record&gt;&lt;/Cite&gt;&lt;/EndNote&gt;</w:instrText>
      </w:r>
      <w:r w:rsidRPr="00371A17">
        <w:rPr>
          <w:rFonts w:ascii="Times New Roman" w:hAnsi="Times New Roman" w:cs="Times New Roman"/>
        </w:rPr>
        <w:fldChar w:fldCharType="separate"/>
      </w:r>
      <w:r w:rsidRPr="00371A17">
        <w:rPr>
          <w:rFonts w:ascii="Times New Roman" w:hAnsi="Times New Roman" w:cs="Times New Roman"/>
        </w:rPr>
        <w:t>(Hulchanski 1995)</w:t>
      </w:r>
      <w:r w:rsidRPr="00371A17">
        <w:rPr>
          <w:rFonts w:ascii="Times New Roman" w:hAnsi="Times New Roman" w:cs="Times New Roman"/>
        </w:rPr>
        <w:fldChar w:fldCharType="end"/>
      </w:r>
      <w:r w:rsidRPr="00371A17">
        <w:rPr>
          <w:rFonts w:ascii="Times New Roman" w:hAnsi="Times New Roman" w:cs="Times New Roman"/>
        </w:rPr>
        <w:t xml:space="preserve">. </w:t>
      </w:r>
    </w:p>
    <w:p w:rsidR="007339D4" w:rsidRPr="00371A17" w:rsidRDefault="007339D4" w:rsidP="00B37578">
      <w:pPr>
        <w:spacing w:after="0" w:line="240" w:lineRule="auto"/>
        <w:jc w:val="both"/>
        <w:rPr>
          <w:rFonts w:ascii="Times New Roman" w:hAnsi="Times New Roman" w:cs="Times New Roman"/>
        </w:rPr>
      </w:pPr>
    </w:p>
    <w:p w:rsidR="004E7D5A" w:rsidRPr="00371A17" w:rsidRDefault="00CE0A48" w:rsidP="004E7D5A">
      <w:pPr>
        <w:spacing w:after="0" w:line="240" w:lineRule="auto"/>
        <w:jc w:val="both"/>
        <w:rPr>
          <w:rFonts w:ascii="Times New Roman" w:hAnsi="Times New Roman" w:cs="Times New Roman"/>
        </w:rPr>
      </w:pPr>
      <w:r w:rsidRPr="00371A17">
        <w:rPr>
          <w:rFonts w:ascii="Times New Roman" w:hAnsi="Times New Roman" w:cs="Times New Roman"/>
        </w:rPr>
        <w:t xml:space="preserve">There is growing discussion around </w:t>
      </w:r>
      <w:r w:rsidR="00B37578" w:rsidRPr="00371A17">
        <w:rPr>
          <w:rFonts w:ascii="Times New Roman" w:hAnsi="Times New Roman" w:cs="Times New Roman"/>
        </w:rPr>
        <w:t xml:space="preserve">the housing affordability crisis in Sydney and across Australia. </w:t>
      </w:r>
      <w:r w:rsidRPr="00371A17">
        <w:rPr>
          <w:rFonts w:ascii="Times New Roman" w:hAnsi="Times New Roman" w:cs="Times New Roman"/>
        </w:rPr>
        <w:t xml:space="preserve"> </w:t>
      </w:r>
      <w:r w:rsidR="00B37578" w:rsidRPr="00371A17">
        <w:rPr>
          <w:rFonts w:ascii="Times New Roman" w:hAnsi="Times New Roman" w:cs="Times New Roman"/>
        </w:rPr>
        <w:t xml:space="preserve">Both the government and </w:t>
      </w:r>
      <w:r w:rsidR="006245BD" w:rsidRPr="00371A17">
        <w:rPr>
          <w:rFonts w:ascii="Times New Roman" w:hAnsi="Times New Roman" w:cs="Times New Roman"/>
        </w:rPr>
        <w:t xml:space="preserve">the </w:t>
      </w:r>
      <w:r w:rsidR="00B37578" w:rsidRPr="00371A17">
        <w:rPr>
          <w:rFonts w:ascii="Times New Roman" w:hAnsi="Times New Roman" w:cs="Times New Roman"/>
        </w:rPr>
        <w:t xml:space="preserve">public have been increasingly concerned about affordability problems, as evidenced by </w:t>
      </w:r>
      <w:r w:rsidR="006245BD" w:rsidRPr="00371A17">
        <w:rPr>
          <w:rFonts w:ascii="Times New Roman" w:hAnsi="Times New Roman" w:cs="Times New Roman"/>
        </w:rPr>
        <w:t xml:space="preserve">the </w:t>
      </w:r>
      <w:r w:rsidR="00B37578" w:rsidRPr="00371A17">
        <w:rPr>
          <w:rFonts w:ascii="Times New Roman" w:hAnsi="Times New Roman" w:cs="Times New Roman"/>
        </w:rPr>
        <w:t>increasing</w:t>
      </w:r>
      <w:r w:rsidR="006245BD" w:rsidRPr="00371A17">
        <w:rPr>
          <w:rFonts w:ascii="Times New Roman" w:hAnsi="Times New Roman" w:cs="Times New Roman"/>
        </w:rPr>
        <w:t xml:space="preserve"> coverage </w:t>
      </w:r>
      <w:r w:rsidR="00B37578" w:rsidRPr="00371A17">
        <w:rPr>
          <w:rFonts w:ascii="Times New Roman" w:hAnsi="Times New Roman" w:cs="Times New Roman"/>
        </w:rPr>
        <w:t xml:space="preserve">in the media </w:t>
      </w:r>
      <w:r w:rsidR="006245BD" w:rsidRPr="00371A17">
        <w:rPr>
          <w:rFonts w:ascii="Times New Roman" w:hAnsi="Times New Roman" w:cs="Times New Roman"/>
        </w:rPr>
        <w:t>as well as</w:t>
      </w:r>
      <w:r w:rsidR="00B37578" w:rsidRPr="00371A17">
        <w:rPr>
          <w:rFonts w:ascii="Times New Roman" w:hAnsi="Times New Roman" w:cs="Times New Roman"/>
        </w:rPr>
        <w:t xml:space="preserve"> reports from key bodies </w:t>
      </w:r>
      <w:r w:rsidR="00B37578" w:rsidRPr="00371A17">
        <w:rPr>
          <w:rFonts w:ascii="Times New Roman" w:hAnsi="Times New Roman" w:cs="Times New Roman"/>
        </w:rPr>
        <w:fldChar w:fldCharType="begin">
          <w:fldData xml:space="preserve">PEVuZE5vdGU+PENpdGU+PEF1dGhvcj5UaWxleTwvQXV0aG9yPjxZZWFyPjIwMTA8L1llYXI+PFJl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</w:fldData>
        </w:fldChar>
      </w:r>
      <w:r w:rsidR="00B37578" w:rsidRPr="00371A17">
        <w:rPr>
          <w:rFonts w:ascii="Times New Roman" w:hAnsi="Times New Roman" w:cs="Times New Roman"/>
        </w:rPr>
        <w:instrText xml:space="preserve"> ADDIN EN.CITE </w:instrText>
      </w:r>
      <w:r w:rsidR="00B37578" w:rsidRPr="00371A17">
        <w:rPr>
          <w:rFonts w:ascii="Times New Roman" w:hAnsi="Times New Roman" w:cs="Times New Roman"/>
        </w:rPr>
        <w:fldChar w:fldCharType="begin">
          <w:fldData xml:space="preserve">PEVuZE5vdGU+PENpdGU+PEF1dGhvcj5UaWxleTwvQXV0aG9yPjxZZWFyPjIwMTA8L1llYXI+PFJl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</w:fldData>
        </w:fldChar>
      </w:r>
      <w:r w:rsidR="00B37578" w:rsidRPr="00371A17">
        <w:rPr>
          <w:rFonts w:ascii="Times New Roman" w:hAnsi="Times New Roman" w:cs="Times New Roman"/>
        </w:rPr>
        <w:instrText xml:space="preserve"> ADDIN EN.CITE.DATA </w:instrText>
      </w:r>
      <w:r w:rsidR="00B37578" w:rsidRPr="00371A17">
        <w:rPr>
          <w:rFonts w:ascii="Times New Roman" w:hAnsi="Times New Roman" w:cs="Times New Roman"/>
        </w:rPr>
      </w:r>
      <w:r w:rsidR="00B37578" w:rsidRPr="00371A17">
        <w:rPr>
          <w:rFonts w:ascii="Times New Roman" w:hAnsi="Times New Roman" w:cs="Times New Roman"/>
        </w:rPr>
        <w:fldChar w:fldCharType="end"/>
      </w:r>
      <w:r w:rsidR="00B37578" w:rsidRPr="00371A17">
        <w:rPr>
          <w:rFonts w:ascii="Times New Roman" w:hAnsi="Times New Roman" w:cs="Times New Roman"/>
        </w:rPr>
      </w:r>
      <w:r w:rsidR="00B37578" w:rsidRPr="00371A17">
        <w:rPr>
          <w:rFonts w:ascii="Times New Roman" w:hAnsi="Times New Roman" w:cs="Times New Roman"/>
        </w:rPr>
        <w:fldChar w:fldCharType="separate"/>
      </w:r>
      <w:r w:rsidR="00B37578" w:rsidRPr="00371A17">
        <w:rPr>
          <w:rFonts w:ascii="Times New Roman" w:hAnsi="Times New Roman" w:cs="Times New Roman"/>
        </w:rPr>
        <w:t>(NSW Department of Housing 2013b; Tiley &amp; Hill 2010; Yates et al. 2007)</w:t>
      </w:r>
      <w:r w:rsidR="00B37578" w:rsidRPr="00371A17">
        <w:rPr>
          <w:rFonts w:ascii="Times New Roman" w:hAnsi="Times New Roman" w:cs="Times New Roman"/>
        </w:rPr>
        <w:fldChar w:fldCharType="end"/>
      </w:r>
      <w:r w:rsidR="00B37578" w:rsidRPr="00371A17">
        <w:rPr>
          <w:rFonts w:ascii="Times New Roman" w:hAnsi="Times New Roman" w:cs="Times New Roman"/>
        </w:rPr>
        <w:t xml:space="preserve">. </w:t>
      </w:r>
      <w:r w:rsidR="006245BD" w:rsidRPr="00371A17">
        <w:rPr>
          <w:rFonts w:ascii="Times New Roman" w:hAnsi="Times New Roman" w:cs="Times New Roman"/>
        </w:rPr>
        <w:t>In July 2015</w:t>
      </w:r>
      <w:r w:rsidR="000C6558" w:rsidRPr="00371A17">
        <w:rPr>
          <w:rFonts w:ascii="Times New Roman" w:hAnsi="Times New Roman" w:cs="Times New Roman"/>
        </w:rPr>
        <w:t xml:space="preserve">, the Sydney housing market </w:t>
      </w:r>
      <w:r w:rsidR="007A6CF1" w:rsidRPr="00371A17">
        <w:rPr>
          <w:rFonts w:ascii="Times New Roman" w:hAnsi="Times New Roman" w:cs="Times New Roman"/>
        </w:rPr>
        <w:t xml:space="preserve">again </w:t>
      </w:r>
      <w:r w:rsidR="000C6558" w:rsidRPr="00371A17">
        <w:rPr>
          <w:rFonts w:ascii="Times New Roman" w:hAnsi="Times New Roman" w:cs="Times New Roman"/>
        </w:rPr>
        <w:t>made news when Domain Group announced that</w:t>
      </w:r>
      <w:r w:rsidR="007A6CF1" w:rsidRPr="00371A17">
        <w:rPr>
          <w:rFonts w:ascii="Times New Roman" w:hAnsi="Times New Roman" w:cs="Times New Roman"/>
        </w:rPr>
        <w:t>, after a surge of 22.9% in house prices over the past 12 months, the median hous</w:t>
      </w:r>
      <w:r w:rsidR="000C6558" w:rsidRPr="00371A17">
        <w:rPr>
          <w:rFonts w:ascii="Times New Roman" w:hAnsi="Times New Roman" w:cs="Times New Roman"/>
        </w:rPr>
        <w:t xml:space="preserve">e price </w:t>
      </w:r>
      <w:r w:rsidR="007A6CF1" w:rsidRPr="00371A17">
        <w:rPr>
          <w:rFonts w:ascii="Times New Roman" w:hAnsi="Times New Roman" w:cs="Times New Roman"/>
        </w:rPr>
        <w:t xml:space="preserve">in Sydney </w:t>
      </w:r>
      <w:r w:rsidR="006245BD" w:rsidRPr="00371A17">
        <w:rPr>
          <w:rFonts w:ascii="Times New Roman" w:hAnsi="Times New Roman" w:cs="Times New Roman"/>
        </w:rPr>
        <w:t xml:space="preserve">had in June </w:t>
      </w:r>
      <w:r w:rsidR="000C6558" w:rsidRPr="00371A17">
        <w:rPr>
          <w:rFonts w:ascii="Times New Roman" w:hAnsi="Times New Roman" w:cs="Times New Roman"/>
        </w:rPr>
        <w:t>exceeded AU$1 million</w:t>
      </w:r>
      <w:r w:rsidR="006245BD" w:rsidRPr="00371A17">
        <w:rPr>
          <w:rFonts w:ascii="Times New Roman" w:hAnsi="Times New Roman" w:cs="Times New Roman"/>
        </w:rPr>
        <w:t xml:space="preserve"> (Domain News, 2015)</w:t>
      </w:r>
      <w:r w:rsidR="000C6558" w:rsidRPr="00371A17">
        <w:rPr>
          <w:rFonts w:ascii="Times New Roman" w:hAnsi="Times New Roman" w:cs="Times New Roman"/>
        </w:rPr>
        <w:t xml:space="preserve">.  </w:t>
      </w:r>
      <w:r w:rsidR="00D27FAF" w:rsidRPr="00371A17">
        <w:rPr>
          <w:rFonts w:ascii="Times New Roman" w:hAnsi="Times New Roman" w:cs="Times New Roman"/>
        </w:rPr>
        <w:t>Median h</w:t>
      </w:r>
      <w:r w:rsidR="006E7682" w:rsidRPr="00371A17">
        <w:rPr>
          <w:rFonts w:ascii="Times New Roman" w:hAnsi="Times New Roman" w:cs="Times New Roman"/>
        </w:rPr>
        <w:t xml:space="preserve">ouse prices in Sydney now top </w:t>
      </w:r>
      <w:r w:rsidR="00D27FAF" w:rsidRPr="00371A17">
        <w:rPr>
          <w:rFonts w:ascii="Times New Roman" w:hAnsi="Times New Roman" w:cs="Times New Roman"/>
        </w:rPr>
        <w:t xml:space="preserve">the </w:t>
      </w:r>
      <w:r w:rsidR="006E7682" w:rsidRPr="00371A17">
        <w:rPr>
          <w:rFonts w:ascii="Times New Roman" w:hAnsi="Times New Roman" w:cs="Times New Roman"/>
        </w:rPr>
        <w:t xml:space="preserve">average home prices in </w:t>
      </w:r>
      <w:r w:rsidR="00D27FAF" w:rsidRPr="00371A17">
        <w:rPr>
          <w:rFonts w:ascii="Times New Roman" w:hAnsi="Times New Roman" w:cs="Times New Roman"/>
        </w:rPr>
        <w:t xml:space="preserve">London and </w:t>
      </w:r>
      <w:r w:rsidR="006245BD" w:rsidRPr="00371A17">
        <w:rPr>
          <w:rFonts w:ascii="Times New Roman" w:hAnsi="Times New Roman" w:cs="Times New Roman"/>
        </w:rPr>
        <w:t>are</w:t>
      </w:r>
      <w:r w:rsidR="00D27FAF" w:rsidRPr="00371A17">
        <w:rPr>
          <w:rFonts w:ascii="Times New Roman" w:hAnsi="Times New Roman" w:cs="Times New Roman"/>
        </w:rPr>
        <w:t xml:space="preserve"> fast approaching</w:t>
      </w:r>
      <w:r w:rsidR="006245BD" w:rsidRPr="00371A17">
        <w:rPr>
          <w:rFonts w:ascii="Times New Roman" w:hAnsi="Times New Roman" w:cs="Times New Roman"/>
        </w:rPr>
        <w:t xml:space="preserve"> the costs of</w:t>
      </w:r>
      <w:r w:rsidR="00D27FAF" w:rsidRPr="00371A17">
        <w:rPr>
          <w:rFonts w:ascii="Times New Roman" w:hAnsi="Times New Roman" w:cs="Times New Roman"/>
        </w:rPr>
        <w:t xml:space="preserve"> New York</w:t>
      </w:r>
      <w:r w:rsidR="006D4817" w:rsidRPr="00371A17">
        <w:rPr>
          <w:rFonts w:ascii="Times New Roman" w:hAnsi="Times New Roman" w:cs="Times New Roman"/>
        </w:rPr>
        <w:t xml:space="preserve"> </w:t>
      </w:r>
      <w:r w:rsidR="006245BD" w:rsidRPr="00371A17">
        <w:rPr>
          <w:rFonts w:ascii="Times New Roman" w:hAnsi="Times New Roman" w:cs="Times New Roman"/>
        </w:rPr>
        <w:t xml:space="preserve">City </w:t>
      </w:r>
      <w:r w:rsidR="006D4817" w:rsidRPr="00371A17">
        <w:rPr>
          <w:rFonts w:ascii="Times New Roman" w:hAnsi="Times New Roman" w:cs="Times New Roman"/>
        </w:rPr>
        <w:t>(Wilson 2015a)</w:t>
      </w:r>
      <w:r w:rsidR="00740090" w:rsidRPr="00371A17">
        <w:rPr>
          <w:rFonts w:ascii="Times New Roman" w:hAnsi="Times New Roman" w:cs="Times New Roman"/>
        </w:rPr>
        <w:t>.  I</w:t>
      </w:r>
      <w:r w:rsidR="006E7682" w:rsidRPr="00371A17">
        <w:rPr>
          <w:rFonts w:ascii="Times New Roman" w:hAnsi="Times New Roman" w:cs="Times New Roman"/>
        </w:rPr>
        <w:t>t should</w:t>
      </w:r>
      <w:r w:rsidR="00D27FAF" w:rsidRPr="00371A17">
        <w:rPr>
          <w:rFonts w:ascii="Times New Roman" w:hAnsi="Times New Roman" w:cs="Times New Roman"/>
        </w:rPr>
        <w:t>,</w:t>
      </w:r>
      <w:r w:rsidR="006E7682" w:rsidRPr="00371A17">
        <w:rPr>
          <w:rFonts w:ascii="Times New Roman" w:hAnsi="Times New Roman" w:cs="Times New Roman"/>
        </w:rPr>
        <w:t xml:space="preserve"> </w:t>
      </w:r>
      <w:r w:rsidR="00D27FAF" w:rsidRPr="00371A17">
        <w:rPr>
          <w:rFonts w:ascii="Times New Roman" w:hAnsi="Times New Roman" w:cs="Times New Roman"/>
        </w:rPr>
        <w:t xml:space="preserve">however, </w:t>
      </w:r>
      <w:r w:rsidR="006E7682" w:rsidRPr="00371A17">
        <w:rPr>
          <w:rFonts w:ascii="Times New Roman" w:hAnsi="Times New Roman" w:cs="Times New Roman"/>
        </w:rPr>
        <w:t xml:space="preserve">be noted that </w:t>
      </w:r>
      <w:r w:rsidR="00D27FAF" w:rsidRPr="00371A17">
        <w:rPr>
          <w:rFonts w:ascii="Times New Roman" w:hAnsi="Times New Roman" w:cs="Times New Roman"/>
        </w:rPr>
        <w:t xml:space="preserve">average house sizes </w:t>
      </w:r>
      <w:r w:rsidR="006245BD" w:rsidRPr="00371A17">
        <w:rPr>
          <w:rFonts w:ascii="Times New Roman" w:hAnsi="Times New Roman" w:cs="Times New Roman"/>
        </w:rPr>
        <w:t>are</w:t>
      </w:r>
      <w:r w:rsidR="00D27FAF" w:rsidRPr="00371A17">
        <w:rPr>
          <w:rFonts w:ascii="Times New Roman" w:hAnsi="Times New Roman" w:cs="Times New Roman"/>
        </w:rPr>
        <w:t xml:space="preserve"> also larger in Sydney</w:t>
      </w:r>
      <w:r w:rsidR="00740090" w:rsidRPr="00371A17">
        <w:rPr>
          <w:rFonts w:ascii="Times New Roman" w:hAnsi="Times New Roman" w:cs="Times New Roman"/>
        </w:rPr>
        <w:t>; w</w:t>
      </w:r>
      <w:r w:rsidR="006E7682" w:rsidRPr="00371A17">
        <w:rPr>
          <w:rFonts w:ascii="Times New Roman" w:hAnsi="Times New Roman" w:cs="Times New Roman"/>
        </w:rPr>
        <w:t xml:space="preserve">hen considered by cost per </w:t>
      </w:r>
      <w:r w:rsidR="00371A17">
        <w:rPr>
          <w:rFonts w:ascii="Times New Roman" w:hAnsi="Times New Roman" w:cs="Times New Roman"/>
        </w:rPr>
        <w:t>sqm</w:t>
      </w:r>
      <w:r w:rsidR="006E7682" w:rsidRPr="00371A17">
        <w:rPr>
          <w:rFonts w:ascii="Times New Roman" w:hAnsi="Times New Roman" w:cs="Times New Roman"/>
        </w:rPr>
        <w:t xml:space="preserve"> </w:t>
      </w:r>
      <w:r w:rsidR="00D27FAF" w:rsidRPr="00371A17">
        <w:rPr>
          <w:rFonts w:ascii="Times New Roman" w:hAnsi="Times New Roman" w:cs="Times New Roman"/>
        </w:rPr>
        <w:t xml:space="preserve">Sydney’s average cost of AU$29,849 is well under </w:t>
      </w:r>
      <w:r w:rsidR="006245BD" w:rsidRPr="00371A17">
        <w:rPr>
          <w:rFonts w:ascii="Times New Roman" w:hAnsi="Times New Roman" w:cs="Times New Roman"/>
        </w:rPr>
        <w:t xml:space="preserve">both </w:t>
      </w:r>
      <w:r w:rsidR="00D27FAF" w:rsidRPr="00371A17">
        <w:rPr>
          <w:rFonts w:ascii="Times New Roman" w:hAnsi="Times New Roman" w:cs="Times New Roman"/>
        </w:rPr>
        <w:t xml:space="preserve">the </w:t>
      </w:r>
      <w:r w:rsidR="006E7682" w:rsidRPr="00371A17">
        <w:rPr>
          <w:rFonts w:ascii="Times New Roman" w:hAnsi="Times New Roman" w:cs="Times New Roman"/>
        </w:rPr>
        <w:t xml:space="preserve">London </w:t>
      </w:r>
      <w:r w:rsidR="00D27FAF" w:rsidRPr="00371A17">
        <w:rPr>
          <w:rFonts w:ascii="Times New Roman" w:hAnsi="Times New Roman" w:cs="Times New Roman"/>
        </w:rPr>
        <w:t>and New York average cost of AU$58,276/sqm and AU$35,994, respectively (</w:t>
      </w:r>
      <w:r w:rsidR="00AB5E20" w:rsidRPr="00371A17">
        <w:rPr>
          <w:rFonts w:ascii="Times New Roman" w:hAnsi="Times New Roman" w:cs="Times New Roman"/>
        </w:rPr>
        <w:t>Domain News 2015)</w:t>
      </w:r>
      <w:r w:rsidR="00D27FAF" w:rsidRPr="00371A17">
        <w:rPr>
          <w:rFonts w:ascii="Times New Roman" w:hAnsi="Times New Roman" w:cs="Times New Roman"/>
        </w:rPr>
        <w:t>.</w:t>
      </w:r>
      <w:r w:rsidR="00CC5712" w:rsidRPr="00371A17">
        <w:rPr>
          <w:rFonts w:ascii="Times New Roman" w:hAnsi="Times New Roman" w:cs="Times New Roman"/>
        </w:rPr>
        <w:t xml:space="preserve">  Sydney’s apartment market has also had a record growth in the 2014-2015 financial year with a 13.9% growth in prices and an average apartment</w:t>
      </w:r>
      <w:r w:rsidR="001F5E00" w:rsidRPr="00371A17">
        <w:rPr>
          <w:rFonts w:ascii="Times New Roman" w:hAnsi="Times New Roman" w:cs="Times New Roman"/>
        </w:rPr>
        <w:t>/unit</w:t>
      </w:r>
      <w:r w:rsidR="00CC5712" w:rsidRPr="00371A17">
        <w:rPr>
          <w:rFonts w:ascii="Times New Roman" w:hAnsi="Times New Roman" w:cs="Times New Roman"/>
        </w:rPr>
        <w:t xml:space="preserve"> price of AU$686,078.</w:t>
      </w:r>
      <w:r w:rsidR="004078A6" w:rsidRPr="00371A17">
        <w:rPr>
          <w:rFonts w:ascii="Times New Roman" w:hAnsi="Times New Roman" w:cs="Times New Roman"/>
        </w:rPr>
        <w:t xml:space="preserve">  </w:t>
      </w:r>
      <w:r w:rsidR="004E7D5A" w:rsidRPr="00371A17">
        <w:rPr>
          <w:rFonts w:ascii="Times New Roman" w:hAnsi="Times New Roman" w:cs="Times New Roman"/>
        </w:rPr>
        <w:t>Cassells et</w:t>
      </w:r>
      <w:r w:rsidR="00371A17">
        <w:rPr>
          <w:rFonts w:ascii="Times New Roman" w:hAnsi="Times New Roman" w:cs="Times New Roman"/>
        </w:rPr>
        <w:t xml:space="preserve"> </w:t>
      </w:r>
      <w:r w:rsidR="004E7D5A" w:rsidRPr="00371A17">
        <w:rPr>
          <w:rFonts w:ascii="Times New Roman" w:hAnsi="Times New Roman" w:cs="Times New Roman"/>
        </w:rPr>
        <w:t xml:space="preserve">al (2014) report that the average first-time homebuyer in Sydney will need to save for 6.3 years to accumulate a 20% </w:t>
      </w:r>
      <w:r w:rsidR="00371A17" w:rsidRPr="00371A17">
        <w:rPr>
          <w:rFonts w:ascii="Times New Roman" w:hAnsi="Times New Roman" w:cs="Times New Roman"/>
        </w:rPr>
        <w:t>down payment</w:t>
      </w:r>
      <w:r w:rsidR="004E7D5A" w:rsidRPr="00371A17">
        <w:rPr>
          <w:rFonts w:ascii="Times New Roman" w:hAnsi="Times New Roman" w:cs="Times New Roman"/>
        </w:rPr>
        <w:t xml:space="preserve"> on a home.</w:t>
      </w:r>
    </w:p>
    <w:p w:rsidR="00B84EEC" w:rsidRPr="00371A17" w:rsidRDefault="001F5E00" w:rsidP="001F5E00">
      <w:pPr>
        <w:tabs>
          <w:tab w:val="left" w:pos="2650"/>
        </w:tabs>
        <w:spacing w:after="0" w:line="240" w:lineRule="auto"/>
        <w:jc w:val="both"/>
        <w:rPr>
          <w:rFonts w:ascii="Times New Roman" w:hAnsi="Times New Roman" w:cs="Times New Roman"/>
        </w:rPr>
      </w:pPr>
      <w:r w:rsidRPr="00371A17">
        <w:rPr>
          <w:rFonts w:ascii="Times New Roman" w:hAnsi="Times New Roman" w:cs="Times New Roman"/>
        </w:rPr>
        <w:tab/>
      </w:r>
    </w:p>
    <w:p w:rsidR="007A6CF1" w:rsidRPr="00371A17" w:rsidRDefault="004078A6" w:rsidP="00B37578">
      <w:pPr>
        <w:spacing w:after="0" w:line="240" w:lineRule="auto"/>
        <w:jc w:val="both"/>
        <w:rPr>
          <w:rFonts w:ascii="Times New Roman" w:hAnsi="Times New Roman" w:cs="Times New Roman"/>
        </w:rPr>
      </w:pPr>
      <w:r w:rsidRPr="00371A17">
        <w:rPr>
          <w:rFonts w:ascii="Times New Roman" w:hAnsi="Times New Roman" w:cs="Times New Roman"/>
        </w:rPr>
        <w:t>In line wi</w:t>
      </w:r>
      <w:r w:rsidR="001F5E00" w:rsidRPr="00371A17">
        <w:rPr>
          <w:rFonts w:ascii="Times New Roman" w:hAnsi="Times New Roman" w:cs="Times New Roman"/>
        </w:rPr>
        <w:t>th the steep increase in home ownership</w:t>
      </w:r>
      <w:r w:rsidRPr="00371A17">
        <w:rPr>
          <w:rFonts w:ascii="Times New Roman" w:hAnsi="Times New Roman" w:cs="Times New Roman"/>
        </w:rPr>
        <w:t xml:space="preserve"> prices, Sydney’s </w:t>
      </w:r>
      <w:r w:rsidR="00434974" w:rsidRPr="00371A17">
        <w:rPr>
          <w:rFonts w:ascii="Times New Roman" w:hAnsi="Times New Roman" w:cs="Times New Roman"/>
        </w:rPr>
        <w:t xml:space="preserve">Inner Ring </w:t>
      </w:r>
      <w:r w:rsidRPr="00371A17">
        <w:rPr>
          <w:rFonts w:ascii="Times New Roman" w:hAnsi="Times New Roman" w:cs="Times New Roman"/>
        </w:rPr>
        <w:t xml:space="preserve">rental market </w:t>
      </w:r>
      <w:r w:rsidR="001F5E00" w:rsidRPr="00371A17">
        <w:rPr>
          <w:rFonts w:ascii="Times New Roman" w:hAnsi="Times New Roman" w:cs="Times New Roman"/>
        </w:rPr>
        <w:t xml:space="preserve">also </w:t>
      </w:r>
      <w:r w:rsidRPr="00371A17">
        <w:rPr>
          <w:rFonts w:ascii="Times New Roman" w:hAnsi="Times New Roman" w:cs="Times New Roman"/>
        </w:rPr>
        <w:t xml:space="preserve">saw its largest annual increase </w:t>
      </w:r>
      <w:r w:rsidR="00A8392D" w:rsidRPr="00371A17">
        <w:rPr>
          <w:rFonts w:ascii="Times New Roman" w:hAnsi="Times New Roman" w:cs="Times New Roman"/>
        </w:rPr>
        <w:t xml:space="preserve">in five years </w:t>
      </w:r>
      <w:r w:rsidR="00434974" w:rsidRPr="00371A17">
        <w:rPr>
          <w:rFonts w:ascii="Times New Roman" w:hAnsi="Times New Roman" w:cs="Times New Roman"/>
        </w:rPr>
        <w:t>with a  jump of 3</w:t>
      </w:r>
      <w:r w:rsidR="00931181" w:rsidRPr="00371A17">
        <w:rPr>
          <w:rFonts w:ascii="Times New Roman" w:hAnsi="Times New Roman" w:cs="Times New Roman"/>
        </w:rPr>
        <w:t>.1</w:t>
      </w:r>
      <w:r w:rsidRPr="00371A17">
        <w:rPr>
          <w:rFonts w:ascii="Times New Roman" w:hAnsi="Times New Roman" w:cs="Times New Roman"/>
        </w:rPr>
        <w:t xml:space="preserve">% </w:t>
      </w:r>
      <w:r w:rsidR="00A8392D" w:rsidRPr="00371A17">
        <w:rPr>
          <w:rFonts w:ascii="Times New Roman" w:hAnsi="Times New Roman" w:cs="Times New Roman"/>
        </w:rPr>
        <w:t xml:space="preserve">in median house rental rates </w:t>
      </w:r>
      <w:r w:rsidRPr="00371A17">
        <w:rPr>
          <w:rFonts w:ascii="Times New Roman" w:hAnsi="Times New Roman" w:cs="Times New Roman"/>
        </w:rPr>
        <w:t>over the past year</w:t>
      </w:r>
      <w:r w:rsidR="00A8392D" w:rsidRPr="00371A17">
        <w:rPr>
          <w:rFonts w:ascii="Times New Roman" w:hAnsi="Times New Roman" w:cs="Times New Roman"/>
        </w:rPr>
        <w:t xml:space="preserve"> </w:t>
      </w:r>
      <w:r w:rsidR="00931181" w:rsidRPr="00371A17">
        <w:rPr>
          <w:rFonts w:ascii="Times New Roman" w:hAnsi="Times New Roman" w:cs="Times New Roman"/>
        </w:rPr>
        <w:t xml:space="preserve">to </w:t>
      </w:r>
      <w:r w:rsidRPr="00371A17">
        <w:rPr>
          <w:rFonts w:ascii="Times New Roman" w:hAnsi="Times New Roman" w:cs="Times New Roman"/>
        </w:rPr>
        <w:t>AU$</w:t>
      </w:r>
      <w:r w:rsidR="00931181" w:rsidRPr="00371A17">
        <w:rPr>
          <w:rFonts w:ascii="Times New Roman" w:hAnsi="Times New Roman" w:cs="Times New Roman"/>
        </w:rPr>
        <w:t>67</w:t>
      </w:r>
      <w:r w:rsidR="00434974" w:rsidRPr="00371A17">
        <w:rPr>
          <w:rFonts w:ascii="Times New Roman" w:hAnsi="Times New Roman" w:cs="Times New Roman"/>
        </w:rPr>
        <w:t>0</w:t>
      </w:r>
      <w:r w:rsidRPr="00371A17">
        <w:rPr>
          <w:rFonts w:ascii="Times New Roman" w:hAnsi="Times New Roman" w:cs="Times New Roman"/>
        </w:rPr>
        <w:t>/week</w:t>
      </w:r>
      <w:r w:rsidR="00434974" w:rsidRPr="00371A17">
        <w:rPr>
          <w:rFonts w:ascii="Times New Roman" w:hAnsi="Times New Roman" w:cs="Times New Roman"/>
        </w:rPr>
        <w:t xml:space="preserve"> for a two-bedroom house</w:t>
      </w:r>
      <w:r w:rsidR="00A8392D" w:rsidRPr="00371A17">
        <w:rPr>
          <w:rFonts w:ascii="Times New Roman" w:hAnsi="Times New Roman" w:cs="Times New Roman"/>
        </w:rPr>
        <w:t>.  Apartment</w:t>
      </w:r>
      <w:r w:rsidR="001F5E00" w:rsidRPr="00371A17">
        <w:rPr>
          <w:rFonts w:ascii="Times New Roman" w:hAnsi="Times New Roman" w:cs="Times New Roman"/>
        </w:rPr>
        <w:t>/unit</w:t>
      </w:r>
      <w:r w:rsidR="00A8392D" w:rsidRPr="00371A17">
        <w:rPr>
          <w:rFonts w:ascii="Times New Roman" w:hAnsi="Times New Roman" w:cs="Times New Roman"/>
        </w:rPr>
        <w:t xml:space="preserve"> </w:t>
      </w:r>
      <w:r w:rsidR="003F5E2B" w:rsidRPr="00371A17">
        <w:rPr>
          <w:rFonts w:ascii="Times New Roman" w:hAnsi="Times New Roman" w:cs="Times New Roman"/>
        </w:rPr>
        <w:t>rents remained relatively steady</w:t>
      </w:r>
      <w:r w:rsidR="00A8392D" w:rsidRPr="00371A17">
        <w:rPr>
          <w:rFonts w:ascii="Times New Roman" w:hAnsi="Times New Roman" w:cs="Times New Roman"/>
        </w:rPr>
        <w:t xml:space="preserve"> over the past year </w:t>
      </w:r>
      <w:r w:rsidR="003F5E2B" w:rsidRPr="00371A17">
        <w:rPr>
          <w:rFonts w:ascii="Times New Roman" w:hAnsi="Times New Roman" w:cs="Times New Roman"/>
        </w:rPr>
        <w:t>with only a 1</w:t>
      </w:r>
      <w:r w:rsidR="00931181" w:rsidRPr="00371A17">
        <w:rPr>
          <w:rFonts w:ascii="Times New Roman" w:hAnsi="Times New Roman" w:cs="Times New Roman"/>
        </w:rPr>
        <w:t>.6</w:t>
      </w:r>
      <w:r w:rsidR="003F5E2B" w:rsidRPr="00371A17">
        <w:rPr>
          <w:rFonts w:ascii="Times New Roman" w:hAnsi="Times New Roman" w:cs="Times New Roman"/>
        </w:rPr>
        <w:t>%</w:t>
      </w:r>
      <w:r w:rsidR="00931181" w:rsidRPr="00371A17">
        <w:rPr>
          <w:rFonts w:ascii="Times New Roman" w:hAnsi="Times New Roman" w:cs="Times New Roman"/>
        </w:rPr>
        <w:t xml:space="preserve"> increase to AU$640</w:t>
      </w:r>
      <w:r w:rsidR="003F5E2B" w:rsidRPr="00371A17">
        <w:rPr>
          <w:rFonts w:ascii="Times New Roman" w:hAnsi="Times New Roman" w:cs="Times New Roman"/>
        </w:rPr>
        <w:t>/week</w:t>
      </w:r>
      <w:r w:rsidR="00434974" w:rsidRPr="00371A17">
        <w:rPr>
          <w:rFonts w:ascii="Times New Roman" w:hAnsi="Times New Roman" w:cs="Times New Roman"/>
        </w:rPr>
        <w:t xml:space="preserve"> for a two-bedroom unit (NSW DFCS, 2015)</w:t>
      </w:r>
      <w:r w:rsidR="006A2824" w:rsidRPr="00371A17">
        <w:rPr>
          <w:rFonts w:ascii="Times New Roman" w:hAnsi="Times New Roman" w:cs="Times New Roman"/>
        </w:rPr>
        <w:t xml:space="preserve">.  Sydney’s eastern suburbs experienced the steepest increase in </w:t>
      </w:r>
      <w:r w:rsidR="0071539F" w:rsidRPr="00371A17">
        <w:rPr>
          <w:rFonts w:ascii="Times New Roman" w:hAnsi="Times New Roman" w:cs="Times New Roman"/>
        </w:rPr>
        <w:t xml:space="preserve">home </w:t>
      </w:r>
      <w:r w:rsidR="006A2824" w:rsidRPr="00371A17">
        <w:rPr>
          <w:rFonts w:ascii="Times New Roman" w:hAnsi="Times New Roman" w:cs="Times New Roman"/>
        </w:rPr>
        <w:t>rental rates with an 8.3% annual increase to AU$975/week</w:t>
      </w:r>
      <w:r w:rsidR="003F5E2B" w:rsidRPr="00371A17">
        <w:rPr>
          <w:rFonts w:ascii="Times New Roman" w:hAnsi="Times New Roman" w:cs="Times New Roman"/>
        </w:rPr>
        <w:t xml:space="preserve"> for a house</w:t>
      </w:r>
      <w:r w:rsidR="0071539F" w:rsidRPr="00371A17">
        <w:rPr>
          <w:rFonts w:ascii="Times New Roman" w:hAnsi="Times New Roman" w:cs="Times New Roman"/>
        </w:rPr>
        <w:t>, while the strongest increase in apartment rental rates were seen in the south and south-west which grew at 4.5% and 3.3%, respectively (Wilson 2015b)</w:t>
      </w:r>
      <w:r w:rsidR="006A2824" w:rsidRPr="00371A17">
        <w:rPr>
          <w:rFonts w:ascii="Times New Roman" w:hAnsi="Times New Roman" w:cs="Times New Roman"/>
        </w:rPr>
        <w:t xml:space="preserve">.  </w:t>
      </w:r>
      <w:r w:rsidR="004E7D5A" w:rsidRPr="00371A17">
        <w:rPr>
          <w:rFonts w:ascii="Times New Roman" w:hAnsi="Times New Roman" w:cs="Times New Roman"/>
        </w:rPr>
        <w:t>Population growth and a record number of investors in the market has impacted the increase in housing prices rates</w:t>
      </w:r>
      <w:r w:rsidR="00BB4376" w:rsidRPr="00371A17">
        <w:rPr>
          <w:rFonts w:ascii="Times New Roman" w:hAnsi="Times New Roman" w:cs="Times New Roman"/>
        </w:rPr>
        <w:t>, which has had a carry-on impact on rental rates</w:t>
      </w:r>
      <w:r w:rsidR="004E7D5A" w:rsidRPr="00371A17">
        <w:rPr>
          <w:rFonts w:ascii="Times New Roman" w:hAnsi="Times New Roman" w:cs="Times New Roman"/>
        </w:rPr>
        <w:t>.  These factors combined</w:t>
      </w:r>
      <w:r w:rsidR="00BB4376" w:rsidRPr="00371A17">
        <w:rPr>
          <w:rFonts w:ascii="Times New Roman" w:hAnsi="Times New Roman" w:cs="Times New Roman"/>
        </w:rPr>
        <w:t xml:space="preserve"> </w:t>
      </w:r>
      <w:r w:rsidR="004E7D5A" w:rsidRPr="00371A17">
        <w:rPr>
          <w:rFonts w:ascii="Times New Roman" w:hAnsi="Times New Roman" w:cs="Times New Roman"/>
        </w:rPr>
        <w:t xml:space="preserve">have resulted in potential first-time homebuyers being priced out of the purchase market and </w:t>
      </w:r>
      <w:r w:rsidR="00BB4376" w:rsidRPr="00371A17">
        <w:rPr>
          <w:rFonts w:ascii="Times New Roman" w:hAnsi="Times New Roman" w:cs="Times New Roman"/>
        </w:rPr>
        <w:t xml:space="preserve">forced to </w:t>
      </w:r>
      <w:r w:rsidR="004E7D5A" w:rsidRPr="00371A17">
        <w:rPr>
          <w:rFonts w:ascii="Times New Roman" w:hAnsi="Times New Roman" w:cs="Times New Roman"/>
        </w:rPr>
        <w:t xml:space="preserve">remain renting while they save for a </w:t>
      </w:r>
      <w:r w:rsidR="00371A17" w:rsidRPr="00371A17">
        <w:rPr>
          <w:rFonts w:ascii="Times New Roman" w:hAnsi="Times New Roman" w:cs="Times New Roman"/>
        </w:rPr>
        <w:t>down payment</w:t>
      </w:r>
      <w:r w:rsidR="004E7D5A" w:rsidRPr="00371A17">
        <w:rPr>
          <w:rFonts w:ascii="Times New Roman" w:hAnsi="Times New Roman" w:cs="Times New Roman"/>
        </w:rPr>
        <w:t xml:space="preserve"> (Robb 2015).  </w:t>
      </w:r>
    </w:p>
    <w:p w:rsidR="004E7D5A" w:rsidRPr="00371A17" w:rsidRDefault="004E7D5A" w:rsidP="00B37578">
      <w:pPr>
        <w:spacing w:after="0" w:line="240" w:lineRule="auto"/>
        <w:jc w:val="both"/>
        <w:rPr>
          <w:rFonts w:ascii="Times New Roman" w:hAnsi="Times New Roman" w:cs="Times New Roman"/>
        </w:rPr>
      </w:pPr>
    </w:p>
    <w:p w:rsidR="002708FA" w:rsidRPr="00371A17" w:rsidRDefault="00875097" w:rsidP="00B37578">
      <w:pPr>
        <w:spacing w:after="0" w:line="240" w:lineRule="auto"/>
        <w:jc w:val="both"/>
        <w:rPr>
          <w:rFonts w:ascii="Times New Roman" w:hAnsi="Times New Roman" w:cs="Times New Roman"/>
        </w:rPr>
      </w:pPr>
      <w:r w:rsidRPr="00371A17">
        <w:rPr>
          <w:rFonts w:ascii="Times New Roman" w:hAnsi="Times New Roman" w:cs="Times New Roman"/>
        </w:rPr>
        <w:t>The</w:t>
      </w:r>
      <w:r w:rsidR="007339D4" w:rsidRPr="00371A17">
        <w:rPr>
          <w:rFonts w:ascii="Times New Roman" w:hAnsi="Times New Roman" w:cs="Times New Roman"/>
        </w:rPr>
        <w:t xml:space="preserve"> dramatic </w:t>
      </w:r>
      <w:r w:rsidRPr="00371A17">
        <w:rPr>
          <w:rFonts w:ascii="Times New Roman" w:hAnsi="Times New Roman" w:cs="Times New Roman"/>
        </w:rPr>
        <w:t>change</w:t>
      </w:r>
      <w:r w:rsidR="007339D4" w:rsidRPr="00371A17">
        <w:rPr>
          <w:rFonts w:ascii="Times New Roman" w:hAnsi="Times New Roman" w:cs="Times New Roman"/>
        </w:rPr>
        <w:t xml:space="preserve"> in the </w:t>
      </w:r>
      <w:r w:rsidRPr="00371A17">
        <w:rPr>
          <w:rFonts w:ascii="Times New Roman" w:hAnsi="Times New Roman" w:cs="Times New Roman"/>
        </w:rPr>
        <w:t xml:space="preserve">cost of </w:t>
      </w:r>
      <w:r w:rsidR="007339D4" w:rsidRPr="00371A17">
        <w:rPr>
          <w:rFonts w:ascii="Times New Roman" w:hAnsi="Times New Roman" w:cs="Times New Roman"/>
        </w:rPr>
        <w:t xml:space="preserve">housing </w:t>
      </w:r>
      <w:r w:rsidRPr="00371A17">
        <w:rPr>
          <w:rFonts w:ascii="Times New Roman" w:hAnsi="Times New Roman" w:cs="Times New Roman"/>
        </w:rPr>
        <w:t>has meant</w:t>
      </w:r>
      <w:r w:rsidR="00C71390" w:rsidRPr="00371A17">
        <w:rPr>
          <w:rFonts w:ascii="Times New Roman" w:hAnsi="Times New Roman" w:cs="Times New Roman"/>
        </w:rPr>
        <w:t xml:space="preserve"> that </w:t>
      </w:r>
      <w:r w:rsidRPr="00371A17">
        <w:rPr>
          <w:rFonts w:ascii="Times New Roman" w:hAnsi="Times New Roman" w:cs="Times New Roman"/>
        </w:rPr>
        <w:t>the number and type</w:t>
      </w:r>
      <w:r w:rsidR="007339D4" w:rsidRPr="00371A17">
        <w:rPr>
          <w:rFonts w:ascii="Times New Roman" w:hAnsi="Times New Roman" w:cs="Times New Roman"/>
        </w:rPr>
        <w:t xml:space="preserve"> of people needing affordable housing solutions is widening. </w:t>
      </w:r>
      <w:r w:rsidR="000E1D56" w:rsidRPr="00371A17">
        <w:rPr>
          <w:rFonts w:ascii="Times New Roman" w:hAnsi="Times New Roman" w:cs="Times New Roman"/>
        </w:rPr>
        <w:t xml:space="preserve"> </w:t>
      </w:r>
      <w:r w:rsidR="00371A17" w:rsidRPr="00371A17">
        <w:rPr>
          <w:rFonts w:ascii="Times New Roman" w:hAnsi="Times New Roman" w:cs="Times New Roman"/>
        </w:rPr>
        <w:t>Crawford (</w:t>
      </w:r>
      <w:r w:rsidR="00E237AA" w:rsidRPr="00371A17">
        <w:rPr>
          <w:rFonts w:ascii="Times New Roman" w:hAnsi="Times New Roman" w:cs="Times New Roman"/>
        </w:rPr>
        <w:t>2011</w:t>
      </w:r>
      <w:r w:rsidR="00501EEB" w:rsidRPr="00371A17">
        <w:rPr>
          <w:rFonts w:ascii="Times New Roman" w:hAnsi="Times New Roman" w:cs="Times New Roman"/>
        </w:rPr>
        <w:t xml:space="preserve">) </w:t>
      </w:r>
      <w:r w:rsidR="007339D4" w:rsidRPr="00371A17">
        <w:rPr>
          <w:rFonts w:ascii="Times New Roman" w:hAnsi="Times New Roman" w:cs="Times New Roman"/>
        </w:rPr>
        <w:t xml:space="preserve">found </w:t>
      </w:r>
      <w:r w:rsidR="00501EEB" w:rsidRPr="00371A17">
        <w:rPr>
          <w:rFonts w:ascii="Times New Roman" w:hAnsi="Times New Roman" w:cs="Times New Roman"/>
        </w:rPr>
        <w:t xml:space="preserve">that </w:t>
      </w:r>
      <w:r w:rsidR="007339D4" w:rsidRPr="00371A17">
        <w:rPr>
          <w:rFonts w:ascii="Times New Roman" w:hAnsi="Times New Roman" w:cs="Times New Roman"/>
        </w:rPr>
        <w:t>essential service workers</w:t>
      </w:r>
      <w:r w:rsidR="00501EEB" w:rsidRPr="00371A17">
        <w:rPr>
          <w:rFonts w:ascii="Times New Roman" w:hAnsi="Times New Roman" w:cs="Times New Roman"/>
        </w:rPr>
        <w:t xml:space="preserve"> (e.g. </w:t>
      </w:r>
      <w:r w:rsidR="007339D4" w:rsidRPr="00371A17">
        <w:rPr>
          <w:rFonts w:ascii="Times New Roman" w:hAnsi="Times New Roman" w:cs="Times New Roman"/>
        </w:rPr>
        <w:t>nurses, teachers, police officers</w:t>
      </w:r>
      <w:r w:rsidR="00501EEB" w:rsidRPr="00371A17">
        <w:rPr>
          <w:rFonts w:ascii="Times New Roman" w:hAnsi="Times New Roman" w:cs="Times New Roman"/>
        </w:rPr>
        <w:t xml:space="preserve">) </w:t>
      </w:r>
      <w:r w:rsidR="007339D4" w:rsidRPr="00371A17">
        <w:rPr>
          <w:rFonts w:ascii="Times New Roman" w:hAnsi="Times New Roman" w:cs="Times New Roman"/>
        </w:rPr>
        <w:t>face significant barriers to purchasing a home</w:t>
      </w:r>
      <w:r w:rsidR="00501EEB" w:rsidRPr="00371A17">
        <w:rPr>
          <w:rFonts w:ascii="Times New Roman" w:hAnsi="Times New Roman" w:cs="Times New Roman"/>
        </w:rPr>
        <w:t xml:space="preserve"> in Sydney</w:t>
      </w:r>
      <w:r w:rsidR="007339D4" w:rsidRPr="00371A17">
        <w:rPr>
          <w:rFonts w:ascii="Times New Roman" w:hAnsi="Times New Roman" w:cs="Times New Roman"/>
        </w:rPr>
        <w:t xml:space="preserve">. </w:t>
      </w:r>
      <w:r w:rsidR="00501EEB" w:rsidRPr="00371A17">
        <w:rPr>
          <w:rFonts w:ascii="Times New Roman" w:hAnsi="Times New Roman" w:cs="Times New Roman"/>
        </w:rPr>
        <w:t xml:space="preserve"> </w:t>
      </w:r>
      <w:r w:rsidR="007339D4" w:rsidRPr="00371A17">
        <w:rPr>
          <w:rFonts w:ascii="Times New Roman" w:hAnsi="Times New Roman" w:cs="Times New Roman"/>
        </w:rPr>
        <w:t xml:space="preserve">On the basis of the </w:t>
      </w:r>
      <w:r w:rsidR="00501EEB" w:rsidRPr="00371A17">
        <w:rPr>
          <w:rFonts w:ascii="Times New Roman" w:hAnsi="Times New Roman" w:cs="Times New Roman"/>
        </w:rPr>
        <w:t>‘30/40 rule’</w:t>
      </w:r>
      <w:r w:rsidR="007339D4" w:rsidRPr="00371A17">
        <w:rPr>
          <w:rFonts w:ascii="Times New Roman" w:hAnsi="Times New Roman" w:cs="Times New Roman"/>
        </w:rPr>
        <w:t xml:space="preserve">, </w:t>
      </w:r>
      <w:r w:rsidR="00501EEB" w:rsidRPr="00371A17">
        <w:rPr>
          <w:rFonts w:ascii="Times New Roman" w:hAnsi="Times New Roman" w:cs="Times New Roman"/>
        </w:rPr>
        <w:t xml:space="preserve">the report indicates that </w:t>
      </w:r>
      <w:r w:rsidR="007339D4" w:rsidRPr="00371A17">
        <w:rPr>
          <w:rFonts w:ascii="Times New Roman" w:hAnsi="Times New Roman" w:cs="Times New Roman"/>
        </w:rPr>
        <w:t>Sydney was the least affordable city</w:t>
      </w:r>
      <w:r w:rsidR="009E3FFF" w:rsidRPr="00371A17">
        <w:rPr>
          <w:rFonts w:ascii="Times New Roman" w:hAnsi="Times New Roman" w:cs="Times New Roman"/>
        </w:rPr>
        <w:t xml:space="preserve"> for essential workers in Australia</w:t>
      </w:r>
      <w:r w:rsidR="00DF78FC" w:rsidRPr="00371A17">
        <w:rPr>
          <w:rFonts w:ascii="Times New Roman" w:hAnsi="Times New Roman" w:cs="Times New Roman"/>
        </w:rPr>
        <w:t>,</w:t>
      </w:r>
      <w:r w:rsidR="009E3FFF" w:rsidRPr="00371A17">
        <w:rPr>
          <w:rFonts w:ascii="Times New Roman" w:hAnsi="Times New Roman" w:cs="Times New Roman"/>
        </w:rPr>
        <w:t xml:space="preserve"> with the median key worker house price to earnings ratio at 8.3 in 2010.  </w:t>
      </w:r>
      <w:r w:rsidR="00DF78FC" w:rsidRPr="00371A17">
        <w:rPr>
          <w:rFonts w:ascii="Times New Roman" w:hAnsi="Times New Roman" w:cs="Times New Roman"/>
        </w:rPr>
        <w:t>In 84% of LGAs in Sydney, k</w:t>
      </w:r>
      <w:r w:rsidR="009E3FFF" w:rsidRPr="00371A17">
        <w:rPr>
          <w:rFonts w:ascii="Times New Roman" w:hAnsi="Times New Roman" w:cs="Times New Roman"/>
        </w:rPr>
        <w:t>ey workers faced</w:t>
      </w:r>
      <w:r w:rsidR="00E237AA" w:rsidRPr="00371A17">
        <w:rPr>
          <w:rFonts w:ascii="Times New Roman" w:hAnsi="Times New Roman" w:cs="Times New Roman"/>
        </w:rPr>
        <w:t xml:space="preserve"> house prices more than five times their salary, up from 77%</w:t>
      </w:r>
      <w:r w:rsidR="00DF78FC" w:rsidRPr="00371A17">
        <w:rPr>
          <w:rFonts w:ascii="Times New Roman" w:hAnsi="Times New Roman" w:cs="Times New Roman"/>
        </w:rPr>
        <w:t xml:space="preserve"> of LGAs</w:t>
      </w:r>
      <w:r w:rsidR="00E237AA" w:rsidRPr="00371A17">
        <w:rPr>
          <w:rFonts w:ascii="Times New Roman" w:hAnsi="Times New Roman" w:cs="Times New Roman"/>
        </w:rPr>
        <w:t xml:space="preserve"> in 2009</w:t>
      </w:r>
      <w:r w:rsidR="009E3FFF" w:rsidRPr="00371A17">
        <w:rPr>
          <w:rFonts w:ascii="Times New Roman" w:hAnsi="Times New Roman" w:cs="Times New Roman"/>
        </w:rPr>
        <w:t>.</w:t>
      </w:r>
      <w:r w:rsidR="002708FA" w:rsidRPr="00371A17">
        <w:rPr>
          <w:rFonts w:ascii="Times New Roman" w:hAnsi="Times New Roman" w:cs="Times New Roman"/>
        </w:rPr>
        <w:t xml:space="preserve">  </w:t>
      </w:r>
      <w:r w:rsidR="004F096A" w:rsidRPr="00371A17">
        <w:rPr>
          <w:rFonts w:ascii="Times New Roman" w:hAnsi="Times New Roman" w:cs="Times New Roman"/>
        </w:rPr>
        <w:t xml:space="preserve">Figure </w:t>
      </w:r>
      <w:r w:rsidR="00A85CFC" w:rsidRPr="00371A17">
        <w:rPr>
          <w:rFonts w:ascii="Times New Roman" w:hAnsi="Times New Roman" w:cs="Times New Roman"/>
        </w:rPr>
        <w:t>1</w:t>
      </w:r>
      <w:r w:rsidR="004F096A" w:rsidRPr="00371A17">
        <w:rPr>
          <w:rFonts w:ascii="Times New Roman" w:hAnsi="Times New Roman" w:cs="Times New Roman"/>
        </w:rPr>
        <w:t xml:space="preserve"> illustrates the percentage of very low, low and moderate households experiencing </w:t>
      </w:r>
      <w:r w:rsidR="00497CBC" w:rsidRPr="00371A17">
        <w:rPr>
          <w:rFonts w:ascii="Times New Roman" w:hAnsi="Times New Roman" w:cs="Times New Roman"/>
        </w:rPr>
        <w:t xml:space="preserve">housing </w:t>
      </w:r>
      <w:r w:rsidR="00DF78FC" w:rsidRPr="00371A17">
        <w:rPr>
          <w:rFonts w:ascii="Times New Roman" w:hAnsi="Times New Roman" w:cs="Times New Roman"/>
        </w:rPr>
        <w:t>stress as a result of increased</w:t>
      </w:r>
      <w:r w:rsidR="00497CBC" w:rsidRPr="00371A17">
        <w:rPr>
          <w:rFonts w:ascii="Times New Roman" w:hAnsi="Times New Roman" w:cs="Times New Roman"/>
        </w:rPr>
        <w:t xml:space="preserve"> </w:t>
      </w:r>
      <w:r w:rsidR="00DF78FC" w:rsidRPr="00371A17">
        <w:rPr>
          <w:rFonts w:ascii="Times New Roman" w:hAnsi="Times New Roman" w:cs="Times New Roman"/>
        </w:rPr>
        <w:t xml:space="preserve">homeownership </w:t>
      </w:r>
      <w:r w:rsidR="00D80FF7" w:rsidRPr="00371A17">
        <w:rPr>
          <w:rFonts w:ascii="Times New Roman" w:hAnsi="Times New Roman" w:cs="Times New Roman"/>
        </w:rPr>
        <w:t xml:space="preserve">and rental </w:t>
      </w:r>
      <w:r w:rsidR="00497CBC" w:rsidRPr="00371A17">
        <w:rPr>
          <w:rFonts w:ascii="Times New Roman" w:hAnsi="Times New Roman" w:cs="Times New Roman"/>
        </w:rPr>
        <w:t>prices</w:t>
      </w:r>
      <w:r w:rsidR="00D80FF7" w:rsidRPr="00371A17">
        <w:rPr>
          <w:rFonts w:ascii="Times New Roman" w:hAnsi="Times New Roman" w:cs="Times New Roman"/>
        </w:rPr>
        <w:t xml:space="preserve"> for Sydney</w:t>
      </w:r>
      <w:r w:rsidR="00A85CFC" w:rsidRPr="00371A17">
        <w:rPr>
          <w:rFonts w:ascii="Times New Roman" w:hAnsi="Times New Roman" w:cs="Times New Roman"/>
        </w:rPr>
        <w:t xml:space="preserve"> homes and apartments.  Figure 2</w:t>
      </w:r>
      <w:r w:rsidR="00D80FF7" w:rsidRPr="00371A17">
        <w:rPr>
          <w:rFonts w:ascii="Times New Roman" w:hAnsi="Times New Roman" w:cs="Times New Roman"/>
        </w:rPr>
        <w:t xml:space="preserve"> the diminishing affordable rental stock for very low, low and moderate households</w:t>
      </w:r>
      <w:r w:rsidR="00497CBC" w:rsidRPr="00371A17">
        <w:rPr>
          <w:rFonts w:ascii="Times New Roman" w:hAnsi="Times New Roman" w:cs="Times New Roman"/>
        </w:rPr>
        <w:t xml:space="preserve">.  </w:t>
      </w:r>
    </w:p>
    <w:p w:rsidR="004A1FBE" w:rsidRPr="00371A17" w:rsidRDefault="004A1FBE" w:rsidP="00B37578">
      <w:pPr>
        <w:spacing w:after="0" w:line="240" w:lineRule="auto"/>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1342"/>
        <w:gridCol w:w="1342"/>
        <w:gridCol w:w="1342"/>
        <w:gridCol w:w="1342"/>
        <w:gridCol w:w="1342"/>
        <w:gridCol w:w="1342"/>
        <w:gridCol w:w="1342"/>
      </w:tblGrid>
      <w:tr w:rsidR="00501379" w:rsidRPr="00371A17" w:rsidTr="00932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Borders>
              <w:top w:val="single" w:sz="2" w:space="0" w:color="auto"/>
              <w:left w:val="single" w:sz="2" w:space="0" w:color="auto"/>
              <w:bottom w:val="single" w:sz="2" w:space="0" w:color="FFFFFF" w:themeColor="background1"/>
              <w:right w:val="single" w:sz="2" w:space="0" w:color="FFFFFF" w:themeColor="background1"/>
            </w:tcBorders>
          </w:tcPr>
          <w:p w:rsidR="00501379" w:rsidRPr="00371A17" w:rsidRDefault="00501379" w:rsidP="00501379">
            <w:pPr>
              <w:jc w:val="center"/>
              <w:rPr>
                <w:rFonts w:ascii="Times New Roman" w:hAnsi="Times New Roman" w:cs="Times New Roman"/>
                <w:b w:val="0"/>
              </w:rPr>
            </w:pPr>
            <w:r w:rsidRPr="00371A17">
              <w:rPr>
                <w:rFonts w:ascii="Times New Roman" w:hAnsi="Times New Roman" w:cs="Times New Roman"/>
                <w:b w:val="0"/>
              </w:rPr>
              <w:t>Area</w:t>
            </w:r>
          </w:p>
        </w:tc>
        <w:tc>
          <w:tcPr>
            <w:tcW w:w="2684"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rsidR="00501379" w:rsidRPr="00371A17" w:rsidRDefault="00501379" w:rsidP="005013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 of Very Low Income Households</w:t>
            </w:r>
          </w:p>
        </w:tc>
        <w:tc>
          <w:tcPr>
            <w:tcW w:w="2684"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501379" w:rsidRPr="00371A17" w:rsidRDefault="00501379" w:rsidP="005013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 of Low Income Households</w:t>
            </w:r>
          </w:p>
        </w:tc>
        <w:tc>
          <w:tcPr>
            <w:tcW w:w="2684" w:type="dxa"/>
            <w:gridSpan w:val="2"/>
            <w:tcBorders>
              <w:top w:val="single" w:sz="2" w:space="0" w:color="auto"/>
              <w:left w:val="single" w:sz="4" w:space="0" w:color="FFFFFF" w:themeColor="background1"/>
              <w:bottom w:val="single" w:sz="4" w:space="0" w:color="FFFFFF" w:themeColor="background1"/>
              <w:right w:val="single" w:sz="2" w:space="0" w:color="auto"/>
            </w:tcBorders>
          </w:tcPr>
          <w:p w:rsidR="00501379" w:rsidRPr="00371A17" w:rsidRDefault="00501379" w:rsidP="005013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 of Moderate Income Households</w:t>
            </w:r>
          </w:p>
        </w:tc>
      </w:tr>
      <w:tr w:rsidR="00501379" w:rsidRPr="00371A17" w:rsidTr="0093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Borders>
              <w:top w:val="single" w:sz="2" w:space="0" w:color="FFFFFF" w:themeColor="background1"/>
              <w:left w:val="single" w:sz="2" w:space="0" w:color="auto"/>
            </w:tcBorders>
          </w:tcPr>
          <w:p w:rsidR="00501379" w:rsidRPr="00371A17" w:rsidRDefault="00D80FF7" w:rsidP="00501379">
            <w:pPr>
              <w:jc w:val="both"/>
              <w:rPr>
                <w:rFonts w:ascii="Times New Roman" w:hAnsi="Times New Roman" w:cs="Times New Roman"/>
              </w:rPr>
            </w:pPr>
            <w:r w:rsidRPr="00371A17">
              <w:rPr>
                <w:rFonts w:ascii="Times New Roman" w:hAnsi="Times New Roman" w:cs="Times New Roman"/>
              </w:rPr>
              <w:t xml:space="preserve"> </w:t>
            </w:r>
          </w:p>
        </w:tc>
        <w:tc>
          <w:tcPr>
            <w:tcW w:w="1342" w:type="dxa"/>
            <w:tcBorders>
              <w:top w:val="single" w:sz="4" w:space="0" w:color="FFFFFF" w:themeColor="background1"/>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Rental Stress</w:t>
            </w:r>
          </w:p>
        </w:tc>
        <w:tc>
          <w:tcPr>
            <w:tcW w:w="1342" w:type="dxa"/>
            <w:tcBorders>
              <w:top w:val="single" w:sz="4" w:space="0" w:color="FFFFFF" w:themeColor="background1"/>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Purchase Stress</w:t>
            </w:r>
          </w:p>
        </w:tc>
        <w:tc>
          <w:tcPr>
            <w:tcW w:w="1342" w:type="dxa"/>
            <w:tcBorders>
              <w:top w:val="single" w:sz="4" w:space="0" w:color="FFFFFF" w:themeColor="background1"/>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Rental Stress</w:t>
            </w:r>
          </w:p>
        </w:tc>
        <w:tc>
          <w:tcPr>
            <w:tcW w:w="1342" w:type="dxa"/>
            <w:tcBorders>
              <w:top w:val="single" w:sz="4" w:space="0" w:color="FFFFFF" w:themeColor="background1"/>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Purchase Stress</w:t>
            </w:r>
          </w:p>
        </w:tc>
        <w:tc>
          <w:tcPr>
            <w:tcW w:w="1342" w:type="dxa"/>
            <w:tcBorders>
              <w:top w:val="single" w:sz="4" w:space="0" w:color="FFFFFF" w:themeColor="background1"/>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Rental Stress</w:t>
            </w:r>
          </w:p>
        </w:tc>
        <w:tc>
          <w:tcPr>
            <w:tcW w:w="1342" w:type="dxa"/>
            <w:tcBorders>
              <w:top w:val="single" w:sz="4" w:space="0" w:color="FFFFFF" w:themeColor="background1"/>
              <w:right w:val="single" w:sz="2" w:space="0" w:color="auto"/>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Purchase Stress</w:t>
            </w:r>
          </w:p>
        </w:tc>
      </w:tr>
      <w:tr w:rsidR="00501379" w:rsidRPr="00371A17" w:rsidTr="00932ADA">
        <w:tc>
          <w:tcPr>
            <w:cnfStyle w:val="001000000000" w:firstRow="0" w:lastRow="0" w:firstColumn="1" w:lastColumn="0" w:oddVBand="0" w:evenVBand="0" w:oddHBand="0" w:evenHBand="0" w:firstRowFirstColumn="0" w:firstRowLastColumn="0" w:lastRowFirstColumn="0" w:lastRowLastColumn="0"/>
            <w:tcW w:w="1342" w:type="dxa"/>
            <w:tcBorders>
              <w:left w:val="single" w:sz="2" w:space="0" w:color="auto"/>
            </w:tcBorders>
          </w:tcPr>
          <w:p w:rsidR="00501379" w:rsidRPr="00371A17" w:rsidRDefault="00501379" w:rsidP="00501379">
            <w:pPr>
              <w:jc w:val="both"/>
              <w:rPr>
                <w:rFonts w:ascii="Times New Roman" w:hAnsi="Times New Roman" w:cs="Times New Roman"/>
                <w:b w:val="0"/>
              </w:rPr>
            </w:pPr>
            <w:r w:rsidRPr="00371A17">
              <w:rPr>
                <w:rFonts w:ascii="Times New Roman" w:hAnsi="Times New Roman" w:cs="Times New Roman"/>
                <w:b w:val="0"/>
              </w:rPr>
              <w:t>Sydney</w:t>
            </w:r>
          </w:p>
        </w:tc>
        <w:tc>
          <w:tcPr>
            <w:tcW w:w="1342" w:type="dxa"/>
          </w:tcPr>
          <w:p w:rsidR="00501379" w:rsidRPr="00371A17" w:rsidRDefault="00501379" w:rsidP="005013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98</w:t>
            </w:r>
          </w:p>
        </w:tc>
        <w:tc>
          <w:tcPr>
            <w:tcW w:w="1342" w:type="dxa"/>
          </w:tcPr>
          <w:p w:rsidR="00501379" w:rsidRPr="00371A17" w:rsidRDefault="00501379" w:rsidP="005013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83</w:t>
            </w:r>
          </w:p>
        </w:tc>
        <w:tc>
          <w:tcPr>
            <w:tcW w:w="1342" w:type="dxa"/>
          </w:tcPr>
          <w:p w:rsidR="00501379" w:rsidRPr="00371A17" w:rsidRDefault="00501379" w:rsidP="005013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91</w:t>
            </w:r>
          </w:p>
        </w:tc>
        <w:tc>
          <w:tcPr>
            <w:tcW w:w="1342" w:type="dxa"/>
          </w:tcPr>
          <w:p w:rsidR="00501379" w:rsidRPr="00371A17" w:rsidRDefault="00501379" w:rsidP="005013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74</w:t>
            </w:r>
          </w:p>
        </w:tc>
        <w:tc>
          <w:tcPr>
            <w:tcW w:w="1342" w:type="dxa"/>
          </w:tcPr>
          <w:p w:rsidR="00501379" w:rsidRPr="00371A17" w:rsidRDefault="00501379" w:rsidP="005013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73</w:t>
            </w:r>
          </w:p>
        </w:tc>
        <w:tc>
          <w:tcPr>
            <w:tcW w:w="1342" w:type="dxa"/>
            <w:tcBorders>
              <w:right w:val="single" w:sz="2" w:space="0" w:color="auto"/>
            </w:tcBorders>
          </w:tcPr>
          <w:p w:rsidR="00501379" w:rsidRPr="00371A17" w:rsidRDefault="00501379" w:rsidP="005013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63</w:t>
            </w:r>
          </w:p>
        </w:tc>
      </w:tr>
      <w:tr w:rsidR="00501379" w:rsidRPr="00371A17" w:rsidTr="0093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Borders>
              <w:left w:val="single" w:sz="2" w:space="0" w:color="auto"/>
              <w:bottom w:val="single" w:sz="2" w:space="0" w:color="auto"/>
            </w:tcBorders>
          </w:tcPr>
          <w:p w:rsidR="00501379" w:rsidRPr="00371A17" w:rsidRDefault="00501379" w:rsidP="00501379">
            <w:pPr>
              <w:jc w:val="both"/>
              <w:rPr>
                <w:rFonts w:ascii="Times New Roman" w:hAnsi="Times New Roman" w:cs="Times New Roman"/>
                <w:b w:val="0"/>
              </w:rPr>
            </w:pPr>
            <w:r w:rsidRPr="00371A17">
              <w:rPr>
                <w:rFonts w:ascii="Times New Roman" w:hAnsi="Times New Roman" w:cs="Times New Roman"/>
                <w:b w:val="0"/>
              </w:rPr>
              <w:t>Sydney SD</w:t>
            </w:r>
          </w:p>
        </w:tc>
        <w:tc>
          <w:tcPr>
            <w:tcW w:w="1342" w:type="dxa"/>
            <w:tcBorders>
              <w:bottom w:val="single" w:sz="2" w:space="0" w:color="auto"/>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w:t>
            </w:r>
            <w:r w:rsidR="004F096A" w:rsidRPr="00371A17">
              <w:rPr>
                <w:rFonts w:ascii="Times New Roman" w:hAnsi="Times New Roman" w:cs="Times New Roman"/>
              </w:rPr>
              <w:t>5</w:t>
            </w:r>
          </w:p>
        </w:tc>
        <w:tc>
          <w:tcPr>
            <w:tcW w:w="1342" w:type="dxa"/>
            <w:tcBorders>
              <w:bottom w:val="single" w:sz="2" w:space="0" w:color="auto"/>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78</w:t>
            </w:r>
          </w:p>
        </w:tc>
        <w:tc>
          <w:tcPr>
            <w:tcW w:w="1342" w:type="dxa"/>
            <w:tcBorders>
              <w:bottom w:val="single" w:sz="2" w:space="0" w:color="auto"/>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69</w:t>
            </w:r>
          </w:p>
        </w:tc>
        <w:tc>
          <w:tcPr>
            <w:tcW w:w="1342" w:type="dxa"/>
            <w:tcBorders>
              <w:bottom w:val="single" w:sz="2" w:space="0" w:color="auto"/>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60</w:t>
            </w:r>
          </w:p>
        </w:tc>
        <w:tc>
          <w:tcPr>
            <w:tcW w:w="1342" w:type="dxa"/>
            <w:tcBorders>
              <w:bottom w:val="single" w:sz="2" w:space="0" w:color="auto"/>
            </w:tcBorders>
          </w:tcPr>
          <w:p w:rsidR="00501379" w:rsidRPr="00371A17" w:rsidRDefault="00501379" w:rsidP="005013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43</w:t>
            </w:r>
          </w:p>
        </w:tc>
        <w:tc>
          <w:tcPr>
            <w:tcW w:w="1342" w:type="dxa"/>
            <w:tcBorders>
              <w:bottom w:val="single" w:sz="2" w:space="0" w:color="auto"/>
              <w:right w:val="single" w:sz="2" w:space="0" w:color="auto"/>
            </w:tcBorders>
          </w:tcPr>
          <w:p w:rsidR="00501379" w:rsidRPr="00371A17" w:rsidRDefault="00501379" w:rsidP="0050137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43</w:t>
            </w:r>
          </w:p>
        </w:tc>
      </w:tr>
    </w:tbl>
    <w:p w:rsidR="004A1FBE" w:rsidRPr="00371A17" w:rsidRDefault="00501379" w:rsidP="00501379">
      <w:pPr>
        <w:pStyle w:val="Caption"/>
        <w:rPr>
          <w:rFonts w:ascii="Times New Roman" w:hAnsi="Times New Roman" w:cs="Times New Roman"/>
          <w:color w:val="auto"/>
          <w:sz w:val="22"/>
          <w:szCs w:val="22"/>
        </w:rPr>
      </w:pPr>
      <w:r w:rsidRPr="00371A17">
        <w:rPr>
          <w:rFonts w:ascii="Times New Roman" w:hAnsi="Times New Roman" w:cs="Times New Roman"/>
          <w:color w:val="auto"/>
          <w:sz w:val="22"/>
          <w:szCs w:val="22"/>
        </w:rPr>
        <w:t xml:space="preserve">Figure </w:t>
      </w:r>
      <w:r w:rsidRPr="00371A17">
        <w:rPr>
          <w:rFonts w:ascii="Times New Roman" w:hAnsi="Times New Roman" w:cs="Times New Roman"/>
          <w:color w:val="auto"/>
          <w:sz w:val="22"/>
          <w:szCs w:val="22"/>
        </w:rPr>
        <w:fldChar w:fldCharType="begin"/>
      </w:r>
      <w:r w:rsidRPr="00371A17">
        <w:rPr>
          <w:rFonts w:ascii="Times New Roman" w:hAnsi="Times New Roman" w:cs="Times New Roman"/>
          <w:color w:val="auto"/>
          <w:sz w:val="22"/>
          <w:szCs w:val="22"/>
        </w:rPr>
        <w:instrText xml:space="preserve"> SEQ Figure \* ARABIC </w:instrText>
      </w:r>
      <w:r w:rsidRPr="00371A17">
        <w:rPr>
          <w:rFonts w:ascii="Times New Roman" w:hAnsi="Times New Roman" w:cs="Times New Roman"/>
          <w:color w:val="auto"/>
          <w:sz w:val="22"/>
          <w:szCs w:val="22"/>
        </w:rPr>
        <w:fldChar w:fldCharType="separate"/>
      </w:r>
      <w:r w:rsidR="00A85CFC" w:rsidRPr="00371A17">
        <w:rPr>
          <w:rFonts w:ascii="Times New Roman" w:hAnsi="Times New Roman" w:cs="Times New Roman"/>
          <w:color w:val="auto"/>
          <w:sz w:val="22"/>
          <w:szCs w:val="22"/>
        </w:rPr>
        <w:t>1</w:t>
      </w:r>
      <w:r w:rsidRPr="00371A17">
        <w:rPr>
          <w:rFonts w:ascii="Times New Roman" w:hAnsi="Times New Roman" w:cs="Times New Roman"/>
          <w:color w:val="auto"/>
          <w:sz w:val="22"/>
          <w:szCs w:val="22"/>
        </w:rPr>
        <w:fldChar w:fldCharType="end"/>
      </w:r>
      <w:r w:rsidRPr="00371A17">
        <w:rPr>
          <w:rFonts w:ascii="Times New Roman" w:hAnsi="Times New Roman" w:cs="Times New Roman"/>
          <w:color w:val="auto"/>
          <w:sz w:val="22"/>
          <w:szCs w:val="22"/>
        </w:rPr>
        <w:t>.  Percentage of very low to moderate income households in rental stress</w:t>
      </w:r>
      <w:r w:rsidR="00932ADA" w:rsidRPr="00371A17">
        <w:rPr>
          <w:rFonts w:ascii="Times New Roman" w:hAnsi="Times New Roman" w:cs="Times New Roman"/>
          <w:color w:val="auto"/>
          <w:sz w:val="22"/>
          <w:szCs w:val="22"/>
        </w:rPr>
        <w:t xml:space="preserve"> (Data source: ABS Census 2011: Special Tables - Local Government Housing Kit Database)</w:t>
      </w:r>
    </w:p>
    <w:tbl>
      <w:tblPr>
        <w:tblStyle w:val="GridTable4-Accent5"/>
        <w:tblW w:w="0" w:type="auto"/>
        <w:tblLook w:val="04A0" w:firstRow="1" w:lastRow="0" w:firstColumn="1" w:lastColumn="0" w:noHBand="0" w:noVBand="1"/>
      </w:tblPr>
      <w:tblGrid>
        <w:gridCol w:w="884"/>
        <w:gridCol w:w="711"/>
        <w:gridCol w:w="710"/>
        <w:gridCol w:w="708"/>
        <w:gridCol w:w="708"/>
        <w:gridCol w:w="709"/>
        <w:gridCol w:w="709"/>
        <w:gridCol w:w="709"/>
        <w:gridCol w:w="709"/>
        <w:gridCol w:w="710"/>
        <w:gridCol w:w="709"/>
        <w:gridCol w:w="709"/>
        <w:gridCol w:w="709"/>
      </w:tblGrid>
      <w:tr w:rsidR="00932ADA" w:rsidRPr="00371A17" w:rsidTr="00932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top w:val="single" w:sz="2" w:space="0" w:color="auto"/>
              <w:left w:val="single" w:sz="2" w:space="0" w:color="auto"/>
              <w:bottom w:val="single" w:sz="2" w:space="0" w:color="FFFFFF" w:themeColor="background1"/>
              <w:right w:val="single" w:sz="2" w:space="0" w:color="FFFFFF" w:themeColor="background1"/>
            </w:tcBorders>
          </w:tcPr>
          <w:p w:rsidR="00932ADA" w:rsidRPr="00371A17" w:rsidRDefault="00932ADA" w:rsidP="00932ADA">
            <w:pPr>
              <w:jc w:val="center"/>
              <w:rPr>
                <w:rFonts w:ascii="Times New Roman" w:hAnsi="Times New Roman" w:cs="Times New Roman"/>
                <w:b w:val="0"/>
              </w:rPr>
            </w:pPr>
            <w:r w:rsidRPr="00371A17">
              <w:rPr>
                <w:rFonts w:ascii="Times New Roman" w:hAnsi="Times New Roman" w:cs="Times New Roman"/>
                <w:b w:val="0"/>
              </w:rPr>
              <w:t>Area</w:t>
            </w:r>
          </w:p>
        </w:tc>
        <w:tc>
          <w:tcPr>
            <w:tcW w:w="2837"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932ADA" w:rsidRPr="00371A17" w:rsidRDefault="00932ADA" w:rsidP="00932A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Affordable Rental Stock</w:t>
            </w:r>
          </w:p>
          <w:p w:rsidR="00932ADA" w:rsidRPr="00371A17" w:rsidRDefault="00932ADA" w:rsidP="00932A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for Very Low Incomes (%)</w:t>
            </w:r>
          </w:p>
        </w:tc>
        <w:tc>
          <w:tcPr>
            <w:tcW w:w="283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932ADA" w:rsidRPr="00371A17" w:rsidRDefault="00932ADA" w:rsidP="00932A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Affordable Rental Stock</w:t>
            </w:r>
          </w:p>
          <w:p w:rsidR="00932ADA" w:rsidRPr="00371A17" w:rsidRDefault="00932ADA" w:rsidP="00932A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for Low Incomes (%)</w:t>
            </w:r>
          </w:p>
        </w:tc>
        <w:tc>
          <w:tcPr>
            <w:tcW w:w="2837" w:type="dxa"/>
            <w:gridSpan w:val="4"/>
            <w:tcBorders>
              <w:top w:val="single" w:sz="2" w:space="0" w:color="auto"/>
              <w:left w:val="single" w:sz="2" w:space="0" w:color="FFFFFF" w:themeColor="background1"/>
              <w:bottom w:val="single" w:sz="2" w:space="0" w:color="FFFFFF" w:themeColor="background1"/>
              <w:right w:val="single" w:sz="2" w:space="0" w:color="auto"/>
            </w:tcBorders>
          </w:tcPr>
          <w:p w:rsidR="00932ADA" w:rsidRPr="00371A17" w:rsidRDefault="00932ADA" w:rsidP="00932A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Affordable Rental Stock</w:t>
            </w:r>
          </w:p>
          <w:p w:rsidR="00932ADA" w:rsidRPr="00371A17" w:rsidRDefault="00932ADA" w:rsidP="00932A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for Moderate Incomes (%)</w:t>
            </w:r>
          </w:p>
        </w:tc>
      </w:tr>
      <w:tr w:rsidR="00932ADA" w:rsidRPr="00371A17" w:rsidTr="0093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top w:val="single" w:sz="2" w:space="0" w:color="FFFFFF" w:themeColor="background1"/>
              <w:left w:val="single" w:sz="2" w:space="0" w:color="auto"/>
            </w:tcBorders>
          </w:tcPr>
          <w:p w:rsidR="00932ADA" w:rsidRPr="00371A17" w:rsidRDefault="00932ADA" w:rsidP="00932ADA">
            <w:pPr>
              <w:jc w:val="center"/>
              <w:rPr>
                <w:rFonts w:ascii="Times New Roman" w:hAnsi="Times New Roman" w:cs="Times New Roman"/>
              </w:rPr>
            </w:pPr>
          </w:p>
        </w:tc>
        <w:tc>
          <w:tcPr>
            <w:tcW w:w="711"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10</w:t>
            </w:r>
          </w:p>
        </w:tc>
        <w:tc>
          <w:tcPr>
            <w:tcW w:w="710"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11</w:t>
            </w:r>
          </w:p>
        </w:tc>
        <w:tc>
          <w:tcPr>
            <w:tcW w:w="708"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12</w:t>
            </w:r>
          </w:p>
        </w:tc>
        <w:tc>
          <w:tcPr>
            <w:tcW w:w="708"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13</w:t>
            </w:r>
          </w:p>
        </w:tc>
        <w:tc>
          <w:tcPr>
            <w:tcW w:w="709"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10</w:t>
            </w:r>
          </w:p>
        </w:tc>
        <w:tc>
          <w:tcPr>
            <w:tcW w:w="709"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11</w:t>
            </w:r>
          </w:p>
        </w:tc>
        <w:tc>
          <w:tcPr>
            <w:tcW w:w="709"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12</w:t>
            </w:r>
          </w:p>
        </w:tc>
        <w:tc>
          <w:tcPr>
            <w:tcW w:w="709"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13</w:t>
            </w:r>
          </w:p>
        </w:tc>
        <w:tc>
          <w:tcPr>
            <w:tcW w:w="710"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10</w:t>
            </w:r>
          </w:p>
        </w:tc>
        <w:tc>
          <w:tcPr>
            <w:tcW w:w="709"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11</w:t>
            </w:r>
          </w:p>
        </w:tc>
        <w:tc>
          <w:tcPr>
            <w:tcW w:w="709" w:type="dxa"/>
            <w:tcBorders>
              <w:top w:val="single" w:sz="2" w:space="0" w:color="FFFFFF" w:themeColor="background1"/>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12</w:t>
            </w:r>
          </w:p>
        </w:tc>
        <w:tc>
          <w:tcPr>
            <w:tcW w:w="709" w:type="dxa"/>
            <w:tcBorders>
              <w:top w:val="single" w:sz="2" w:space="0" w:color="FFFFFF" w:themeColor="background1"/>
              <w:right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Jun</w:t>
            </w:r>
          </w:p>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13</w:t>
            </w:r>
          </w:p>
        </w:tc>
      </w:tr>
      <w:tr w:rsidR="00932ADA" w:rsidRPr="00371A17" w:rsidTr="00932ADA">
        <w:tc>
          <w:tcPr>
            <w:cnfStyle w:val="001000000000" w:firstRow="0" w:lastRow="0" w:firstColumn="1" w:lastColumn="0" w:oddVBand="0" w:evenVBand="0" w:oddHBand="0" w:evenHBand="0" w:firstRowFirstColumn="0" w:firstRowLastColumn="0" w:lastRowFirstColumn="0" w:lastRowLastColumn="0"/>
            <w:tcW w:w="884" w:type="dxa"/>
            <w:tcBorders>
              <w:left w:val="single" w:sz="2" w:space="0" w:color="auto"/>
            </w:tcBorders>
          </w:tcPr>
          <w:p w:rsidR="00932ADA" w:rsidRPr="00371A17" w:rsidRDefault="00932ADA" w:rsidP="00932ADA">
            <w:pPr>
              <w:jc w:val="center"/>
              <w:rPr>
                <w:rFonts w:ascii="Times New Roman" w:hAnsi="Times New Roman" w:cs="Times New Roman"/>
                <w:b w:val="0"/>
              </w:rPr>
            </w:pPr>
            <w:r w:rsidRPr="00371A17">
              <w:rPr>
                <w:rFonts w:ascii="Times New Roman" w:hAnsi="Times New Roman" w:cs="Times New Roman"/>
                <w:b w:val="0"/>
              </w:rPr>
              <w:t>Sydney</w:t>
            </w:r>
          </w:p>
        </w:tc>
        <w:tc>
          <w:tcPr>
            <w:tcW w:w="711"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2.6</w:t>
            </w:r>
          </w:p>
        </w:tc>
        <w:tc>
          <w:tcPr>
            <w:tcW w:w="710"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2.5</w:t>
            </w:r>
          </w:p>
        </w:tc>
        <w:tc>
          <w:tcPr>
            <w:tcW w:w="708"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2.6</w:t>
            </w:r>
          </w:p>
        </w:tc>
        <w:tc>
          <w:tcPr>
            <w:tcW w:w="708"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2.8</w:t>
            </w:r>
          </w:p>
        </w:tc>
        <w:tc>
          <w:tcPr>
            <w:tcW w:w="709"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9.9</w:t>
            </w:r>
          </w:p>
        </w:tc>
        <w:tc>
          <w:tcPr>
            <w:tcW w:w="709"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8.2</w:t>
            </w:r>
          </w:p>
        </w:tc>
        <w:tc>
          <w:tcPr>
            <w:tcW w:w="709"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8.1</w:t>
            </w:r>
          </w:p>
        </w:tc>
        <w:tc>
          <w:tcPr>
            <w:tcW w:w="709"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9.5</w:t>
            </w:r>
          </w:p>
        </w:tc>
        <w:tc>
          <w:tcPr>
            <w:tcW w:w="710"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33.5</w:t>
            </w:r>
          </w:p>
        </w:tc>
        <w:tc>
          <w:tcPr>
            <w:tcW w:w="709"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31.3</w:t>
            </w:r>
          </w:p>
        </w:tc>
        <w:tc>
          <w:tcPr>
            <w:tcW w:w="709" w:type="dxa"/>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29.7</w:t>
            </w:r>
          </w:p>
        </w:tc>
        <w:tc>
          <w:tcPr>
            <w:tcW w:w="709" w:type="dxa"/>
            <w:tcBorders>
              <w:right w:val="single" w:sz="2" w:space="0" w:color="auto"/>
            </w:tcBorders>
            <w:vAlign w:val="bottom"/>
          </w:tcPr>
          <w:p w:rsidR="00932ADA" w:rsidRPr="00371A17" w:rsidRDefault="00932ADA" w:rsidP="00932A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33.9</w:t>
            </w:r>
          </w:p>
        </w:tc>
      </w:tr>
      <w:tr w:rsidR="00932ADA" w:rsidRPr="00371A17" w:rsidTr="0093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left w:val="single" w:sz="2" w:space="0" w:color="auto"/>
              <w:bottom w:val="single" w:sz="2" w:space="0" w:color="auto"/>
            </w:tcBorders>
          </w:tcPr>
          <w:p w:rsidR="00932ADA" w:rsidRPr="00371A17" w:rsidRDefault="00932ADA" w:rsidP="00932ADA">
            <w:pPr>
              <w:jc w:val="center"/>
              <w:rPr>
                <w:rFonts w:ascii="Times New Roman" w:hAnsi="Times New Roman" w:cs="Times New Roman"/>
                <w:b w:val="0"/>
              </w:rPr>
            </w:pPr>
            <w:r w:rsidRPr="00371A17">
              <w:rPr>
                <w:rFonts w:ascii="Times New Roman" w:hAnsi="Times New Roman" w:cs="Times New Roman"/>
                <w:b w:val="0"/>
              </w:rPr>
              <w:t>Sydney SD</w:t>
            </w:r>
          </w:p>
        </w:tc>
        <w:tc>
          <w:tcPr>
            <w:tcW w:w="711"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4.6</w:t>
            </w:r>
          </w:p>
        </w:tc>
        <w:tc>
          <w:tcPr>
            <w:tcW w:w="710"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4.3</w:t>
            </w:r>
          </w:p>
        </w:tc>
        <w:tc>
          <w:tcPr>
            <w:tcW w:w="708"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3.6</w:t>
            </w:r>
          </w:p>
        </w:tc>
        <w:tc>
          <w:tcPr>
            <w:tcW w:w="708"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4.1</w:t>
            </w:r>
          </w:p>
        </w:tc>
        <w:tc>
          <w:tcPr>
            <w:tcW w:w="709"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18.6</w:t>
            </w:r>
          </w:p>
        </w:tc>
        <w:tc>
          <w:tcPr>
            <w:tcW w:w="709"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16.3</w:t>
            </w:r>
          </w:p>
        </w:tc>
        <w:tc>
          <w:tcPr>
            <w:tcW w:w="709"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15.0</w:t>
            </w:r>
          </w:p>
        </w:tc>
        <w:tc>
          <w:tcPr>
            <w:tcW w:w="709"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17.8</w:t>
            </w:r>
          </w:p>
        </w:tc>
        <w:tc>
          <w:tcPr>
            <w:tcW w:w="710"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57.2</w:t>
            </w:r>
          </w:p>
        </w:tc>
        <w:tc>
          <w:tcPr>
            <w:tcW w:w="709"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54.2</w:t>
            </w:r>
          </w:p>
        </w:tc>
        <w:tc>
          <w:tcPr>
            <w:tcW w:w="709" w:type="dxa"/>
            <w:tcBorders>
              <w:bottom w:val="single" w:sz="2" w:space="0" w:color="auto"/>
            </w:tcBorders>
            <w:vAlign w:val="bottom"/>
          </w:tcPr>
          <w:p w:rsidR="00932ADA" w:rsidRPr="00371A17" w:rsidRDefault="00932ADA" w:rsidP="00932A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52.4</w:t>
            </w:r>
          </w:p>
        </w:tc>
        <w:tc>
          <w:tcPr>
            <w:tcW w:w="709" w:type="dxa"/>
            <w:tcBorders>
              <w:bottom w:val="single" w:sz="2" w:space="0" w:color="auto"/>
              <w:right w:val="single" w:sz="2" w:space="0" w:color="auto"/>
            </w:tcBorders>
            <w:vAlign w:val="bottom"/>
          </w:tcPr>
          <w:p w:rsidR="00932ADA" w:rsidRPr="00371A17" w:rsidRDefault="00932ADA" w:rsidP="00932A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57.6</w:t>
            </w:r>
          </w:p>
        </w:tc>
      </w:tr>
    </w:tbl>
    <w:p w:rsidR="00501379" w:rsidRPr="00371A17" w:rsidRDefault="00932ADA" w:rsidP="00932ADA">
      <w:pPr>
        <w:pStyle w:val="Caption"/>
        <w:rPr>
          <w:rFonts w:ascii="Times New Roman" w:hAnsi="Times New Roman" w:cs="Times New Roman"/>
          <w:sz w:val="22"/>
          <w:szCs w:val="22"/>
        </w:rPr>
      </w:pPr>
      <w:r w:rsidRPr="00371A17">
        <w:rPr>
          <w:rFonts w:ascii="Times New Roman" w:hAnsi="Times New Roman" w:cs="Times New Roman"/>
          <w:color w:val="auto"/>
          <w:sz w:val="22"/>
          <w:szCs w:val="22"/>
        </w:rPr>
        <w:t xml:space="preserve">Figure </w:t>
      </w:r>
      <w:r w:rsidRPr="00371A17">
        <w:rPr>
          <w:rFonts w:ascii="Times New Roman" w:hAnsi="Times New Roman" w:cs="Times New Roman"/>
          <w:color w:val="auto"/>
          <w:sz w:val="22"/>
          <w:szCs w:val="22"/>
        </w:rPr>
        <w:fldChar w:fldCharType="begin"/>
      </w:r>
      <w:r w:rsidRPr="00371A17">
        <w:rPr>
          <w:rFonts w:ascii="Times New Roman" w:hAnsi="Times New Roman" w:cs="Times New Roman"/>
          <w:color w:val="auto"/>
          <w:sz w:val="22"/>
          <w:szCs w:val="22"/>
        </w:rPr>
        <w:instrText xml:space="preserve"> SEQ Figure \* ARABIC </w:instrText>
      </w:r>
      <w:r w:rsidRPr="00371A17">
        <w:rPr>
          <w:rFonts w:ascii="Times New Roman" w:hAnsi="Times New Roman" w:cs="Times New Roman"/>
          <w:color w:val="auto"/>
          <w:sz w:val="22"/>
          <w:szCs w:val="22"/>
        </w:rPr>
        <w:fldChar w:fldCharType="separate"/>
      </w:r>
      <w:r w:rsidR="00A85CFC" w:rsidRPr="00371A17">
        <w:rPr>
          <w:rFonts w:ascii="Times New Roman" w:hAnsi="Times New Roman" w:cs="Times New Roman"/>
          <w:color w:val="auto"/>
          <w:sz w:val="22"/>
          <w:szCs w:val="22"/>
        </w:rPr>
        <w:t>2</w:t>
      </w:r>
      <w:r w:rsidRPr="00371A17">
        <w:rPr>
          <w:rFonts w:ascii="Times New Roman" w:hAnsi="Times New Roman" w:cs="Times New Roman"/>
          <w:color w:val="auto"/>
          <w:sz w:val="22"/>
          <w:szCs w:val="22"/>
        </w:rPr>
        <w:fldChar w:fldCharType="end"/>
      </w:r>
      <w:r w:rsidRPr="00371A17">
        <w:rPr>
          <w:rFonts w:ascii="Times New Roman" w:hAnsi="Times New Roman" w:cs="Times New Roman"/>
          <w:color w:val="auto"/>
          <w:sz w:val="22"/>
          <w:szCs w:val="22"/>
        </w:rPr>
        <w:t xml:space="preserve">.  Table 2: Housing stock available for very low to moderate income households (Data source: </w:t>
      </w:r>
      <w:r w:rsidR="00863148" w:rsidRPr="00371A17">
        <w:rPr>
          <w:rFonts w:ascii="Times New Roman" w:hAnsi="Times New Roman" w:cs="Times New Roman"/>
          <w:bCs/>
          <w:color w:val="auto"/>
          <w:sz w:val="22"/>
          <w:szCs w:val="22"/>
        </w:rPr>
        <w:t>NSW Department of Housing</w:t>
      </w:r>
      <w:r w:rsidR="00863148" w:rsidRPr="00371A17">
        <w:rPr>
          <w:rFonts w:ascii="Times New Roman" w:hAnsi="Times New Roman" w:cs="Times New Roman"/>
          <w:color w:val="auto"/>
          <w:sz w:val="22"/>
          <w:szCs w:val="22"/>
        </w:rPr>
        <w:t xml:space="preserve"> </w:t>
      </w:r>
      <w:r w:rsidRPr="00371A17">
        <w:rPr>
          <w:rFonts w:ascii="Times New Roman" w:hAnsi="Times New Roman" w:cs="Times New Roman"/>
          <w:color w:val="auto"/>
          <w:sz w:val="22"/>
          <w:szCs w:val="22"/>
        </w:rPr>
        <w:t xml:space="preserve">Rental Bond Board (RBB) Data </w:t>
      </w:r>
      <w:r w:rsidR="00863148" w:rsidRPr="00371A17">
        <w:rPr>
          <w:rFonts w:ascii="Times New Roman" w:hAnsi="Times New Roman" w:cs="Times New Roman"/>
          <w:color w:val="auto"/>
          <w:sz w:val="22"/>
          <w:szCs w:val="22"/>
        </w:rPr>
        <w:t xml:space="preserve">– </w:t>
      </w:r>
      <w:r w:rsidRPr="00371A17">
        <w:rPr>
          <w:rFonts w:ascii="Times New Roman" w:hAnsi="Times New Roman" w:cs="Times New Roman"/>
          <w:color w:val="auto"/>
          <w:sz w:val="22"/>
          <w:szCs w:val="22"/>
        </w:rPr>
        <w:t>Local Government Housing Kit Database)</w:t>
      </w:r>
    </w:p>
    <w:p w:rsidR="00311F0C" w:rsidRPr="00371A17" w:rsidRDefault="002708FA" w:rsidP="00B37578">
      <w:pPr>
        <w:spacing w:after="0" w:line="240" w:lineRule="auto"/>
        <w:jc w:val="both"/>
        <w:rPr>
          <w:rFonts w:ascii="Times New Roman" w:hAnsi="Times New Roman" w:cs="Times New Roman"/>
        </w:rPr>
      </w:pPr>
      <w:r w:rsidRPr="00371A17">
        <w:rPr>
          <w:rFonts w:ascii="Times New Roman" w:hAnsi="Times New Roman" w:cs="Times New Roman"/>
        </w:rPr>
        <w:t xml:space="preserve">These figures are </w:t>
      </w:r>
      <w:r w:rsidR="007339D4" w:rsidRPr="00371A17">
        <w:rPr>
          <w:rFonts w:ascii="Times New Roman" w:hAnsi="Times New Roman" w:cs="Times New Roman"/>
        </w:rPr>
        <w:t xml:space="preserve">disheartening, </w:t>
      </w:r>
      <w:r w:rsidR="00371A17" w:rsidRPr="00371A17">
        <w:rPr>
          <w:rFonts w:ascii="Times New Roman" w:hAnsi="Times New Roman" w:cs="Times New Roman"/>
        </w:rPr>
        <w:t>particularly</w:t>
      </w:r>
      <w:r w:rsidR="007339D4" w:rsidRPr="00371A17">
        <w:rPr>
          <w:rFonts w:ascii="Times New Roman" w:hAnsi="Times New Roman" w:cs="Times New Roman"/>
        </w:rPr>
        <w:t xml:space="preserve"> in the context that t</w:t>
      </w:r>
      <w:r w:rsidR="00497CBC" w:rsidRPr="00371A17">
        <w:rPr>
          <w:rFonts w:ascii="Times New Roman" w:hAnsi="Times New Roman" w:cs="Times New Roman"/>
        </w:rPr>
        <w:t xml:space="preserve">he </w:t>
      </w:r>
      <w:r w:rsidR="007339D4" w:rsidRPr="00371A17">
        <w:rPr>
          <w:rFonts w:ascii="Times New Roman" w:hAnsi="Times New Roman" w:cs="Times New Roman"/>
        </w:rPr>
        <w:t xml:space="preserve">NSW </w:t>
      </w:r>
      <w:r w:rsidR="00497CBC" w:rsidRPr="00371A17">
        <w:rPr>
          <w:rFonts w:ascii="Times New Roman" w:hAnsi="Times New Roman" w:cs="Times New Roman"/>
        </w:rPr>
        <w:t xml:space="preserve">housing affordability challenge is expected to increase in coming years as the housing supply becomes further stressed by a growing population. </w:t>
      </w:r>
      <w:r w:rsidR="00311F0C" w:rsidRPr="00371A17">
        <w:rPr>
          <w:rFonts w:ascii="Times New Roman" w:hAnsi="Times New Roman" w:cs="Times New Roman"/>
        </w:rPr>
        <w:t xml:space="preserve"> The City of Sydney population is forecas</w:t>
      </w:r>
      <w:r w:rsidR="00F319DA" w:rsidRPr="00371A17">
        <w:rPr>
          <w:rFonts w:ascii="Times New Roman" w:hAnsi="Times New Roman" w:cs="Times New Roman"/>
        </w:rPr>
        <w:t>t</w:t>
      </w:r>
      <w:r w:rsidR="00311F0C" w:rsidRPr="00371A17">
        <w:rPr>
          <w:rFonts w:ascii="Times New Roman" w:hAnsi="Times New Roman" w:cs="Times New Roman"/>
        </w:rPr>
        <w:t xml:space="preserve"> to exceed 270,000 by 2013, more than double its 2001 population, with the majority of the residential growth expected to occur by 2022</w:t>
      </w:r>
      <w:r w:rsidR="0006651C" w:rsidRPr="00371A17">
        <w:rPr>
          <w:rFonts w:ascii="Times New Roman" w:hAnsi="Times New Roman" w:cs="Times New Roman"/>
        </w:rPr>
        <w:t xml:space="preserve"> (CoS 2015b)</w:t>
      </w:r>
      <w:r w:rsidR="00311F0C" w:rsidRPr="00371A17">
        <w:rPr>
          <w:rFonts w:ascii="Times New Roman" w:hAnsi="Times New Roman" w:cs="Times New Roman"/>
        </w:rPr>
        <w:t xml:space="preserve">. </w:t>
      </w:r>
      <w:r w:rsidR="00497CBC" w:rsidRPr="00371A17">
        <w:rPr>
          <w:rFonts w:ascii="Times New Roman" w:hAnsi="Times New Roman" w:cs="Times New Roman"/>
        </w:rPr>
        <w:t xml:space="preserve"> </w:t>
      </w:r>
      <w:r w:rsidR="00311F0C" w:rsidRPr="00371A17">
        <w:rPr>
          <w:rFonts w:ascii="Times New Roman" w:hAnsi="Times New Roman" w:cs="Times New Roman"/>
        </w:rPr>
        <w:t xml:space="preserve">This is </w:t>
      </w:r>
      <w:r w:rsidR="00371A17" w:rsidRPr="00371A17">
        <w:rPr>
          <w:rFonts w:ascii="Times New Roman" w:hAnsi="Times New Roman" w:cs="Times New Roman"/>
        </w:rPr>
        <w:t>in line</w:t>
      </w:r>
      <w:r w:rsidR="00311F0C" w:rsidRPr="00371A17">
        <w:rPr>
          <w:rFonts w:ascii="Times New Roman" w:hAnsi="Times New Roman" w:cs="Times New Roman"/>
        </w:rPr>
        <w:t xml:space="preserve"> with the </w:t>
      </w:r>
      <w:r w:rsidR="00C4399A" w:rsidRPr="00371A17">
        <w:rPr>
          <w:rFonts w:ascii="Times New Roman" w:hAnsi="Times New Roman" w:cs="Times New Roman"/>
        </w:rPr>
        <w:t>anticipated population growth for NSW</w:t>
      </w:r>
      <w:r w:rsidR="00311F0C" w:rsidRPr="00371A17">
        <w:rPr>
          <w:rFonts w:ascii="Times New Roman" w:hAnsi="Times New Roman" w:cs="Times New Roman"/>
        </w:rPr>
        <w:t xml:space="preserve">, illustrated in Figure </w:t>
      </w:r>
      <w:r w:rsidR="00A85CFC" w:rsidRPr="00371A17">
        <w:rPr>
          <w:rFonts w:ascii="Times New Roman" w:hAnsi="Times New Roman" w:cs="Times New Roman"/>
        </w:rPr>
        <w:t>3</w:t>
      </w:r>
      <w:r w:rsidR="00311F0C" w:rsidRPr="00371A17">
        <w:rPr>
          <w:rFonts w:ascii="Times New Roman" w:hAnsi="Times New Roman" w:cs="Times New Roman"/>
        </w:rPr>
        <w:t xml:space="preserve">.  Along with the growth in population, </w:t>
      </w:r>
      <w:r w:rsidR="009608B3" w:rsidRPr="00371A17">
        <w:rPr>
          <w:rFonts w:ascii="Times New Roman" w:hAnsi="Times New Roman" w:cs="Times New Roman"/>
        </w:rPr>
        <w:t xml:space="preserve">the demographic composition </w:t>
      </w:r>
      <w:r w:rsidR="00677B9C" w:rsidRPr="00371A17">
        <w:rPr>
          <w:rFonts w:ascii="Times New Roman" w:hAnsi="Times New Roman" w:cs="Times New Roman"/>
        </w:rPr>
        <w:t>of the population</w:t>
      </w:r>
      <w:r w:rsidR="009608B3" w:rsidRPr="00371A17">
        <w:rPr>
          <w:rFonts w:ascii="Times New Roman" w:hAnsi="Times New Roman" w:cs="Times New Roman"/>
        </w:rPr>
        <w:t xml:space="preserve"> is also expected to change</w:t>
      </w:r>
      <w:r w:rsidR="00677B9C" w:rsidRPr="00371A17">
        <w:rPr>
          <w:rFonts w:ascii="Times New Roman" w:hAnsi="Times New Roman" w:cs="Times New Roman"/>
        </w:rPr>
        <w:t>.</w:t>
      </w:r>
      <w:r w:rsidR="00311F0C" w:rsidRPr="00371A17">
        <w:rPr>
          <w:rFonts w:ascii="Times New Roman" w:hAnsi="Times New Roman" w:cs="Times New Roman"/>
        </w:rPr>
        <w:t xml:space="preserve">  </w:t>
      </w:r>
      <w:r w:rsidR="009608B3" w:rsidRPr="00371A17">
        <w:rPr>
          <w:rFonts w:ascii="Times New Roman" w:hAnsi="Times New Roman" w:cs="Times New Roman"/>
        </w:rPr>
        <w:t>A</w:t>
      </w:r>
      <w:r w:rsidR="00311F0C" w:rsidRPr="00371A17">
        <w:rPr>
          <w:rFonts w:ascii="Times New Roman" w:hAnsi="Times New Roman" w:cs="Times New Roman"/>
        </w:rPr>
        <w:t xml:space="preserve">dditional stress on the housing supply is forecast </w:t>
      </w:r>
      <w:r w:rsidR="009608B3" w:rsidRPr="00371A17">
        <w:rPr>
          <w:rFonts w:ascii="Times New Roman" w:hAnsi="Times New Roman" w:cs="Times New Roman"/>
        </w:rPr>
        <w:t xml:space="preserve">from a variety of factors.  Firstly, the </w:t>
      </w:r>
      <w:r w:rsidR="00677B9C" w:rsidRPr="00371A17">
        <w:rPr>
          <w:rFonts w:ascii="Times New Roman" w:hAnsi="Times New Roman" w:cs="Times New Roman"/>
        </w:rPr>
        <w:t xml:space="preserve">number of households </w:t>
      </w:r>
      <w:r w:rsidR="009608B3" w:rsidRPr="00371A17">
        <w:rPr>
          <w:rFonts w:ascii="Times New Roman" w:hAnsi="Times New Roman" w:cs="Times New Roman"/>
        </w:rPr>
        <w:t xml:space="preserve">are expected to </w:t>
      </w:r>
      <w:r w:rsidR="00677B9C" w:rsidRPr="00371A17">
        <w:rPr>
          <w:rFonts w:ascii="Times New Roman" w:hAnsi="Times New Roman" w:cs="Times New Roman"/>
        </w:rPr>
        <w:t xml:space="preserve">increase at a rate higher than that of the overall population growth.  </w:t>
      </w:r>
      <w:r w:rsidR="009608B3" w:rsidRPr="00371A17">
        <w:rPr>
          <w:rFonts w:ascii="Times New Roman" w:hAnsi="Times New Roman" w:cs="Times New Roman"/>
        </w:rPr>
        <w:t xml:space="preserve">This change reflects </w:t>
      </w:r>
      <w:r w:rsidR="00311F0C" w:rsidRPr="00371A17">
        <w:rPr>
          <w:rFonts w:ascii="Times New Roman" w:hAnsi="Times New Roman" w:cs="Times New Roman"/>
        </w:rPr>
        <w:t xml:space="preserve">the </w:t>
      </w:r>
      <w:r w:rsidR="00677B9C" w:rsidRPr="00371A17">
        <w:rPr>
          <w:rFonts w:ascii="Times New Roman" w:hAnsi="Times New Roman" w:cs="Times New Roman"/>
        </w:rPr>
        <w:t xml:space="preserve">changing demographic </w:t>
      </w:r>
      <w:r w:rsidR="009608B3" w:rsidRPr="00371A17">
        <w:rPr>
          <w:rFonts w:ascii="Times New Roman" w:hAnsi="Times New Roman" w:cs="Times New Roman"/>
        </w:rPr>
        <w:t xml:space="preserve">makeup </w:t>
      </w:r>
      <w:r w:rsidR="00311F0C" w:rsidRPr="00371A17">
        <w:rPr>
          <w:rFonts w:ascii="Times New Roman" w:hAnsi="Times New Roman" w:cs="Times New Roman"/>
        </w:rPr>
        <w:t xml:space="preserve">projected </w:t>
      </w:r>
      <w:r w:rsidR="009608B3" w:rsidRPr="00371A17">
        <w:rPr>
          <w:rFonts w:ascii="Times New Roman" w:hAnsi="Times New Roman" w:cs="Times New Roman"/>
        </w:rPr>
        <w:t xml:space="preserve">at </w:t>
      </w:r>
      <w:r w:rsidR="00311F0C" w:rsidRPr="00371A17">
        <w:rPr>
          <w:rFonts w:ascii="Times New Roman" w:hAnsi="Times New Roman" w:cs="Times New Roman"/>
        </w:rPr>
        <w:t xml:space="preserve">the </w:t>
      </w:r>
      <w:r w:rsidR="00677B9C" w:rsidRPr="00371A17">
        <w:rPr>
          <w:rFonts w:ascii="Times New Roman" w:hAnsi="Times New Roman" w:cs="Times New Roman"/>
        </w:rPr>
        <w:t>state</w:t>
      </w:r>
      <w:r w:rsidR="009608B3" w:rsidRPr="00371A17">
        <w:rPr>
          <w:rFonts w:ascii="Times New Roman" w:hAnsi="Times New Roman" w:cs="Times New Roman"/>
        </w:rPr>
        <w:t xml:space="preserve">-level, </w:t>
      </w:r>
      <w:r w:rsidR="00677B9C" w:rsidRPr="00371A17">
        <w:rPr>
          <w:rFonts w:ascii="Times New Roman" w:hAnsi="Times New Roman" w:cs="Times New Roman"/>
        </w:rPr>
        <w:t xml:space="preserve">with a significant growth </w:t>
      </w:r>
      <w:r w:rsidR="00311F0C" w:rsidRPr="00371A17">
        <w:rPr>
          <w:rFonts w:ascii="Times New Roman" w:hAnsi="Times New Roman" w:cs="Times New Roman"/>
        </w:rPr>
        <w:t xml:space="preserve">projected for the </w:t>
      </w:r>
      <w:r w:rsidR="007339D4" w:rsidRPr="00371A17">
        <w:rPr>
          <w:rFonts w:ascii="Times New Roman" w:hAnsi="Times New Roman" w:cs="Times New Roman"/>
        </w:rPr>
        <w:t>over 65 population</w:t>
      </w:r>
      <w:r w:rsidR="00D9183B" w:rsidRPr="00371A17">
        <w:rPr>
          <w:rFonts w:ascii="Times New Roman" w:hAnsi="Times New Roman" w:cs="Times New Roman"/>
        </w:rPr>
        <w:t xml:space="preserve"> </w:t>
      </w:r>
      <w:r w:rsidR="00C25FC1" w:rsidRPr="00371A17">
        <w:rPr>
          <w:rFonts w:ascii="Times New Roman" w:hAnsi="Times New Roman" w:cs="Times New Roman"/>
        </w:rPr>
        <w:t xml:space="preserve">(NSW AHT 2012) </w:t>
      </w:r>
      <w:r w:rsidR="00D9183B" w:rsidRPr="00371A17">
        <w:rPr>
          <w:rFonts w:ascii="Times New Roman" w:hAnsi="Times New Roman" w:cs="Times New Roman"/>
        </w:rPr>
        <w:t>and in young professionals aged 27-32 (CoS 2015a)</w:t>
      </w:r>
      <w:r w:rsidR="00311F0C" w:rsidRPr="00371A17">
        <w:rPr>
          <w:rFonts w:ascii="Times New Roman" w:hAnsi="Times New Roman" w:cs="Times New Roman"/>
        </w:rPr>
        <w:t xml:space="preserve">.  </w:t>
      </w:r>
      <w:r w:rsidR="009608B3" w:rsidRPr="00371A17">
        <w:rPr>
          <w:rFonts w:ascii="Times New Roman" w:hAnsi="Times New Roman" w:cs="Times New Roman"/>
        </w:rPr>
        <w:t>Secondly</w:t>
      </w:r>
      <w:r w:rsidR="000D07B7" w:rsidRPr="00371A17">
        <w:rPr>
          <w:rFonts w:ascii="Times New Roman" w:hAnsi="Times New Roman" w:cs="Times New Roman"/>
        </w:rPr>
        <w:t xml:space="preserve">, lone person households are projected to grow by an average of 2.2% per year in Australia, from 1.9 million in 2006 to 3.2 million in 2031, making this demographic the fastest growing household type with the proportion of lone person households increasing from 24% </w:t>
      </w:r>
      <w:r w:rsidR="009608B3" w:rsidRPr="00371A17">
        <w:rPr>
          <w:rFonts w:ascii="Times New Roman" w:hAnsi="Times New Roman" w:cs="Times New Roman"/>
        </w:rPr>
        <w:t xml:space="preserve">to 28% </w:t>
      </w:r>
      <w:r w:rsidR="000D07B7" w:rsidRPr="00371A17">
        <w:rPr>
          <w:rFonts w:ascii="Times New Roman" w:hAnsi="Times New Roman" w:cs="Times New Roman"/>
        </w:rPr>
        <w:t xml:space="preserve">in 2006 </w:t>
      </w:r>
      <w:r w:rsidR="009608B3" w:rsidRPr="00371A17">
        <w:rPr>
          <w:rFonts w:ascii="Times New Roman" w:hAnsi="Times New Roman" w:cs="Times New Roman"/>
        </w:rPr>
        <w:t xml:space="preserve">and </w:t>
      </w:r>
      <w:r w:rsidR="000D07B7" w:rsidRPr="00371A17">
        <w:rPr>
          <w:rFonts w:ascii="Times New Roman" w:hAnsi="Times New Roman" w:cs="Times New Roman"/>
        </w:rPr>
        <w:t>2031</w:t>
      </w:r>
      <w:r w:rsidR="009608B3" w:rsidRPr="00371A17">
        <w:rPr>
          <w:rFonts w:ascii="Times New Roman" w:hAnsi="Times New Roman" w:cs="Times New Roman"/>
        </w:rPr>
        <w:t>, respectively</w:t>
      </w:r>
      <w:r w:rsidR="000D07B7" w:rsidRPr="00371A17">
        <w:rPr>
          <w:rFonts w:ascii="Times New Roman" w:hAnsi="Times New Roman" w:cs="Times New Roman"/>
        </w:rPr>
        <w:t xml:space="preserve"> (de Vaus &amp; Qu 2011). </w:t>
      </w:r>
    </w:p>
    <w:p w:rsidR="00A85CFC" w:rsidRPr="00371A17" w:rsidRDefault="00A85CFC" w:rsidP="00A85CFC">
      <w:pPr>
        <w:spacing w:after="0" w:line="240" w:lineRule="auto"/>
        <w:jc w:val="both"/>
        <w:rPr>
          <w:rFonts w:ascii="Times New Roman" w:hAnsi="Times New Roman" w:cs="Times New Roman"/>
        </w:rPr>
      </w:pPr>
    </w:p>
    <w:tbl>
      <w:tblPr>
        <w:tblStyle w:val="GridTable4-Accent5"/>
        <w:tblW w:w="0" w:type="auto"/>
        <w:tblLayout w:type="fixed"/>
        <w:tblLook w:val="04A0" w:firstRow="1" w:lastRow="0" w:firstColumn="1" w:lastColumn="0" w:noHBand="0" w:noVBand="1"/>
      </w:tblPr>
      <w:tblGrid>
        <w:gridCol w:w="2830"/>
        <w:gridCol w:w="1276"/>
        <w:gridCol w:w="1418"/>
        <w:gridCol w:w="1701"/>
        <w:gridCol w:w="2169"/>
      </w:tblGrid>
      <w:tr w:rsidR="00A85CFC" w:rsidRPr="00371A17" w:rsidTr="003B3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auto"/>
              <w:left w:val="single" w:sz="2" w:space="0" w:color="auto"/>
              <w:bottom w:val="single" w:sz="2" w:space="0" w:color="FFFFFF" w:themeColor="background1"/>
              <w:right w:val="single" w:sz="2" w:space="0" w:color="FFFFFF" w:themeColor="background1"/>
            </w:tcBorders>
          </w:tcPr>
          <w:p w:rsidR="00A85CFC" w:rsidRPr="00371A17" w:rsidRDefault="00A85CFC" w:rsidP="003B35ED">
            <w:pPr>
              <w:jc w:val="both"/>
              <w:rPr>
                <w:rFonts w:ascii="Times New Roman" w:hAnsi="Times New Roman" w:cs="Times New Roman"/>
                <w:b w:val="0"/>
              </w:rPr>
            </w:pPr>
            <w:r w:rsidRPr="00371A17">
              <w:rPr>
                <w:rFonts w:ascii="Times New Roman" w:hAnsi="Times New Roman" w:cs="Times New Roman"/>
                <w:b w:val="0"/>
              </w:rPr>
              <w:t>Factor</w:t>
            </w:r>
          </w:p>
        </w:tc>
        <w:tc>
          <w:tcPr>
            <w:tcW w:w="1276"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A85CFC" w:rsidRPr="00371A17" w:rsidRDefault="00A85CFC" w:rsidP="003B35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2006</w:t>
            </w:r>
          </w:p>
        </w:tc>
        <w:tc>
          <w:tcPr>
            <w:tcW w:w="141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A85CFC" w:rsidRPr="00371A17" w:rsidRDefault="00A85CFC" w:rsidP="003B35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2036</w:t>
            </w:r>
          </w:p>
        </w:tc>
        <w:tc>
          <w:tcPr>
            <w:tcW w:w="1701"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A85CFC" w:rsidRPr="00371A17" w:rsidRDefault="00A85CFC" w:rsidP="003B35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 change</w:t>
            </w:r>
          </w:p>
        </w:tc>
        <w:tc>
          <w:tcPr>
            <w:tcW w:w="2169" w:type="dxa"/>
            <w:tcBorders>
              <w:top w:val="single" w:sz="2" w:space="0" w:color="auto"/>
              <w:left w:val="single" w:sz="2" w:space="0" w:color="FFFFFF" w:themeColor="background1"/>
              <w:bottom w:val="single" w:sz="2" w:space="0" w:color="FFFFFF" w:themeColor="background1"/>
              <w:right w:val="single" w:sz="2" w:space="0" w:color="auto"/>
            </w:tcBorders>
          </w:tcPr>
          <w:p w:rsidR="00A85CFC" w:rsidRPr="00371A17" w:rsidRDefault="00A85CFC" w:rsidP="003B35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71A17">
              <w:rPr>
                <w:rFonts w:ascii="Times New Roman" w:hAnsi="Times New Roman" w:cs="Times New Roman"/>
                <w:b w:val="0"/>
              </w:rPr>
              <w:t>% of total population</w:t>
            </w:r>
          </w:p>
        </w:tc>
      </w:tr>
      <w:tr w:rsidR="00A85CFC" w:rsidRPr="00371A17" w:rsidTr="003B3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FFFFFF" w:themeColor="background1"/>
              <w:left w:val="single" w:sz="2" w:space="0" w:color="auto"/>
            </w:tcBorders>
          </w:tcPr>
          <w:p w:rsidR="00A85CFC" w:rsidRPr="00371A17" w:rsidRDefault="00A85CFC" w:rsidP="003B35ED">
            <w:pPr>
              <w:jc w:val="both"/>
              <w:rPr>
                <w:rFonts w:ascii="Times New Roman" w:hAnsi="Times New Roman" w:cs="Times New Roman"/>
                <w:b w:val="0"/>
              </w:rPr>
            </w:pPr>
            <w:r w:rsidRPr="00371A17">
              <w:rPr>
                <w:rFonts w:ascii="Times New Roman" w:hAnsi="Times New Roman" w:cs="Times New Roman"/>
                <w:b w:val="0"/>
              </w:rPr>
              <w:t>Total Population</w:t>
            </w:r>
          </w:p>
        </w:tc>
        <w:tc>
          <w:tcPr>
            <w:tcW w:w="1276" w:type="dxa"/>
            <w:tcBorders>
              <w:top w:val="single" w:sz="2" w:space="0" w:color="FFFFFF" w:themeColor="background1"/>
            </w:tcBorders>
          </w:tcPr>
          <w:p w:rsidR="00A85CFC" w:rsidRPr="00371A17" w:rsidRDefault="00A85CFC" w:rsidP="003B3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6.8 million</w:t>
            </w:r>
          </w:p>
        </w:tc>
        <w:tc>
          <w:tcPr>
            <w:tcW w:w="1418" w:type="dxa"/>
            <w:tcBorders>
              <w:top w:val="single" w:sz="2" w:space="0" w:color="FFFFFF" w:themeColor="background1"/>
            </w:tcBorders>
          </w:tcPr>
          <w:p w:rsidR="00A85CFC" w:rsidRPr="00371A17" w:rsidRDefault="00A85CFC" w:rsidP="003B3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9.1 million</w:t>
            </w:r>
          </w:p>
        </w:tc>
        <w:tc>
          <w:tcPr>
            <w:tcW w:w="1701" w:type="dxa"/>
            <w:tcBorders>
              <w:top w:val="single" w:sz="2" w:space="0" w:color="FFFFFF" w:themeColor="background1"/>
            </w:tcBorders>
          </w:tcPr>
          <w:p w:rsidR="00A85CFC" w:rsidRPr="00371A17" w:rsidRDefault="00A85CFC" w:rsidP="003B3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33% increase</w:t>
            </w:r>
          </w:p>
        </w:tc>
        <w:tc>
          <w:tcPr>
            <w:tcW w:w="2169" w:type="dxa"/>
            <w:tcBorders>
              <w:top w:val="single" w:sz="2" w:space="0" w:color="FFFFFF" w:themeColor="background1"/>
              <w:right w:val="single" w:sz="2" w:space="0" w:color="auto"/>
            </w:tcBorders>
          </w:tcPr>
          <w:p w:rsidR="00A85CFC" w:rsidRPr="00371A17" w:rsidRDefault="00A85CFC" w:rsidP="003B3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85CFC" w:rsidRPr="00371A17" w:rsidTr="003B35ED">
        <w:tc>
          <w:tcPr>
            <w:cnfStyle w:val="001000000000" w:firstRow="0" w:lastRow="0" w:firstColumn="1" w:lastColumn="0" w:oddVBand="0" w:evenVBand="0" w:oddHBand="0" w:evenHBand="0" w:firstRowFirstColumn="0" w:firstRowLastColumn="0" w:lastRowFirstColumn="0" w:lastRowLastColumn="0"/>
            <w:tcW w:w="2830" w:type="dxa"/>
            <w:tcBorders>
              <w:left w:val="single" w:sz="2" w:space="0" w:color="auto"/>
            </w:tcBorders>
          </w:tcPr>
          <w:p w:rsidR="00A85CFC" w:rsidRPr="00371A17" w:rsidRDefault="00A85CFC" w:rsidP="003B35ED">
            <w:pPr>
              <w:jc w:val="both"/>
              <w:rPr>
                <w:rFonts w:ascii="Times New Roman" w:hAnsi="Times New Roman" w:cs="Times New Roman"/>
                <w:b w:val="0"/>
              </w:rPr>
            </w:pPr>
            <w:r w:rsidRPr="00371A17">
              <w:rPr>
                <w:rFonts w:ascii="Times New Roman" w:hAnsi="Times New Roman" w:cs="Times New Roman"/>
                <w:b w:val="0"/>
              </w:rPr>
              <w:t>Population over 65 years</w:t>
            </w:r>
          </w:p>
        </w:tc>
        <w:tc>
          <w:tcPr>
            <w:tcW w:w="1276" w:type="dxa"/>
          </w:tcPr>
          <w:p w:rsidR="00A85CFC" w:rsidRPr="00371A17" w:rsidRDefault="00A85CFC" w:rsidP="003B3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918,000</w:t>
            </w:r>
          </w:p>
        </w:tc>
        <w:tc>
          <w:tcPr>
            <w:tcW w:w="1418" w:type="dxa"/>
          </w:tcPr>
          <w:p w:rsidR="00A85CFC" w:rsidRPr="00371A17" w:rsidRDefault="00A85CFC" w:rsidP="003B3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1.96 million</w:t>
            </w:r>
          </w:p>
        </w:tc>
        <w:tc>
          <w:tcPr>
            <w:tcW w:w="1701" w:type="dxa"/>
          </w:tcPr>
          <w:p w:rsidR="00A85CFC" w:rsidRPr="00371A17" w:rsidRDefault="00A85CFC" w:rsidP="003B35ED">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&gt; 100% increase</w:t>
            </w:r>
          </w:p>
        </w:tc>
        <w:tc>
          <w:tcPr>
            <w:tcW w:w="2169" w:type="dxa"/>
            <w:tcBorders>
              <w:right w:val="single" w:sz="2" w:space="0" w:color="auto"/>
            </w:tcBorders>
          </w:tcPr>
          <w:p w:rsidR="00A85CFC" w:rsidRPr="00371A17" w:rsidRDefault="00A85CFC" w:rsidP="003B35ED">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21.5% of population</w:t>
            </w:r>
          </w:p>
        </w:tc>
      </w:tr>
      <w:tr w:rsidR="00B7276E" w:rsidRPr="00371A17" w:rsidTr="003B3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left w:val="single" w:sz="2" w:space="0" w:color="auto"/>
            </w:tcBorders>
          </w:tcPr>
          <w:p w:rsidR="00B7276E" w:rsidRPr="00371A17" w:rsidRDefault="00B7276E" w:rsidP="003B35ED">
            <w:pPr>
              <w:jc w:val="both"/>
              <w:rPr>
                <w:rFonts w:ascii="Times New Roman" w:hAnsi="Times New Roman" w:cs="Times New Roman"/>
                <w:b w:val="0"/>
              </w:rPr>
            </w:pPr>
            <w:r w:rsidRPr="00371A17">
              <w:rPr>
                <w:rFonts w:ascii="Times New Roman" w:hAnsi="Times New Roman" w:cs="Times New Roman"/>
                <w:b w:val="0"/>
              </w:rPr>
              <w:t>Lone Households</w:t>
            </w:r>
          </w:p>
        </w:tc>
        <w:tc>
          <w:tcPr>
            <w:tcW w:w="1276" w:type="dxa"/>
          </w:tcPr>
          <w:p w:rsidR="00B7276E" w:rsidRPr="00371A17" w:rsidRDefault="00B7276E" w:rsidP="003B3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1.9 million</w:t>
            </w:r>
          </w:p>
        </w:tc>
        <w:tc>
          <w:tcPr>
            <w:tcW w:w="1418" w:type="dxa"/>
          </w:tcPr>
          <w:p w:rsidR="00B7276E" w:rsidRPr="00371A17" w:rsidRDefault="00B7276E" w:rsidP="003B3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3.2 million</w:t>
            </w:r>
          </w:p>
        </w:tc>
        <w:tc>
          <w:tcPr>
            <w:tcW w:w="1701" w:type="dxa"/>
          </w:tcPr>
          <w:p w:rsidR="00B7276E" w:rsidRPr="00371A17" w:rsidRDefault="00B7276E" w:rsidP="003B35ED">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59%</w:t>
            </w:r>
          </w:p>
        </w:tc>
        <w:tc>
          <w:tcPr>
            <w:tcW w:w="2169" w:type="dxa"/>
            <w:tcBorders>
              <w:right w:val="single" w:sz="2" w:space="0" w:color="auto"/>
            </w:tcBorders>
          </w:tcPr>
          <w:p w:rsidR="00B7276E" w:rsidRPr="00371A17" w:rsidRDefault="00B7276E" w:rsidP="003B35ED">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28% of population</w:t>
            </w:r>
          </w:p>
        </w:tc>
      </w:tr>
      <w:tr w:rsidR="00A85CFC" w:rsidRPr="00371A17" w:rsidTr="003B35ED">
        <w:tc>
          <w:tcPr>
            <w:cnfStyle w:val="001000000000" w:firstRow="0" w:lastRow="0" w:firstColumn="1" w:lastColumn="0" w:oddVBand="0" w:evenVBand="0" w:oddHBand="0" w:evenHBand="0" w:firstRowFirstColumn="0" w:firstRowLastColumn="0" w:lastRowFirstColumn="0" w:lastRowLastColumn="0"/>
            <w:tcW w:w="2830" w:type="dxa"/>
            <w:tcBorders>
              <w:left w:val="single" w:sz="2" w:space="0" w:color="auto"/>
              <w:bottom w:val="single" w:sz="2" w:space="0" w:color="auto"/>
            </w:tcBorders>
          </w:tcPr>
          <w:p w:rsidR="00A85CFC" w:rsidRPr="00371A17" w:rsidRDefault="00A85CFC" w:rsidP="003B35ED">
            <w:pPr>
              <w:jc w:val="both"/>
              <w:rPr>
                <w:rFonts w:ascii="Times New Roman" w:hAnsi="Times New Roman" w:cs="Times New Roman"/>
                <w:b w:val="0"/>
              </w:rPr>
            </w:pPr>
            <w:r w:rsidRPr="00371A17">
              <w:rPr>
                <w:rFonts w:ascii="Times New Roman" w:hAnsi="Times New Roman" w:cs="Times New Roman"/>
                <w:b w:val="0"/>
              </w:rPr>
              <w:t>Number of Households</w:t>
            </w:r>
          </w:p>
        </w:tc>
        <w:tc>
          <w:tcPr>
            <w:tcW w:w="1276" w:type="dxa"/>
            <w:tcBorders>
              <w:bottom w:val="single" w:sz="2" w:space="0" w:color="auto"/>
            </w:tcBorders>
          </w:tcPr>
          <w:p w:rsidR="00A85CFC" w:rsidRPr="00371A17" w:rsidRDefault="00A85CFC" w:rsidP="003B3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8" w:type="dxa"/>
            <w:tcBorders>
              <w:bottom w:val="single" w:sz="2" w:space="0" w:color="auto"/>
            </w:tcBorders>
          </w:tcPr>
          <w:p w:rsidR="00A85CFC" w:rsidRPr="00371A17" w:rsidRDefault="00A85CFC" w:rsidP="003B3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bottom w:val="single" w:sz="2" w:space="0" w:color="auto"/>
            </w:tcBorders>
          </w:tcPr>
          <w:p w:rsidR="00A85CFC" w:rsidRPr="00371A17" w:rsidRDefault="00A85CFC" w:rsidP="00B354C7">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A17">
              <w:rPr>
                <w:rFonts w:ascii="Times New Roman" w:hAnsi="Times New Roman" w:cs="Times New Roman"/>
              </w:rPr>
              <w:t>41% increase</w:t>
            </w:r>
          </w:p>
        </w:tc>
        <w:tc>
          <w:tcPr>
            <w:tcW w:w="2169" w:type="dxa"/>
            <w:tcBorders>
              <w:bottom w:val="single" w:sz="2" w:space="0" w:color="auto"/>
              <w:right w:val="single" w:sz="2" w:space="0" w:color="auto"/>
            </w:tcBorders>
          </w:tcPr>
          <w:p w:rsidR="00A85CFC" w:rsidRPr="00371A17" w:rsidRDefault="00A85CFC" w:rsidP="003B35ED">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A85CFC" w:rsidRPr="00371A17" w:rsidRDefault="00A85CFC" w:rsidP="00A85CFC">
      <w:pPr>
        <w:pStyle w:val="Caption"/>
        <w:rPr>
          <w:rFonts w:ascii="Times New Roman" w:hAnsi="Times New Roman" w:cs="Times New Roman"/>
          <w:color w:val="auto"/>
          <w:sz w:val="22"/>
          <w:szCs w:val="22"/>
        </w:rPr>
      </w:pPr>
      <w:r w:rsidRPr="00371A17">
        <w:rPr>
          <w:rFonts w:ascii="Times New Roman" w:hAnsi="Times New Roman" w:cs="Times New Roman"/>
          <w:color w:val="auto"/>
          <w:sz w:val="22"/>
          <w:szCs w:val="22"/>
        </w:rPr>
        <w:t xml:space="preserve">Figure </w:t>
      </w:r>
      <w:r w:rsidRPr="00371A17">
        <w:rPr>
          <w:rFonts w:ascii="Times New Roman" w:hAnsi="Times New Roman" w:cs="Times New Roman"/>
          <w:color w:val="auto"/>
          <w:sz w:val="22"/>
          <w:szCs w:val="22"/>
        </w:rPr>
        <w:fldChar w:fldCharType="begin"/>
      </w:r>
      <w:r w:rsidRPr="00371A17">
        <w:rPr>
          <w:rFonts w:ascii="Times New Roman" w:hAnsi="Times New Roman" w:cs="Times New Roman"/>
          <w:color w:val="auto"/>
          <w:sz w:val="22"/>
          <w:szCs w:val="22"/>
        </w:rPr>
        <w:instrText xml:space="preserve"> SEQ Figure \* ARABIC </w:instrText>
      </w:r>
      <w:r w:rsidRPr="00371A17">
        <w:rPr>
          <w:rFonts w:ascii="Times New Roman" w:hAnsi="Times New Roman" w:cs="Times New Roman"/>
          <w:color w:val="auto"/>
          <w:sz w:val="22"/>
          <w:szCs w:val="22"/>
        </w:rPr>
        <w:fldChar w:fldCharType="separate"/>
      </w:r>
      <w:r w:rsidRPr="00371A17">
        <w:rPr>
          <w:rFonts w:ascii="Times New Roman" w:hAnsi="Times New Roman" w:cs="Times New Roman"/>
          <w:color w:val="auto"/>
          <w:sz w:val="22"/>
          <w:szCs w:val="22"/>
        </w:rPr>
        <w:t>3</w:t>
      </w:r>
      <w:r w:rsidRPr="00371A17">
        <w:rPr>
          <w:rFonts w:ascii="Times New Roman" w:hAnsi="Times New Roman" w:cs="Times New Roman"/>
          <w:color w:val="auto"/>
          <w:sz w:val="22"/>
          <w:szCs w:val="22"/>
        </w:rPr>
        <w:fldChar w:fldCharType="end"/>
      </w:r>
      <w:r w:rsidRPr="00371A17">
        <w:rPr>
          <w:rFonts w:ascii="Times New Roman" w:hAnsi="Times New Roman" w:cs="Times New Roman"/>
          <w:color w:val="auto"/>
          <w:sz w:val="22"/>
          <w:szCs w:val="22"/>
        </w:rPr>
        <w:t>. Projected NSW Demographic Changes 2006-2036 (</w:t>
      </w:r>
      <w:r w:rsidR="00B354C7" w:rsidRPr="00371A17">
        <w:rPr>
          <w:rFonts w:ascii="Times New Roman" w:hAnsi="Times New Roman" w:cs="Times New Roman"/>
          <w:color w:val="auto"/>
          <w:sz w:val="22"/>
          <w:szCs w:val="22"/>
        </w:rPr>
        <w:t>Modified from</w:t>
      </w:r>
      <w:r w:rsidRPr="00371A17">
        <w:rPr>
          <w:rFonts w:ascii="Times New Roman" w:hAnsi="Times New Roman" w:cs="Times New Roman"/>
          <w:color w:val="auto"/>
          <w:sz w:val="22"/>
          <w:szCs w:val="22"/>
        </w:rPr>
        <w:t>: NSW Affordable Housing Taskforce 2012, p. 6)</w:t>
      </w:r>
    </w:p>
    <w:p w:rsidR="00055208" w:rsidRPr="00371A17" w:rsidRDefault="00626358" w:rsidP="00B37578">
      <w:pPr>
        <w:spacing w:after="0" w:line="240" w:lineRule="auto"/>
        <w:jc w:val="both"/>
        <w:rPr>
          <w:rFonts w:ascii="Times New Roman" w:hAnsi="Times New Roman" w:cs="Times New Roman"/>
        </w:rPr>
      </w:pPr>
      <w:r w:rsidRPr="00371A17">
        <w:rPr>
          <w:rFonts w:ascii="Times New Roman" w:hAnsi="Times New Roman" w:cs="Times New Roman"/>
        </w:rPr>
        <w:t xml:space="preserve">With the looming increase in households and its changing demographic characteristics, </w:t>
      </w:r>
      <w:r w:rsidR="005563F0" w:rsidRPr="00371A17">
        <w:rPr>
          <w:rFonts w:ascii="Times New Roman" w:hAnsi="Times New Roman" w:cs="Times New Roman"/>
        </w:rPr>
        <w:t xml:space="preserve">we must consider </w:t>
      </w:r>
      <w:r w:rsidRPr="00371A17">
        <w:rPr>
          <w:rFonts w:ascii="Times New Roman" w:hAnsi="Times New Roman" w:cs="Times New Roman"/>
        </w:rPr>
        <w:t xml:space="preserve">whether a change in the </w:t>
      </w:r>
      <w:r w:rsidR="00677B9C" w:rsidRPr="00371A17">
        <w:rPr>
          <w:rFonts w:ascii="Times New Roman" w:hAnsi="Times New Roman" w:cs="Times New Roman"/>
        </w:rPr>
        <w:t>type</w:t>
      </w:r>
      <w:r w:rsidRPr="00371A17">
        <w:rPr>
          <w:rFonts w:ascii="Times New Roman" w:hAnsi="Times New Roman" w:cs="Times New Roman"/>
        </w:rPr>
        <w:t>(s)</w:t>
      </w:r>
      <w:r w:rsidR="00677B9C" w:rsidRPr="00371A17">
        <w:rPr>
          <w:rFonts w:ascii="Times New Roman" w:hAnsi="Times New Roman" w:cs="Times New Roman"/>
        </w:rPr>
        <w:t xml:space="preserve"> of dwelling and associated amenities </w:t>
      </w:r>
      <w:r w:rsidRPr="00371A17">
        <w:rPr>
          <w:rFonts w:ascii="Times New Roman" w:hAnsi="Times New Roman" w:cs="Times New Roman"/>
        </w:rPr>
        <w:t xml:space="preserve">will be </w:t>
      </w:r>
      <w:r w:rsidR="00677B9C" w:rsidRPr="00371A17">
        <w:rPr>
          <w:rFonts w:ascii="Times New Roman" w:hAnsi="Times New Roman" w:cs="Times New Roman"/>
        </w:rPr>
        <w:t xml:space="preserve">demanded </w:t>
      </w:r>
      <w:r w:rsidRPr="00371A17">
        <w:rPr>
          <w:rFonts w:ascii="Times New Roman" w:hAnsi="Times New Roman" w:cs="Times New Roman"/>
        </w:rPr>
        <w:t>to meet the varied needs of the City’s future population</w:t>
      </w:r>
      <w:r w:rsidR="00677B9C" w:rsidRPr="00371A17">
        <w:rPr>
          <w:rFonts w:ascii="Times New Roman" w:hAnsi="Times New Roman" w:cs="Times New Roman"/>
        </w:rPr>
        <w:t xml:space="preserve">.  </w:t>
      </w:r>
      <w:r w:rsidR="003D6862" w:rsidRPr="00371A17">
        <w:rPr>
          <w:rFonts w:ascii="Times New Roman" w:hAnsi="Times New Roman" w:cs="Times New Roman"/>
        </w:rPr>
        <w:t xml:space="preserve">Hayden (2002) notes that while living arrangements, and by extension the demand side of apartments, have dramatically changed over the past decades, the supply </w:t>
      </w:r>
      <w:r w:rsidR="00207A74" w:rsidRPr="00371A17">
        <w:rPr>
          <w:rFonts w:ascii="Times New Roman" w:hAnsi="Times New Roman" w:cs="Times New Roman"/>
        </w:rPr>
        <w:t xml:space="preserve">of both apartments and stand-alone houses are </w:t>
      </w:r>
      <w:r w:rsidR="003D6862" w:rsidRPr="00371A17">
        <w:rPr>
          <w:rFonts w:ascii="Times New Roman" w:hAnsi="Times New Roman" w:cs="Times New Roman"/>
        </w:rPr>
        <w:t>still being designed for nuclear families</w:t>
      </w:r>
      <w:r w:rsidR="00207A74" w:rsidRPr="00371A17">
        <w:rPr>
          <w:rFonts w:ascii="Times New Roman" w:hAnsi="Times New Roman" w:cs="Times New Roman"/>
        </w:rPr>
        <w:t>.</w:t>
      </w:r>
      <w:r w:rsidR="00905B28" w:rsidRPr="00371A17">
        <w:rPr>
          <w:rFonts w:ascii="Times New Roman" w:hAnsi="Times New Roman" w:cs="Times New Roman"/>
        </w:rPr>
        <w:t xml:space="preserve">  Klinenberg (2012) asserts that traditional forms of housing no longer suit today’s requirements and that this mismatch of supply and demand impacts the affordability of the housing supply as a result of a lack in appropriate supply.  </w:t>
      </w:r>
      <w:r w:rsidR="00207A74" w:rsidRPr="00371A17">
        <w:rPr>
          <w:rFonts w:ascii="Times New Roman" w:hAnsi="Times New Roman" w:cs="Times New Roman"/>
        </w:rPr>
        <w:t xml:space="preserve">These findings are supported by </w:t>
      </w:r>
      <w:r w:rsidR="000B4242" w:rsidRPr="00371A17">
        <w:rPr>
          <w:rFonts w:ascii="Times New Roman" w:hAnsi="Times New Roman" w:cs="Times New Roman"/>
        </w:rPr>
        <w:t>Been et</w:t>
      </w:r>
      <w:r w:rsidR="00371A17">
        <w:rPr>
          <w:rFonts w:ascii="Times New Roman" w:hAnsi="Times New Roman" w:cs="Times New Roman"/>
        </w:rPr>
        <w:t xml:space="preserve"> </w:t>
      </w:r>
      <w:r w:rsidR="000B4242" w:rsidRPr="00371A17">
        <w:rPr>
          <w:rFonts w:ascii="Times New Roman" w:hAnsi="Times New Roman" w:cs="Times New Roman"/>
        </w:rPr>
        <w:t>al (2014)</w:t>
      </w:r>
      <w:r w:rsidRPr="00371A17">
        <w:rPr>
          <w:rFonts w:ascii="Times New Roman" w:hAnsi="Times New Roman" w:cs="Times New Roman"/>
        </w:rPr>
        <w:t>,</w:t>
      </w:r>
      <w:r w:rsidR="000B4242" w:rsidRPr="00371A17">
        <w:rPr>
          <w:rFonts w:ascii="Times New Roman" w:hAnsi="Times New Roman" w:cs="Times New Roman"/>
        </w:rPr>
        <w:t xml:space="preserve"> </w:t>
      </w:r>
      <w:r w:rsidR="00207A74" w:rsidRPr="00371A17">
        <w:rPr>
          <w:rFonts w:ascii="Times New Roman" w:hAnsi="Times New Roman" w:cs="Times New Roman"/>
        </w:rPr>
        <w:t xml:space="preserve">who </w:t>
      </w:r>
      <w:r w:rsidR="0079080E" w:rsidRPr="00371A17">
        <w:rPr>
          <w:rFonts w:ascii="Times New Roman" w:hAnsi="Times New Roman" w:cs="Times New Roman"/>
        </w:rPr>
        <w:t>make the case that there is a need for new forms of housing</w:t>
      </w:r>
      <w:r w:rsidRPr="00371A17">
        <w:rPr>
          <w:rFonts w:ascii="Times New Roman" w:hAnsi="Times New Roman" w:cs="Times New Roman"/>
        </w:rPr>
        <w:t xml:space="preserve">.  The authors </w:t>
      </w:r>
      <w:r w:rsidR="00371A17" w:rsidRPr="00371A17">
        <w:rPr>
          <w:rFonts w:ascii="Times New Roman" w:hAnsi="Times New Roman" w:cs="Times New Roman"/>
        </w:rPr>
        <w:t>discuss</w:t>
      </w:r>
      <w:r w:rsidRPr="00371A17">
        <w:rPr>
          <w:rFonts w:ascii="Times New Roman" w:hAnsi="Times New Roman" w:cs="Times New Roman"/>
        </w:rPr>
        <w:t xml:space="preserve"> in detail how </w:t>
      </w:r>
      <w:r w:rsidR="000B4242" w:rsidRPr="00371A17">
        <w:rPr>
          <w:rFonts w:ascii="Times New Roman" w:hAnsi="Times New Roman" w:cs="Times New Roman"/>
        </w:rPr>
        <w:t>existing housing supply falls short of prospective occupier needs in terms of affordability, size and configuration of dwellings</w:t>
      </w:r>
      <w:r w:rsidR="00FB2B5B" w:rsidRPr="00371A17">
        <w:rPr>
          <w:rFonts w:ascii="Times New Roman" w:hAnsi="Times New Roman" w:cs="Times New Roman"/>
        </w:rPr>
        <w:t xml:space="preserve"> as a result of changing household demographics</w:t>
      </w:r>
      <w:r w:rsidR="000B4242" w:rsidRPr="00371A17">
        <w:rPr>
          <w:rFonts w:ascii="Times New Roman" w:hAnsi="Times New Roman" w:cs="Times New Roman"/>
        </w:rPr>
        <w:t xml:space="preserve">.  </w:t>
      </w:r>
      <w:r w:rsidR="000B4242" w:rsidRPr="00371A17">
        <w:rPr>
          <w:rFonts w:ascii="Times New Roman" w:hAnsi="Times New Roman" w:cs="Times New Roman"/>
        </w:rPr>
        <w:lastRenderedPageBreak/>
        <w:t>Mirroring the changing demographics in Sydney, household sizes are shrinking in many global cities resulting in a misalignment of the housing stock and the needs of prospective tenants</w:t>
      </w:r>
      <w:r w:rsidR="00756352" w:rsidRPr="00371A17">
        <w:rPr>
          <w:rFonts w:ascii="Times New Roman" w:hAnsi="Times New Roman" w:cs="Times New Roman"/>
        </w:rPr>
        <w:t xml:space="preserve"> (Palmer 2006; Williams 2006; Hammermann 2012</w:t>
      </w:r>
      <w:r w:rsidR="001D2908" w:rsidRPr="00371A17">
        <w:rPr>
          <w:rFonts w:ascii="Times New Roman" w:hAnsi="Times New Roman" w:cs="Times New Roman"/>
        </w:rPr>
        <w:t>; Djukic 2015)</w:t>
      </w:r>
      <w:r w:rsidR="000B4242" w:rsidRPr="00371A17">
        <w:rPr>
          <w:rFonts w:ascii="Times New Roman" w:hAnsi="Times New Roman" w:cs="Times New Roman"/>
        </w:rPr>
        <w:t xml:space="preserve">.  </w:t>
      </w:r>
      <w:r w:rsidR="005010B2" w:rsidRPr="00371A17">
        <w:rPr>
          <w:rFonts w:ascii="Times New Roman" w:hAnsi="Times New Roman" w:cs="Times New Roman"/>
        </w:rPr>
        <w:t xml:space="preserve">The </w:t>
      </w:r>
      <w:r w:rsidR="000B4242" w:rsidRPr="00371A17">
        <w:rPr>
          <w:rFonts w:ascii="Times New Roman" w:hAnsi="Times New Roman" w:cs="Times New Roman"/>
        </w:rPr>
        <w:t xml:space="preserve">misalignment is </w:t>
      </w:r>
      <w:r w:rsidRPr="00371A17">
        <w:rPr>
          <w:rFonts w:ascii="Times New Roman" w:hAnsi="Times New Roman" w:cs="Times New Roman"/>
        </w:rPr>
        <w:t xml:space="preserve">further </w:t>
      </w:r>
      <w:r w:rsidR="000B4242" w:rsidRPr="00371A17">
        <w:rPr>
          <w:rFonts w:ascii="Times New Roman" w:hAnsi="Times New Roman" w:cs="Times New Roman"/>
        </w:rPr>
        <w:t>exacerbated by land use regulations and building codes that have not kept pace with evolving housing demands</w:t>
      </w:r>
      <w:r w:rsidRPr="00371A17">
        <w:rPr>
          <w:rFonts w:ascii="Times New Roman" w:hAnsi="Times New Roman" w:cs="Times New Roman"/>
        </w:rPr>
        <w:t xml:space="preserve">.  </w:t>
      </w:r>
      <w:r w:rsidR="00677B9C" w:rsidRPr="00371A17">
        <w:rPr>
          <w:rFonts w:ascii="Times New Roman" w:hAnsi="Times New Roman" w:cs="Times New Roman"/>
        </w:rPr>
        <w:t xml:space="preserve">With an overall </w:t>
      </w:r>
      <w:r w:rsidR="00C25FC1" w:rsidRPr="00371A17">
        <w:rPr>
          <w:rFonts w:ascii="Times New Roman" w:hAnsi="Times New Roman" w:cs="Times New Roman"/>
        </w:rPr>
        <w:t xml:space="preserve">deficiency </w:t>
      </w:r>
      <w:r w:rsidR="00677B9C" w:rsidRPr="00371A17">
        <w:rPr>
          <w:rFonts w:ascii="Times New Roman" w:hAnsi="Times New Roman" w:cs="Times New Roman"/>
        </w:rPr>
        <w:t xml:space="preserve">in the </w:t>
      </w:r>
      <w:r w:rsidR="00C25FC1" w:rsidRPr="00371A17">
        <w:rPr>
          <w:rFonts w:ascii="Times New Roman" w:hAnsi="Times New Roman" w:cs="Times New Roman"/>
        </w:rPr>
        <w:t xml:space="preserve">affordable </w:t>
      </w:r>
      <w:r w:rsidR="00677B9C" w:rsidRPr="00371A17">
        <w:rPr>
          <w:rFonts w:ascii="Times New Roman" w:hAnsi="Times New Roman" w:cs="Times New Roman"/>
        </w:rPr>
        <w:t>housing supply</w:t>
      </w:r>
      <w:r w:rsidR="000B4242" w:rsidRPr="00371A17">
        <w:rPr>
          <w:rFonts w:ascii="Times New Roman" w:hAnsi="Times New Roman" w:cs="Times New Roman"/>
        </w:rPr>
        <w:t xml:space="preserve"> in Sydney</w:t>
      </w:r>
      <w:r w:rsidR="00677B9C" w:rsidRPr="00371A17">
        <w:rPr>
          <w:rFonts w:ascii="Times New Roman" w:hAnsi="Times New Roman" w:cs="Times New Roman"/>
        </w:rPr>
        <w:t xml:space="preserve">, </w:t>
      </w:r>
      <w:r w:rsidR="00E14332" w:rsidRPr="00371A17">
        <w:rPr>
          <w:rFonts w:ascii="Times New Roman" w:hAnsi="Times New Roman" w:cs="Times New Roman"/>
        </w:rPr>
        <w:t xml:space="preserve">now is the time to </w:t>
      </w:r>
      <w:r w:rsidR="00677B9C" w:rsidRPr="00371A17">
        <w:rPr>
          <w:rFonts w:ascii="Times New Roman" w:hAnsi="Times New Roman" w:cs="Times New Roman"/>
        </w:rPr>
        <w:t xml:space="preserve">reconsider the traditional </w:t>
      </w:r>
      <w:r w:rsidR="005563F0" w:rsidRPr="00371A17">
        <w:rPr>
          <w:rFonts w:ascii="Times New Roman" w:hAnsi="Times New Roman" w:cs="Times New Roman"/>
        </w:rPr>
        <w:t xml:space="preserve">(affordable) </w:t>
      </w:r>
      <w:r w:rsidR="00677B9C" w:rsidRPr="00371A17">
        <w:rPr>
          <w:rFonts w:ascii="Times New Roman" w:hAnsi="Times New Roman" w:cs="Times New Roman"/>
        </w:rPr>
        <w:t xml:space="preserve">housing typology in </w:t>
      </w:r>
      <w:r w:rsidR="00371A17" w:rsidRPr="00371A17">
        <w:rPr>
          <w:rFonts w:ascii="Times New Roman" w:hAnsi="Times New Roman" w:cs="Times New Roman"/>
        </w:rPr>
        <w:t>favour</w:t>
      </w:r>
      <w:r w:rsidR="00677B9C" w:rsidRPr="00371A17">
        <w:rPr>
          <w:rFonts w:ascii="Times New Roman" w:hAnsi="Times New Roman" w:cs="Times New Roman"/>
        </w:rPr>
        <w:t xml:space="preserve"> of one that more closely meets the </w:t>
      </w:r>
      <w:r w:rsidR="00B97356" w:rsidRPr="00371A17">
        <w:rPr>
          <w:rFonts w:ascii="Times New Roman" w:hAnsi="Times New Roman" w:cs="Times New Roman"/>
        </w:rPr>
        <w:t xml:space="preserve">changing </w:t>
      </w:r>
      <w:r w:rsidR="00677B9C" w:rsidRPr="00371A17">
        <w:rPr>
          <w:rFonts w:ascii="Times New Roman" w:hAnsi="Times New Roman" w:cs="Times New Roman"/>
        </w:rPr>
        <w:t xml:space="preserve">demands of the market.  </w:t>
      </w:r>
      <w:r w:rsidR="00073640" w:rsidRPr="00371A17">
        <w:rPr>
          <w:rFonts w:ascii="Times New Roman" w:hAnsi="Times New Roman" w:cs="Times New Roman"/>
        </w:rPr>
        <w:t>F</w:t>
      </w:r>
      <w:r w:rsidR="00677B9C" w:rsidRPr="00371A17">
        <w:rPr>
          <w:rFonts w:ascii="Times New Roman" w:hAnsi="Times New Roman" w:cs="Times New Roman"/>
        </w:rPr>
        <w:t xml:space="preserve">our different strategies for alternate housing typologies </w:t>
      </w:r>
      <w:r w:rsidR="00073640" w:rsidRPr="00371A17">
        <w:rPr>
          <w:rFonts w:ascii="Times New Roman" w:hAnsi="Times New Roman" w:cs="Times New Roman"/>
        </w:rPr>
        <w:t xml:space="preserve">are investigated below.  The case </w:t>
      </w:r>
      <w:r w:rsidR="00C15A53" w:rsidRPr="00371A17">
        <w:rPr>
          <w:rFonts w:ascii="Times New Roman" w:hAnsi="Times New Roman" w:cs="Times New Roman"/>
        </w:rPr>
        <w:t xml:space="preserve">examples </w:t>
      </w:r>
      <w:r w:rsidR="00073640" w:rsidRPr="00371A17">
        <w:rPr>
          <w:rFonts w:ascii="Times New Roman" w:hAnsi="Times New Roman" w:cs="Times New Roman"/>
        </w:rPr>
        <w:t xml:space="preserve">demonstrate </w:t>
      </w:r>
      <w:r w:rsidR="00C15A53" w:rsidRPr="00371A17">
        <w:rPr>
          <w:rFonts w:ascii="Times New Roman" w:hAnsi="Times New Roman" w:cs="Times New Roman"/>
        </w:rPr>
        <w:t xml:space="preserve">how </w:t>
      </w:r>
      <w:r w:rsidR="00073640" w:rsidRPr="00371A17">
        <w:rPr>
          <w:rFonts w:ascii="Times New Roman" w:hAnsi="Times New Roman" w:cs="Times New Roman"/>
        </w:rPr>
        <w:t xml:space="preserve">these strategies </w:t>
      </w:r>
      <w:r w:rsidR="005F0425" w:rsidRPr="00371A17">
        <w:rPr>
          <w:rFonts w:ascii="Times New Roman" w:hAnsi="Times New Roman" w:cs="Times New Roman"/>
        </w:rPr>
        <w:t xml:space="preserve">create </w:t>
      </w:r>
      <w:r w:rsidR="00677B9C" w:rsidRPr="00371A17">
        <w:rPr>
          <w:rFonts w:ascii="Times New Roman" w:hAnsi="Times New Roman" w:cs="Times New Roman"/>
        </w:rPr>
        <w:t xml:space="preserve">more units, in less space, </w:t>
      </w:r>
      <w:r w:rsidR="005F0425" w:rsidRPr="00371A17">
        <w:rPr>
          <w:rFonts w:ascii="Times New Roman" w:hAnsi="Times New Roman" w:cs="Times New Roman"/>
        </w:rPr>
        <w:t xml:space="preserve">at </w:t>
      </w:r>
      <w:r w:rsidR="00677B9C" w:rsidRPr="00371A17">
        <w:rPr>
          <w:rFonts w:ascii="Times New Roman" w:hAnsi="Times New Roman" w:cs="Times New Roman"/>
        </w:rPr>
        <w:t xml:space="preserve">a lower </w:t>
      </w:r>
      <w:r w:rsidR="003000E2" w:rsidRPr="00371A17">
        <w:rPr>
          <w:rFonts w:ascii="Times New Roman" w:hAnsi="Times New Roman" w:cs="Times New Roman"/>
        </w:rPr>
        <w:t xml:space="preserve">development </w:t>
      </w:r>
      <w:r w:rsidR="00677B9C" w:rsidRPr="00371A17">
        <w:rPr>
          <w:rFonts w:ascii="Times New Roman" w:hAnsi="Times New Roman" w:cs="Times New Roman"/>
        </w:rPr>
        <w:t xml:space="preserve">cost.  </w:t>
      </w:r>
    </w:p>
    <w:p w:rsidR="00677B9C" w:rsidRPr="00371A17" w:rsidRDefault="00677B9C" w:rsidP="00F654D9">
      <w:pPr>
        <w:spacing w:after="0" w:line="240" w:lineRule="auto"/>
        <w:jc w:val="both"/>
        <w:rPr>
          <w:rFonts w:ascii="Times New Roman" w:hAnsi="Times New Roman" w:cs="Times New Roman"/>
        </w:rPr>
      </w:pPr>
    </w:p>
    <w:p w:rsidR="00F654D9" w:rsidRPr="00371A17" w:rsidRDefault="00F654D9" w:rsidP="00F654D9">
      <w:pPr>
        <w:spacing w:after="0" w:line="240" w:lineRule="auto"/>
        <w:jc w:val="both"/>
        <w:rPr>
          <w:rFonts w:ascii="Times New Roman" w:hAnsi="Times New Roman" w:cs="Times New Roman"/>
          <w:b/>
        </w:rPr>
      </w:pPr>
    </w:p>
    <w:p w:rsidR="00520E52" w:rsidRPr="00371A17" w:rsidRDefault="00520E52" w:rsidP="00F654D9">
      <w:pPr>
        <w:spacing w:after="0" w:line="240" w:lineRule="auto"/>
        <w:jc w:val="both"/>
        <w:rPr>
          <w:rFonts w:ascii="Times New Roman" w:hAnsi="Times New Roman" w:cs="Times New Roman"/>
          <w:b/>
          <w:sz w:val="24"/>
          <w:szCs w:val="24"/>
        </w:rPr>
      </w:pPr>
      <w:r w:rsidRPr="00371A17">
        <w:rPr>
          <w:rFonts w:ascii="Times New Roman" w:hAnsi="Times New Roman" w:cs="Times New Roman"/>
          <w:b/>
          <w:sz w:val="24"/>
          <w:szCs w:val="24"/>
        </w:rPr>
        <w:t>Micro-Unit Development</w:t>
      </w:r>
    </w:p>
    <w:p w:rsidR="00340C1D" w:rsidRPr="00371A17" w:rsidRDefault="00BB366B" w:rsidP="00340C1D">
      <w:pPr>
        <w:spacing w:line="240" w:lineRule="auto"/>
        <w:jc w:val="both"/>
        <w:rPr>
          <w:rFonts w:ascii="Times New Roman" w:hAnsi="Times New Roman" w:cs="Times New Roman"/>
        </w:rPr>
      </w:pPr>
      <w:r w:rsidRPr="00371A17">
        <w:rPr>
          <w:rFonts w:ascii="Times New Roman" w:hAnsi="Times New Roman" w:cs="Times New Roman"/>
        </w:rPr>
        <w:t xml:space="preserve">Micro-units can meet needs of smaller metropolitan households through the </w:t>
      </w:r>
      <w:r w:rsidR="00F50A78" w:rsidRPr="00371A17">
        <w:rPr>
          <w:rFonts w:ascii="Times New Roman" w:hAnsi="Times New Roman" w:cs="Times New Roman"/>
        </w:rPr>
        <w:t xml:space="preserve">reconsideration and redesign of </w:t>
      </w:r>
      <w:r w:rsidRPr="00371A17">
        <w:rPr>
          <w:rFonts w:ascii="Times New Roman" w:hAnsi="Times New Roman" w:cs="Times New Roman"/>
        </w:rPr>
        <w:t xml:space="preserve">the residential unit (Klinenberg 2012) while also reducing the demand among singles for shared two- to four-bedroom units, thereby making those units available (and affordable) to lower-income families (Kallach, 2012).  </w:t>
      </w:r>
      <w:r w:rsidR="00340C1D" w:rsidRPr="00371A17">
        <w:rPr>
          <w:rFonts w:ascii="Times New Roman" w:hAnsi="Times New Roman" w:cs="Times New Roman"/>
        </w:rPr>
        <w:t xml:space="preserve">Djukic (2015, p. 196) provides a definition of the micro-unit as follows: </w:t>
      </w:r>
    </w:p>
    <w:p w:rsidR="00340C1D" w:rsidRPr="00371A17" w:rsidRDefault="00340C1D" w:rsidP="00340C1D">
      <w:pPr>
        <w:spacing w:line="240" w:lineRule="auto"/>
        <w:ind w:left="567" w:right="615"/>
        <w:jc w:val="both"/>
        <w:rPr>
          <w:rFonts w:ascii="Times New Roman" w:hAnsi="Times New Roman" w:cs="Times New Roman"/>
        </w:rPr>
      </w:pPr>
      <w:r w:rsidRPr="00371A17">
        <w:rPr>
          <w:rFonts w:ascii="Times New Roman" w:hAnsi="Times New Roman" w:cs="Times New Roman"/>
        </w:rPr>
        <w:t>A micro-unit, also called micro-home, micro-flat, micro-apartment, shoebox apartment, efficiency dwelling unit or Mickey Mouse apartment, is a space-efficiently-designed apartment, typically located near public transit in urbanised centres. Micro-units are characterised by their small space and low rents in comparison to absolute affordability and/or housing size in the units area, and are compliant with all building codes. With reduced individual living space, the micro-unit is typically an element of a larger concept that includes a variety of communal spaces and amenities residents can use.</w:t>
      </w:r>
    </w:p>
    <w:p w:rsidR="00340C1D" w:rsidRPr="00371A17" w:rsidRDefault="00BB366B" w:rsidP="00340C1D">
      <w:pPr>
        <w:spacing w:line="240" w:lineRule="auto"/>
        <w:jc w:val="both"/>
        <w:rPr>
          <w:rFonts w:ascii="Times New Roman" w:hAnsi="Times New Roman" w:cs="Times New Roman"/>
        </w:rPr>
      </w:pPr>
      <w:r w:rsidRPr="00371A17">
        <w:rPr>
          <w:rFonts w:ascii="Times New Roman" w:hAnsi="Times New Roman" w:cs="Times New Roman"/>
        </w:rPr>
        <w:t xml:space="preserve">Similar to single-room occupancy (SRO) </w:t>
      </w:r>
      <w:r w:rsidR="00EE579E" w:rsidRPr="00371A17">
        <w:rPr>
          <w:rFonts w:ascii="Times New Roman" w:hAnsi="Times New Roman" w:cs="Times New Roman"/>
        </w:rPr>
        <w:t xml:space="preserve">units </w:t>
      </w:r>
      <w:r w:rsidR="00F50A78" w:rsidRPr="00371A17">
        <w:rPr>
          <w:rFonts w:ascii="Times New Roman" w:hAnsi="Times New Roman" w:cs="Times New Roman"/>
        </w:rPr>
        <w:t xml:space="preserve">which have long been used to create </w:t>
      </w:r>
      <w:r w:rsidRPr="00371A17">
        <w:rPr>
          <w:rFonts w:ascii="Times New Roman" w:hAnsi="Times New Roman" w:cs="Times New Roman"/>
        </w:rPr>
        <w:t xml:space="preserve">affordable housing </w:t>
      </w:r>
      <w:r w:rsidR="00F50A78" w:rsidRPr="00371A17">
        <w:rPr>
          <w:rFonts w:ascii="Times New Roman" w:hAnsi="Times New Roman" w:cs="Times New Roman"/>
        </w:rPr>
        <w:t xml:space="preserve">for </w:t>
      </w:r>
      <w:r w:rsidRPr="00371A17">
        <w:rPr>
          <w:rFonts w:ascii="Times New Roman" w:hAnsi="Times New Roman" w:cs="Times New Roman"/>
        </w:rPr>
        <w:t>low</w:t>
      </w:r>
      <w:r w:rsidR="00F50A78" w:rsidRPr="00371A17">
        <w:rPr>
          <w:rFonts w:ascii="Times New Roman" w:hAnsi="Times New Roman" w:cs="Times New Roman"/>
        </w:rPr>
        <w:t xml:space="preserve">- </w:t>
      </w:r>
      <w:r w:rsidR="00EE579E" w:rsidRPr="00371A17">
        <w:rPr>
          <w:rFonts w:ascii="Times New Roman" w:hAnsi="Times New Roman" w:cs="Times New Roman"/>
        </w:rPr>
        <w:t>and moderate-</w:t>
      </w:r>
      <w:r w:rsidRPr="00371A17">
        <w:rPr>
          <w:rFonts w:ascii="Times New Roman" w:hAnsi="Times New Roman" w:cs="Times New Roman"/>
        </w:rPr>
        <w:t>income individuals (Kallach, 2012), micro</w:t>
      </w:r>
      <w:r w:rsidR="00F50A78" w:rsidRPr="00371A17">
        <w:rPr>
          <w:rFonts w:ascii="Times New Roman" w:hAnsi="Times New Roman" w:cs="Times New Roman"/>
        </w:rPr>
        <w:t>-</w:t>
      </w:r>
      <w:r w:rsidRPr="00371A17">
        <w:rPr>
          <w:rFonts w:ascii="Times New Roman" w:hAnsi="Times New Roman" w:cs="Times New Roman"/>
        </w:rPr>
        <w:t>units are designed to appeal to young professionals willing to accept smaller units  in exchange for</w:t>
      </w:r>
      <w:r w:rsidR="00F50A78" w:rsidRPr="00371A17">
        <w:rPr>
          <w:rFonts w:ascii="Times New Roman" w:hAnsi="Times New Roman" w:cs="Times New Roman"/>
        </w:rPr>
        <w:t xml:space="preserve"> </w:t>
      </w:r>
      <w:r w:rsidRPr="00371A17">
        <w:rPr>
          <w:rFonts w:ascii="Times New Roman" w:hAnsi="Times New Roman" w:cs="Times New Roman"/>
        </w:rPr>
        <w:t>access to urban and cultural amenities and a more social way of life</w:t>
      </w:r>
      <w:r w:rsidR="00F50A78" w:rsidRPr="00371A17">
        <w:rPr>
          <w:rFonts w:ascii="Times New Roman" w:hAnsi="Times New Roman" w:cs="Times New Roman"/>
        </w:rPr>
        <w:t xml:space="preserve"> in downtown locations</w:t>
      </w:r>
      <w:r w:rsidR="00793DFC" w:rsidRPr="00371A17">
        <w:rPr>
          <w:rStyle w:val="EndnoteReference"/>
          <w:rFonts w:ascii="Times New Roman" w:hAnsi="Times New Roman" w:cs="Times New Roman"/>
        </w:rPr>
        <w:endnoteReference w:id="1"/>
      </w:r>
      <w:r w:rsidRPr="00371A17">
        <w:rPr>
          <w:rFonts w:ascii="Times New Roman" w:hAnsi="Times New Roman" w:cs="Times New Roman"/>
        </w:rPr>
        <w:t xml:space="preserve">.  </w:t>
      </w:r>
      <w:r w:rsidR="00F50A78" w:rsidRPr="00371A17">
        <w:rPr>
          <w:rFonts w:ascii="Times New Roman" w:hAnsi="Times New Roman" w:cs="Times New Roman"/>
        </w:rPr>
        <w:t xml:space="preserve">In contrast to SROs, micro-units are </w:t>
      </w:r>
      <w:r w:rsidR="007028EF" w:rsidRPr="00371A17">
        <w:rPr>
          <w:rFonts w:ascii="Times New Roman" w:hAnsi="Times New Roman" w:cs="Times New Roman"/>
        </w:rPr>
        <w:t xml:space="preserve">typically elements of a broader concept which includes a variety of communal spaces and amenities for residents.  In addition, they are </w:t>
      </w:r>
      <w:r w:rsidR="00F50A78" w:rsidRPr="00371A17">
        <w:rPr>
          <w:rFonts w:ascii="Times New Roman" w:hAnsi="Times New Roman" w:cs="Times New Roman"/>
        </w:rPr>
        <w:t xml:space="preserve">often designed to include custom-designed, built-in furniture to maximise the use of space (Djukic, 2015).  </w:t>
      </w:r>
    </w:p>
    <w:p w:rsidR="005B0E2A" w:rsidRPr="00371A17" w:rsidRDefault="005B0E2A" w:rsidP="005B0E2A">
      <w:pPr>
        <w:spacing w:line="240" w:lineRule="auto"/>
        <w:jc w:val="both"/>
        <w:rPr>
          <w:rFonts w:ascii="Times New Roman" w:hAnsi="Times New Roman" w:cs="Times New Roman"/>
        </w:rPr>
      </w:pPr>
      <w:r w:rsidRPr="00371A17">
        <w:rPr>
          <w:rFonts w:ascii="Times New Roman" w:hAnsi="Times New Roman" w:cs="Times New Roman"/>
        </w:rPr>
        <w:t xml:space="preserve">It should be noted that the lower monthly rents for micro-units is as a result of size, not cost per square foot.  For example, rents are anticipated to range from $5.91 to $6.82 per square foot for one of the new micro-unit projects in development in San Francisco; this is significantly above the average rental rate of $4.21 per square foot for the average sized studio in the city (Been et al, 2014).  </w:t>
      </w:r>
      <w:r w:rsidR="00016CD4" w:rsidRPr="00371A17">
        <w:rPr>
          <w:rFonts w:ascii="Times New Roman" w:hAnsi="Times New Roman" w:cs="Times New Roman"/>
        </w:rPr>
        <w:t>This has raised concerns by some that the higher per square foot rents may also lead to higher rents in larger units and drive up land prices, thereby forcing affordable housing developers out of the market (ibid).</w:t>
      </w:r>
    </w:p>
    <w:p w:rsidR="00016CD4" w:rsidRPr="00371A17" w:rsidRDefault="00016CD4" w:rsidP="005B0E2A">
      <w:pPr>
        <w:spacing w:line="240" w:lineRule="auto"/>
        <w:jc w:val="both"/>
        <w:rPr>
          <w:rFonts w:ascii="Times New Roman" w:hAnsi="Times New Roman" w:cs="Times New Roman"/>
        </w:rPr>
      </w:pPr>
      <w:r w:rsidRPr="00371A17">
        <w:rPr>
          <w:rFonts w:ascii="Times New Roman" w:hAnsi="Times New Roman" w:cs="Times New Roman"/>
        </w:rPr>
        <w:t xml:space="preserve">However, </w:t>
      </w:r>
      <w:r w:rsidR="00371A17">
        <w:rPr>
          <w:rFonts w:ascii="Times New Roman" w:hAnsi="Times New Roman" w:cs="Times New Roman"/>
        </w:rPr>
        <w:t>proponents</w:t>
      </w:r>
      <w:r w:rsidRPr="00371A17">
        <w:rPr>
          <w:rFonts w:ascii="Times New Roman" w:hAnsi="Times New Roman" w:cs="Times New Roman"/>
        </w:rPr>
        <w:t xml:space="preserve"> strongly argue that micro-units are </w:t>
      </w:r>
      <w:r w:rsidR="00371A17" w:rsidRPr="00371A17">
        <w:rPr>
          <w:rFonts w:ascii="Times New Roman" w:hAnsi="Times New Roman" w:cs="Times New Roman"/>
        </w:rPr>
        <w:t>beneficial</w:t>
      </w:r>
      <w:r w:rsidRPr="00371A17">
        <w:rPr>
          <w:rFonts w:ascii="Times New Roman" w:hAnsi="Times New Roman" w:cs="Times New Roman"/>
        </w:rPr>
        <w:t xml:space="preserve"> for cities aiming to attract and retain young professionals who wish to live in inner urban areas.  </w:t>
      </w:r>
      <w:r w:rsidR="00CF2739" w:rsidRPr="00371A17">
        <w:rPr>
          <w:rFonts w:ascii="Times New Roman" w:hAnsi="Times New Roman" w:cs="Times New Roman"/>
        </w:rPr>
        <w:t>C</w:t>
      </w:r>
      <w:r w:rsidR="00E57D1C" w:rsidRPr="00371A17">
        <w:rPr>
          <w:rFonts w:ascii="Times New Roman" w:hAnsi="Times New Roman" w:cs="Times New Roman"/>
        </w:rPr>
        <w:t xml:space="preserve">ommunal spaces and </w:t>
      </w:r>
      <w:r w:rsidR="00371A17" w:rsidRPr="00371A17">
        <w:rPr>
          <w:rFonts w:ascii="Times New Roman" w:hAnsi="Times New Roman" w:cs="Times New Roman"/>
        </w:rPr>
        <w:t>amenities</w:t>
      </w:r>
      <w:r w:rsidR="00E57D1C" w:rsidRPr="00371A17">
        <w:rPr>
          <w:rFonts w:ascii="Times New Roman" w:hAnsi="Times New Roman" w:cs="Times New Roman"/>
        </w:rPr>
        <w:t xml:space="preserve"> in micro-unit developments </w:t>
      </w:r>
      <w:r w:rsidRPr="00371A17">
        <w:rPr>
          <w:rFonts w:ascii="Times New Roman" w:hAnsi="Times New Roman" w:cs="Times New Roman"/>
        </w:rPr>
        <w:t xml:space="preserve">foster relationships between </w:t>
      </w:r>
      <w:r w:rsidR="00371A17" w:rsidRPr="00371A17">
        <w:rPr>
          <w:rFonts w:ascii="Times New Roman" w:hAnsi="Times New Roman" w:cs="Times New Roman"/>
        </w:rPr>
        <w:t>neighbours</w:t>
      </w:r>
      <w:r w:rsidRPr="00371A17">
        <w:rPr>
          <w:rFonts w:ascii="Times New Roman" w:hAnsi="Times New Roman" w:cs="Times New Roman"/>
        </w:rPr>
        <w:t xml:space="preserve"> and help residents build social capital, </w:t>
      </w:r>
      <w:r w:rsidR="00E14323" w:rsidRPr="00371A17">
        <w:rPr>
          <w:rFonts w:ascii="Times New Roman" w:hAnsi="Times New Roman" w:cs="Times New Roman"/>
        </w:rPr>
        <w:t xml:space="preserve">thereby giving occupants a reason to put down roots in the community. </w:t>
      </w:r>
      <w:r w:rsidR="00CF2739" w:rsidRPr="00371A17">
        <w:rPr>
          <w:rFonts w:ascii="Times New Roman" w:hAnsi="Times New Roman" w:cs="Times New Roman"/>
        </w:rPr>
        <w:t xml:space="preserve"> A recent Cambridge Innovation Center study confirmed that young professionals in the Boston/Cambridge area </w:t>
      </w:r>
      <w:r w:rsidR="00371A17" w:rsidRPr="00371A17">
        <w:rPr>
          <w:rFonts w:ascii="Times New Roman" w:hAnsi="Times New Roman" w:cs="Times New Roman"/>
        </w:rPr>
        <w:t>identified</w:t>
      </w:r>
      <w:r w:rsidR="00CF2739" w:rsidRPr="00371A17">
        <w:rPr>
          <w:rFonts w:ascii="Times New Roman" w:hAnsi="Times New Roman" w:cs="Times New Roman"/>
        </w:rPr>
        <w:t xml:space="preserve"> a need for more affordable housing options in the downtown area and indicated a willingness to live in smaller spaces if there were also communal areas that could be used to interact with others.  </w:t>
      </w:r>
      <w:r w:rsidR="00E14323" w:rsidRPr="00371A17">
        <w:rPr>
          <w:rFonts w:ascii="Times New Roman" w:hAnsi="Times New Roman" w:cs="Times New Roman"/>
        </w:rPr>
        <w:t xml:space="preserve"> </w:t>
      </w:r>
      <w:r w:rsidRPr="00371A17">
        <w:rPr>
          <w:rFonts w:ascii="Times New Roman" w:hAnsi="Times New Roman" w:cs="Times New Roman"/>
        </w:rPr>
        <w:t xml:space="preserve">Been et al </w:t>
      </w:r>
      <w:r w:rsidR="00CF2739" w:rsidRPr="00371A17">
        <w:rPr>
          <w:rFonts w:ascii="Times New Roman" w:hAnsi="Times New Roman" w:cs="Times New Roman"/>
        </w:rPr>
        <w:t xml:space="preserve">(2014) </w:t>
      </w:r>
      <w:r w:rsidRPr="00371A17">
        <w:rPr>
          <w:rFonts w:ascii="Times New Roman" w:hAnsi="Times New Roman" w:cs="Times New Roman"/>
        </w:rPr>
        <w:t>note that</w:t>
      </w:r>
      <w:r w:rsidR="00E14323" w:rsidRPr="00371A17">
        <w:rPr>
          <w:rFonts w:ascii="Times New Roman" w:hAnsi="Times New Roman" w:cs="Times New Roman"/>
        </w:rPr>
        <w:t>:</w:t>
      </w:r>
      <w:r w:rsidRPr="00371A17">
        <w:rPr>
          <w:rFonts w:ascii="Times New Roman" w:hAnsi="Times New Roman" w:cs="Times New Roman"/>
        </w:rPr>
        <w:t xml:space="preserve"> </w:t>
      </w:r>
    </w:p>
    <w:p w:rsidR="00016CD4" w:rsidRPr="00371A17" w:rsidRDefault="00016CD4" w:rsidP="00E14323">
      <w:pPr>
        <w:spacing w:line="240" w:lineRule="auto"/>
        <w:ind w:left="709" w:right="615"/>
        <w:jc w:val="both"/>
        <w:rPr>
          <w:rFonts w:ascii="Times New Roman" w:hAnsi="Times New Roman" w:cs="Times New Roman"/>
        </w:rPr>
      </w:pPr>
      <w:r w:rsidRPr="00371A17">
        <w:rPr>
          <w:rFonts w:ascii="Times New Roman" w:hAnsi="Times New Roman" w:cs="Times New Roman"/>
        </w:rPr>
        <w:tab/>
        <w:t xml:space="preserve">… </w:t>
      </w:r>
      <w:r w:rsidR="00CF2739" w:rsidRPr="00371A17">
        <w:rPr>
          <w:rFonts w:ascii="Times New Roman" w:hAnsi="Times New Roman" w:cs="Times New Roman"/>
        </w:rPr>
        <w:t xml:space="preserve">[micro-units] </w:t>
      </w:r>
      <w:r w:rsidRPr="00371A17">
        <w:rPr>
          <w:rFonts w:ascii="Times New Roman" w:hAnsi="Times New Roman" w:cs="Times New Roman"/>
        </w:rPr>
        <w:t>can add diversity to the stock of units in a local housing market, allowing the local market to better respond to demographic changes, and provide a range of housing options for different kinds of households and for people at different stages of the life-cycle</w:t>
      </w:r>
      <w:r w:rsidR="00E14323" w:rsidRPr="00371A17">
        <w:rPr>
          <w:rFonts w:ascii="Times New Roman" w:hAnsi="Times New Roman" w:cs="Times New Roman"/>
        </w:rPr>
        <w:t xml:space="preserve"> (p. 21)</w:t>
      </w:r>
      <w:r w:rsidRPr="00371A17">
        <w:rPr>
          <w:rFonts w:ascii="Times New Roman" w:hAnsi="Times New Roman" w:cs="Times New Roman"/>
        </w:rPr>
        <w:t xml:space="preserve">. </w:t>
      </w:r>
    </w:p>
    <w:p w:rsidR="00016CD4" w:rsidRPr="00371A17" w:rsidRDefault="00016CD4" w:rsidP="005B0E2A">
      <w:pPr>
        <w:spacing w:line="240" w:lineRule="auto"/>
        <w:jc w:val="both"/>
        <w:rPr>
          <w:rFonts w:ascii="Times New Roman" w:hAnsi="Times New Roman" w:cs="Times New Roman"/>
        </w:rPr>
      </w:pPr>
      <w:r w:rsidRPr="00371A17">
        <w:rPr>
          <w:rFonts w:ascii="Times New Roman" w:hAnsi="Times New Roman" w:cs="Times New Roman"/>
        </w:rPr>
        <w:tab/>
      </w:r>
    </w:p>
    <w:p w:rsidR="00022F8C" w:rsidRPr="00371A17" w:rsidRDefault="00022F8C" w:rsidP="00022F8C">
      <w:pPr>
        <w:spacing w:after="0" w:line="240" w:lineRule="auto"/>
        <w:jc w:val="both"/>
        <w:rPr>
          <w:rFonts w:ascii="Times New Roman" w:hAnsi="Times New Roman" w:cs="Times New Roman"/>
          <w:b/>
          <w:i/>
        </w:rPr>
      </w:pPr>
      <w:r w:rsidRPr="00371A17">
        <w:rPr>
          <w:rFonts w:ascii="Times New Roman" w:hAnsi="Times New Roman" w:cs="Times New Roman"/>
          <w:b/>
          <w:i/>
        </w:rPr>
        <w:lastRenderedPageBreak/>
        <w:t>Barriers to Micro-Unit Development</w:t>
      </w:r>
    </w:p>
    <w:p w:rsidR="00022F8C" w:rsidRPr="00371A17" w:rsidRDefault="00022F8C" w:rsidP="00022F8C">
      <w:pPr>
        <w:spacing w:line="240" w:lineRule="auto"/>
        <w:jc w:val="both"/>
        <w:rPr>
          <w:rFonts w:ascii="Times New Roman" w:hAnsi="Times New Roman" w:cs="Times New Roman"/>
        </w:rPr>
      </w:pPr>
      <w:r w:rsidRPr="00371A17">
        <w:rPr>
          <w:rFonts w:ascii="Times New Roman" w:hAnsi="Times New Roman" w:cs="Times New Roman"/>
        </w:rPr>
        <w:t xml:space="preserve">A NYU Furman Center report (Been et al, 2014) discusses in detail the regulatory obstacles to micro-unit development.  The authors note that local regulatory requirements for minimum unit sizes and parking requirements are the key challenges for micro-unit development, but also identify lot regulatory requirements related to lot coverage, building height, building setback, density and interior space requirements as factors that can impact project feasibility.  For example, density regulations that limit the number of units allowed per lot (e.g. New York), may not allow enough units to be included to make a micro-unit development profitable.  Height and setback requirement can create design challenges, e.g. providing sufficient light and air to units as a result of layout challenges, thereby impacting the cost-effectiveness of micro-units.  The purpose of these requirements should be </w:t>
      </w:r>
      <w:r w:rsidR="00371A17" w:rsidRPr="00371A17">
        <w:rPr>
          <w:rFonts w:ascii="Times New Roman" w:hAnsi="Times New Roman" w:cs="Times New Roman"/>
        </w:rPr>
        <w:t>analysed</w:t>
      </w:r>
      <w:r w:rsidRPr="00371A17">
        <w:rPr>
          <w:rFonts w:ascii="Times New Roman" w:hAnsi="Times New Roman" w:cs="Times New Roman"/>
        </w:rPr>
        <w:t xml:space="preserve"> and weighed against the benefits of affordability.  In addition, density requirements should be reconsidered in light of shrinking household sizes, increased populations and lack of available land upon which to build affordable housing in most cities</w:t>
      </w:r>
      <w:r w:rsidR="00AE5041" w:rsidRPr="00371A17">
        <w:rPr>
          <w:rFonts w:ascii="Times New Roman" w:hAnsi="Times New Roman" w:cs="Times New Roman"/>
        </w:rPr>
        <w:t xml:space="preserve"> (ibid; Infranca, 2014)</w:t>
      </w:r>
      <w:r w:rsidRPr="00371A17">
        <w:rPr>
          <w:rFonts w:ascii="Times New Roman" w:hAnsi="Times New Roman" w:cs="Times New Roman"/>
        </w:rPr>
        <w:t>.</w:t>
      </w:r>
    </w:p>
    <w:p w:rsidR="00022F8C" w:rsidRPr="00371A17" w:rsidRDefault="00022F8C" w:rsidP="00022F8C">
      <w:pPr>
        <w:spacing w:line="240" w:lineRule="auto"/>
        <w:jc w:val="both"/>
        <w:rPr>
          <w:rFonts w:ascii="Times New Roman" w:hAnsi="Times New Roman" w:cs="Times New Roman"/>
        </w:rPr>
      </w:pPr>
      <w:r w:rsidRPr="00371A17">
        <w:rPr>
          <w:rFonts w:ascii="Times New Roman" w:hAnsi="Times New Roman" w:cs="Times New Roman"/>
        </w:rPr>
        <w:t xml:space="preserve">In addition to regulatory barriers to micro-unit development, </w:t>
      </w:r>
      <w:r w:rsidR="00EA6615" w:rsidRPr="00371A17">
        <w:rPr>
          <w:rFonts w:ascii="Times New Roman" w:hAnsi="Times New Roman" w:cs="Times New Roman"/>
        </w:rPr>
        <w:t>two</w:t>
      </w:r>
      <w:r w:rsidRPr="00371A17">
        <w:rPr>
          <w:rFonts w:ascii="Times New Roman" w:hAnsi="Times New Roman" w:cs="Times New Roman"/>
        </w:rPr>
        <w:t xml:space="preserve"> </w:t>
      </w:r>
      <w:r w:rsidR="00371A17" w:rsidRPr="00371A17">
        <w:rPr>
          <w:rFonts w:ascii="Times New Roman" w:hAnsi="Times New Roman" w:cs="Times New Roman"/>
        </w:rPr>
        <w:t>key</w:t>
      </w:r>
      <w:r w:rsidR="00EA6615" w:rsidRPr="00371A17">
        <w:rPr>
          <w:rFonts w:ascii="Times New Roman" w:hAnsi="Times New Roman" w:cs="Times New Roman"/>
        </w:rPr>
        <w:t xml:space="preserve"> </w:t>
      </w:r>
      <w:r w:rsidRPr="00371A17">
        <w:rPr>
          <w:rFonts w:ascii="Times New Roman" w:hAnsi="Times New Roman" w:cs="Times New Roman"/>
        </w:rPr>
        <w:t xml:space="preserve">non-regulatory </w:t>
      </w:r>
      <w:r w:rsidR="00EA6615" w:rsidRPr="00371A17">
        <w:rPr>
          <w:rFonts w:ascii="Times New Roman" w:hAnsi="Times New Roman" w:cs="Times New Roman"/>
        </w:rPr>
        <w:t xml:space="preserve">barriers </w:t>
      </w:r>
      <w:r w:rsidRPr="00371A17">
        <w:rPr>
          <w:rFonts w:ascii="Times New Roman" w:hAnsi="Times New Roman" w:cs="Times New Roman"/>
        </w:rPr>
        <w:t>to compact unit development were identified: financial lending</w:t>
      </w:r>
      <w:r w:rsidR="00EA6615" w:rsidRPr="00371A17">
        <w:rPr>
          <w:rFonts w:ascii="Times New Roman" w:hAnsi="Times New Roman" w:cs="Times New Roman"/>
        </w:rPr>
        <w:t xml:space="preserve"> (Been et al, 2014; Infranca, 2014)</w:t>
      </w:r>
      <w:r w:rsidRPr="00371A17">
        <w:rPr>
          <w:rFonts w:ascii="Times New Roman" w:hAnsi="Times New Roman" w:cs="Times New Roman"/>
        </w:rPr>
        <w:t xml:space="preserve"> and </w:t>
      </w:r>
      <w:r w:rsidR="00371A17" w:rsidRPr="00371A17">
        <w:rPr>
          <w:rFonts w:ascii="Times New Roman" w:hAnsi="Times New Roman" w:cs="Times New Roman"/>
        </w:rPr>
        <w:t>neighbourhood</w:t>
      </w:r>
      <w:r w:rsidRPr="00371A17">
        <w:rPr>
          <w:rFonts w:ascii="Times New Roman" w:hAnsi="Times New Roman" w:cs="Times New Roman"/>
        </w:rPr>
        <w:t xml:space="preserve"> opposition</w:t>
      </w:r>
      <w:r w:rsidR="00EA6615" w:rsidRPr="00371A17">
        <w:rPr>
          <w:rFonts w:ascii="Times New Roman" w:hAnsi="Times New Roman" w:cs="Times New Roman"/>
        </w:rPr>
        <w:t xml:space="preserve"> (Been et al, 2014; Infranca, 2014)</w:t>
      </w:r>
      <w:r w:rsidRPr="00371A17">
        <w:rPr>
          <w:rFonts w:ascii="Times New Roman" w:hAnsi="Times New Roman" w:cs="Times New Roman"/>
        </w:rPr>
        <w:t xml:space="preserve">.  Micro-unit developments may face problems obtaining traditional financing because of the lack of comparable properties. The report notes that because market demand has not yet been established in most cities, micro-unit developments may not receive as high a valuation by banks as larger-unit multi-family projects, where demand has been established.  Another interesting requirement that some lenders require is parking, even when regulations do not, which may drive up construction costs and eliminate price incentives for non-car owners. </w:t>
      </w:r>
      <w:r w:rsidR="00371A17" w:rsidRPr="00371A17">
        <w:rPr>
          <w:rFonts w:ascii="Times New Roman" w:hAnsi="Times New Roman" w:cs="Times New Roman"/>
        </w:rPr>
        <w:t>Neighbourhood</w:t>
      </w:r>
      <w:r w:rsidRPr="00371A17">
        <w:rPr>
          <w:rFonts w:ascii="Times New Roman" w:hAnsi="Times New Roman" w:cs="Times New Roman"/>
        </w:rPr>
        <w:t xml:space="preserve"> opposition concerns are most commonly related to concerns that large numbers of micro-</w:t>
      </w:r>
      <w:r w:rsidR="00371A17" w:rsidRPr="00371A17">
        <w:rPr>
          <w:rFonts w:ascii="Times New Roman" w:hAnsi="Times New Roman" w:cs="Times New Roman"/>
        </w:rPr>
        <w:t>units</w:t>
      </w:r>
      <w:r w:rsidRPr="00371A17">
        <w:rPr>
          <w:rFonts w:ascii="Times New Roman" w:hAnsi="Times New Roman" w:cs="Times New Roman"/>
        </w:rPr>
        <w:t xml:space="preserve"> will change the character of a </w:t>
      </w:r>
      <w:r w:rsidR="00371A17" w:rsidRPr="00371A17">
        <w:rPr>
          <w:rFonts w:ascii="Times New Roman" w:hAnsi="Times New Roman" w:cs="Times New Roman"/>
        </w:rPr>
        <w:t>neighbourhood</w:t>
      </w:r>
      <w:r w:rsidRPr="00371A17">
        <w:rPr>
          <w:rFonts w:ascii="Times New Roman" w:hAnsi="Times New Roman" w:cs="Times New Roman"/>
        </w:rPr>
        <w:t xml:space="preserve"> and/or that the </w:t>
      </w:r>
      <w:r w:rsidR="00371A17" w:rsidRPr="00371A17">
        <w:rPr>
          <w:rFonts w:ascii="Times New Roman" w:hAnsi="Times New Roman" w:cs="Times New Roman"/>
        </w:rPr>
        <w:t>higher</w:t>
      </w:r>
      <w:r w:rsidRPr="00371A17">
        <w:rPr>
          <w:rFonts w:ascii="Times New Roman" w:hAnsi="Times New Roman" w:cs="Times New Roman"/>
        </w:rPr>
        <w:t xml:space="preserve"> density development will put a strain on on-street parking (particularly in cities without parking requirements, such as Seattle).  </w:t>
      </w:r>
    </w:p>
    <w:p w:rsidR="00520E52" w:rsidRPr="00371A17" w:rsidRDefault="00520E52" w:rsidP="00F654D9">
      <w:pPr>
        <w:spacing w:after="0" w:line="240" w:lineRule="auto"/>
        <w:jc w:val="both"/>
        <w:rPr>
          <w:rFonts w:ascii="Times New Roman" w:hAnsi="Times New Roman" w:cs="Times New Roman"/>
          <w:b/>
          <w:i/>
        </w:rPr>
      </w:pPr>
      <w:r w:rsidRPr="00371A17">
        <w:rPr>
          <w:rFonts w:ascii="Times New Roman" w:hAnsi="Times New Roman" w:cs="Times New Roman"/>
          <w:b/>
          <w:i/>
        </w:rPr>
        <w:t xml:space="preserve">Case Example: </w:t>
      </w:r>
      <w:r w:rsidR="008058FB" w:rsidRPr="00371A17">
        <w:rPr>
          <w:rFonts w:ascii="Times New Roman" w:hAnsi="Times New Roman" w:cs="Times New Roman"/>
          <w:b/>
          <w:i/>
        </w:rPr>
        <w:t>San Francisco</w:t>
      </w:r>
      <w:r w:rsidR="003E003D" w:rsidRPr="00371A17">
        <w:rPr>
          <w:rFonts w:ascii="Times New Roman" w:hAnsi="Times New Roman" w:cs="Times New Roman"/>
          <w:b/>
          <w:i/>
        </w:rPr>
        <w:t>, California, United States</w:t>
      </w:r>
    </w:p>
    <w:p w:rsidR="009977D6" w:rsidRPr="00371A17" w:rsidRDefault="00D33192" w:rsidP="009977D6">
      <w:pPr>
        <w:spacing w:line="240" w:lineRule="auto"/>
        <w:jc w:val="both"/>
        <w:rPr>
          <w:rFonts w:ascii="Times New Roman" w:hAnsi="Times New Roman" w:cs="Times New Roman"/>
          <w:color w:val="333333"/>
        </w:rPr>
      </w:pPr>
      <w:r w:rsidRPr="00371A17">
        <w:rPr>
          <w:rFonts w:ascii="Times New Roman" w:hAnsi="Times New Roman" w:cs="Times New Roman"/>
          <w:color w:val="333333"/>
        </w:rPr>
        <w:t>T</w:t>
      </w:r>
      <w:r w:rsidR="001F7C65" w:rsidRPr="00371A17">
        <w:rPr>
          <w:rFonts w:ascii="Times New Roman" w:hAnsi="Times New Roman" w:cs="Times New Roman"/>
          <w:color w:val="333333"/>
        </w:rPr>
        <w:t>he San Francisco Planning and Urban Renewal Association (SPUR)</w:t>
      </w:r>
      <w:r w:rsidRPr="00371A17">
        <w:rPr>
          <w:rFonts w:ascii="Times New Roman" w:hAnsi="Times New Roman" w:cs="Times New Roman"/>
          <w:color w:val="333333"/>
        </w:rPr>
        <w:t xml:space="preserve"> </w:t>
      </w:r>
      <w:r w:rsidR="00736013" w:rsidRPr="00371A17">
        <w:rPr>
          <w:rFonts w:ascii="Times New Roman" w:hAnsi="Times New Roman" w:cs="Times New Roman"/>
          <w:color w:val="333333"/>
        </w:rPr>
        <w:t>first present</w:t>
      </w:r>
      <w:r w:rsidR="009977D6" w:rsidRPr="00371A17">
        <w:rPr>
          <w:rFonts w:ascii="Times New Roman" w:hAnsi="Times New Roman" w:cs="Times New Roman"/>
          <w:color w:val="333333"/>
        </w:rPr>
        <w:t xml:space="preserve">ed </w:t>
      </w:r>
      <w:r w:rsidR="00736013" w:rsidRPr="00371A17">
        <w:rPr>
          <w:rFonts w:ascii="Times New Roman" w:hAnsi="Times New Roman" w:cs="Times New Roman"/>
          <w:color w:val="333333"/>
        </w:rPr>
        <w:t>“housing that is affordable ‘by design’</w:t>
      </w:r>
      <w:r w:rsidR="009977D6" w:rsidRPr="00371A17">
        <w:rPr>
          <w:rFonts w:ascii="Times New Roman" w:hAnsi="Times New Roman" w:cs="Times New Roman"/>
          <w:color w:val="333333"/>
        </w:rPr>
        <w:t>”</w:t>
      </w:r>
      <w:r w:rsidR="00736013" w:rsidRPr="00371A17">
        <w:rPr>
          <w:rFonts w:ascii="Times New Roman" w:hAnsi="Times New Roman" w:cs="Times New Roman"/>
          <w:color w:val="333333"/>
        </w:rPr>
        <w:t xml:space="preserve"> </w:t>
      </w:r>
      <w:r w:rsidR="009977D6" w:rsidRPr="00371A17">
        <w:rPr>
          <w:rFonts w:ascii="Times New Roman" w:hAnsi="Times New Roman" w:cs="Times New Roman"/>
          <w:color w:val="333333"/>
        </w:rPr>
        <w:t>as a</w:t>
      </w:r>
      <w:r w:rsidR="00736013" w:rsidRPr="00371A17">
        <w:rPr>
          <w:rFonts w:ascii="Times New Roman" w:hAnsi="Times New Roman" w:cs="Times New Roman"/>
          <w:color w:val="333333"/>
        </w:rPr>
        <w:t xml:space="preserve"> solution </w:t>
      </w:r>
      <w:r w:rsidR="009977D6" w:rsidRPr="00371A17">
        <w:rPr>
          <w:rFonts w:ascii="Times New Roman" w:hAnsi="Times New Roman" w:cs="Times New Roman"/>
          <w:color w:val="333333"/>
        </w:rPr>
        <w:t xml:space="preserve">to </w:t>
      </w:r>
      <w:r w:rsidR="00736013" w:rsidRPr="00371A17">
        <w:rPr>
          <w:rFonts w:ascii="Times New Roman" w:hAnsi="Times New Roman" w:cs="Times New Roman"/>
          <w:color w:val="333333"/>
        </w:rPr>
        <w:t>San Francisco’s housing affordability problem</w:t>
      </w:r>
      <w:r w:rsidR="009977D6" w:rsidRPr="00371A17">
        <w:rPr>
          <w:rFonts w:ascii="Times New Roman" w:hAnsi="Times New Roman" w:cs="Times New Roman"/>
          <w:color w:val="333333"/>
        </w:rPr>
        <w:t xml:space="preserve"> in </w:t>
      </w:r>
      <w:r w:rsidR="00736013" w:rsidRPr="00371A17">
        <w:rPr>
          <w:rFonts w:ascii="Times New Roman" w:hAnsi="Times New Roman" w:cs="Times New Roman"/>
          <w:i/>
          <w:color w:val="333333"/>
        </w:rPr>
        <w:t>SPUR</w:t>
      </w:r>
      <w:r w:rsidR="00736013" w:rsidRPr="00371A17">
        <w:rPr>
          <w:rFonts w:ascii="Times New Roman" w:hAnsi="Times New Roman" w:cs="Times New Roman"/>
          <w:color w:val="333333"/>
        </w:rPr>
        <w:t xml:space="preserve"> </w:t>
      </w:r>
      <w:r w:rsidR="00736013" w:rsidRPr="00371A17">
        <w:rPr>
          <w:rFonts w:ascii="Times New Roman" w:hAnsi="Times New Roman" w:cs="Times New Roman"/>
          <w:i/>
          <w:color w:val="333333"/>
        </w:rPr>
        <w:t>Report: Affordable by Design</w:t>
      </w:r>
      <w:r w:rsidR="00736013" w:rsidRPr="00371A17">
        <w:rPr>
          <w:rFonts w:ascii="Times New Roman" w:hAnsi="Times New Roman" w:cs="Times New Roman"/>
          <w:color w:val="333333"/>
        </w:rPr>
        <w:t xml:space="preserve"> (2007)</w:t>
      </w:r>
      <w:r w:rsidR="009977D6" w:rsidRPr="00371A17">
        <w:rPr>
          <w:rFonts w:ascii="Times New Roman" w:hAnsi="Times New Roman" w:cs="Times New Roman"/>
          <w:color w:val="333333"/>
        </w:rPr>
        <w:t>.  T</w:t>
      </w:r>
      <w:r w:rsidR="00736013" w:rsidRPr="00371A17">
        <w:rPr>
          <w:rFonts w:ascii="Times New Roman" w:hAnsi="Times New Roman" w:cs="Times New Roman"/>
          <w:color w:val="333333"/>
        </w:rPr>
        <w:t>hey argue that sm</w:t>
      </w:r>
      <w:r w:rsidR="009977D6" w:rsidRPr="00371A17">
        <w:rPr>
          <w:rFonts w:ascii="Times New Roman" w:hAnsi="Times New Roman" w:cs="Times New Roman"/>
          <w:color w:val="333333"/>
        </w:rPr>
        <w:t xml:space="preserve">all, </w:t>
      </w:r>
      <w:r w:rsidR="00736013" w:rsidRPr="00371A17">
        <w:rPr>
          <w:rFonts w:ascii="Times New Roman" w:hAnsi="Times New Roman" w:cs="Times New Roman"/>
          <w:color w:val="333333"/>
        </w:rPr>
        <w:t xml:space="preserve">efficiently designed units, </w:t>
      </w:r>
      <w:r w:rsidR="009977D6" w:rsidRPr="00371A17">
        <w:rPr>
          <w:rFonts w:ascii="Times New Roman" w:hAnsi="Times New Roman" w:cs="Times New Roman"/>
          <w:color w:val="333333"/>
        </w:rPr>
        <w:t xml:space="preserve">with lower price points and </w:t>
      </w:r>
      <w:r w:rsidR="00736013" w:rsidRPr="00371A17">
        <w:rPr>
          <w:rFonts w:ascii="Times New Roman" w:hAnsi="Times New Roman" w:cs="Times New Roman"/>
          <w:color w:val="333333"/>
        </w:rPr>
        <w:t xml:space="preserve">without parking spaces should be considered a viable part of San Francisco’s middle-income housing strategy.  </w:t>
      </w:r>
      <w:r w:rsidR="009977D6" w:rsidRPr="00371A17">
        <w:rPr>
          <w:rFonts w:ascii="Times New Roman" w:hAnsi="Times New Roman" w:cs="Times New Roman"/>
          <w:color w:val="333333"/>
        </w:rPr>
        <w:t xml:space="preserve">As a supplement to the San Francisco’s 100% affordable projects, subsidised with funds, and units developed by private developers to meet inclusionary housing requirements, SPUR presents micro-units as a housing typology that targets young professionals in the lower middle class, a stratum of the San Francisco housing market that the is most lacking.  They reiterate their support for micro-units in their 2014 report, </w:t>
      </w:r>
      <w:r w:rsidR="009977D6" w:rsidRPr="00371A17">
        <w:rPr>
          <w:rFonts w:ascii="Times New Roman" w:hAnsi="Times New Roman" w:cs="Times New Roman"/>
          <w:i/>
          <w:color w:val="333333"/>
        </w:rPr>
        <w:t>8 Ways to Make San Francisco More Affordable: Proposals from SPUR,</w:t>
      </w:r>
      <w:r w:rsidR="009977D6" w:rsidRPr="00371A17">
        <w:rPr>
          <w:rFonts w:ascii="Times New Roman" w:hAnsi="Times New Roman" w:cs="Times New Roman"/>
          <w:color w:val="333333"/>
        </w:rPr>
        <w:t xml:space="preserve"> where they call for a removal of city-wide caps on micro-units.</w:t>
      </w:r>
    </w:p>
    <w:p w:rsidR="0034192C" w:rsidRPr="00371A17" w:rsidRDefault="00D34097" w:rsidP="00DB7CEE">
      <w:pPr>
        <w:spacing w:line="240" w:lineRule="auto"/>
        <w:jc w:val="both"/>
        <w:rPr>
          <w:rFonts w:ascii="Times New Roman" w:hAnsi="Times New Roman" w:cs="Times New Roman"/>
        </w:rPr>
      </w:pPr>
      <w:r w:rsidRPr="00371A17">
        <w:rPr>
          <w:rFonts w:ascii="Times New Roman" w:hAnsi="Times New Roman" w:cs="Times New Roman"/>
        </w:rPr>
        <w:t xml:space="preserve">In 2011, Scott Wiener (District 8 Supervisor) </w:t>
      </w:r>
      <w:r w:rsidR="0034192C" w:rsidRPr="00371A17">
        <w:rPr>
          <w:rFonts w:ascii="Times New Roman" w:hAnsi="Times New Roman" w:cs="Times New Roman"/>
        </w:rPr>
        <w:t xml:space="preserve">began his campaign for </w:t>
      </w:r>
      <w:r w:rsidR="00EE654C" w:rsidRPr="00371A17">
        <w:rPr>
          <w:rFonts w:ascii="Times New Roman" w:hAnsi="Times New Roman" w:cs="Times New Roman"/>
        </w:rPr>
        <w:t xml:space="preserve">the </w:t>
      </w:r>
      <w:r w:rsidR="0034192C" w:rsidRPr="00371A17">
        <w:rPr>
          <w:rFonts w:ascii="Times New Roman" w:hAnsi="Times New Roman" w:cs="Times New Roman"/>
        </w:rPr>
        <w:t xml:space="preserve">San Francisco </w:t>
      </w:r>
      <w:r w:rsidR="00DB7CEE" w:rsidRPr="00371A17">
        <w:rPr>
          <w:rFonts w:ascii="Times New Roman" w:hAnsi="Times New Roman" w:cs="Times New Roman"/>
        </w:rPr>
        <w:t xml:space="preserve">Board </w:t>
      </w:r>
      <w:r w:rsidR="0034192C" w:rsidRPr="00371A17">
        <w:rPr>
          <w:rFonts w:ascii="Times New Roman" w:hAnsi="Times New Roman" w:cs="Times New Roman"/>
        </w:rPr>
        <w:t xml:space="preserve">to consider </w:t>
      </w:r>
      <w:r w:rsidR="00EE654C" w:rsidRPr="00371A17">
        <w:rPr>
          <w:rFonts w:ascii="Times New Roman" w:hAnsi="Times New Roman" w:cs="Times New Roman"/>
        </w:rPr>
        <w:t xml:space="preserve">a variety of flexible housing types to provide affordable living options for its residents.  </w:t>
      </w:r>
      <w:r w:rsidR="00525E8B" w:rsidRPr="00371A17">
        <w:rPr>
          <w:rFonts w:ascii="Times New Roman" w:hAnsi="Times New Roman" w:cs="Times New Roman"/>
        </w:rPr>
        <w:t xml:space="preserve">The San Francisco Building Code at the time </w:t>
      </w:r>
      <w:r w:rsidRPr="00371A17">
        <w:rPr>
          <w:rFonts w:ascii="Times New Roman" w:hAnsi="Times New Roman" w:cs="Times New Roman"/>
        </w:rPr>
        <w:t>allow</w:t>
      </w:r>
      <w:r w:rsidR="00525E8B" w:rsidRPr="00371A17">
        <w:rPr>
          <w:rFonts w:ascii="Times New Roman" w:hAnsi="Times New Roman" w:cs="Times New Roman"/>
        </w:rPr>
        <w:t>ed</w:t>
      </w:r>
      <w:r w:rsidRPr="00371A17">
        <w:rPr>
          <w:rFonts w:ascii="Times New Roman" w:hAnsi="Times New Roman" w:cs="Times New Roman"/>
        </w:rPr>
        <w:t xml:space="preserve"> the construction of micro-units </w:t>
      </w:r>
      <w:r w:rsidR="00525E8B" w:rsidRPr="00371A17">
        <w:rPr>
          <w:rFonts w:ascii="Times New Roman" w:hAnsi="Times New Roman" w:cs="Times New Roman"/>
        </w:rPr>
        <w:t xml:space="preserve">[called efficiency units in the code] </w:t>
      </w:r>
      <w:r w:rsidRPr="00371A17">
        <w:rPr>
          <w:rFonts w:ascii="Times New Roman" w:hAnsi="Times New Roman" w:cs="Times New Roman"/>
        </w:rPr>
        <w:t>in San Francisco</w:t>
      </w:r>
      <w:r w:rsidR="00525E8B" w:rsidRPr="00371A17">
        <w:rPr>
          <w:rFonts w:ascii="Times New Roman" w:hAnsi="Times New Roman" w:cs="Times New Roman"/>
        </w:rPr>
        <w:t xml:space="preserve"> that met the following requirements: </w:t>
      </w:r>
      <w:r w:rsidR="00371A17">
        <w:rPr>
          <w:rFonts w:ascii="Times New Roman" w:hAnsi="Times New Roman" w:cs="Times New Roman"/>
        </w:rPr>
        <w:t xml:space="preserve">300 </w:t>
      </w:r>
      <w:r w:rsidR="00C74EA8" w:rsidRPr="00371A17">
        <w:rPr>
          <w:rFonts w:ascii="Times New Roman" w:hAnsi="Times New Roman" w:cs="Times New Roman"/>
        </w:rPr>
        <w:t>s</w:t>
      </w:r>
      <w:r w:rsidR="00371A17">
        <w:rPr>
          <w:rFonts w:ascii="Times New Roman" w:hAnsi="Times New Roman" w:cs="Times New Roman"/>
        </w:rPr>
        <w:t>q</w:t>
      </w:r>
      <w:r w:rsidR="00C74EA8" w:rsidRPr="00371A17">
        <w:rPr>
          <w:rFonts w:ascii="Times New Roman" w:hAnsi="Times New Roman" w:cs="Times New Roman"/>
        </w:rPr>
        <w:t xml:space="preserve">.ft. minimum consisting of a minimum </w:t>
      </w:r>
      <w:r w:rsidR="00525E8B" w:rsidRPr="00371A17">
        <w:rPr>
          <w:rFonts w:ascii="Times New Roman" w:hAnsi="Times New Roman" w:cs="Times New Roman"/>
        </w:rPr>
        <w:t>220 square feet of living space, plus a closet, bathroom and kitchen</w:t>
      </w:r>
      <w:r w:rsidRPr="00371A17">
        <w:rPr>
          <w:rFonts w:ascii="Times New Roman" w:hAnsi="Times New Roman" w:cs="Times New Roman"/>
        </w:rPr>
        <w:t xml:space="preserve">.  </w:t>
      </w:r>
      <w:r w:rsidR="0034192C" w:rsidRPr="00371A17">
        <w:rPr>
          <w:rFonts w:ascii="Times New Roman" w:hAnsi="Times New Roman" w:cs="Times New Roman"/>
        </w:rPr>
        <w:t xml:space="preserve">In June 2012, </w:t>
      </w:r>
      <w:r w:rsidR="00525E8B" w:rsidRPr="00371A17">
        <w:rPr>
          <w:rFonts w:ascii="Times New Roman" w:hAnsi="Times New Roman" w:cs="Times New Roman"/>
        </w:rPr>
        <w:t>Wiener presented legislation to</w:t>
      </w:r>
      <w:r w:rsidR="0034192C" w:rsidRPr="00371A17">
        <w:rPr>
          <w:rFonts w:ascii="Times New Roman" w:hAnsi="Times New Roman" w:cs="Times New Roman"/>
        </w:rPr>
        <w:t xml:space="preserve"> the Board </w:t>
      </w:r>
      <w:r w:rsidR="00525E8B" w:rsidRPr="00371A17">
        <w:rPr>
          <w:rFonts w:ascii="Times New Roman" w:hAnsi="Times New Roman" w:cs="Times New Roman"/>
        </w:rPr>
        <w:t xml:space="preserve">amend the Building Code to allow </w:t>
      </w:r>
      <w:r w:rsidRPr="00371A17">
        <w:rPr>
          <w:rFonts w:ascii="Times New Roman" w:hAnsi="Times New Roman" w:cs="Times New Roman"/>
        </w:rPr>
        <w:t xml:space="preserve">units </w:t>
      </w:r>
      <w:r w:rsidR="00525E8B" w:rsidRPr="00371A17">
        <w:rPr>
          <w:rFonts w:ascii="Times New Roman" w:hAnsi="Times New Roman" w:cs="Times New Roman"/>
        </w:rPr>
        <w:t xml:space="preserve">with a maximum of </w:t>
      </w:r>
      <w:r w:rsidRPr="00371A17">
        <w:rPr>
          <w:rFonts w:ascii="Times New Roman" w:hAnsi="Times New Roman" w:cs="Times New Roman"/>
        </w:rPr>
        <w:t xml:space="preserve">220 square feet </w:t>
      </w:r>
      <w:r w:rsidR="00525E8B" w:rsidRPr="00371A17">
        <w:rPr>
          <w:rFonts w:ascii="Times New Roman" w:hAnsi="Times New Roman" w:cs="Times New Roman"/>
        </w:rPr>
        <w:t xml:space="preserve">(including </w:t>
      </w:r>
      <w:r w:rsidRPr="00371A17">
        <w:rPr>
          <w:rFonts w:ascii="Times New Roman" w:hAnsi="Times New Roman" w:cs="Times New Roman"/>
        </w:rPr>
        <w:t>living space</w:t>
      </w:r>
      <w:r w:rsidR="00525E8B" w:rsidRPr="00371A17">
        <w:rPr>
          <w:rFonts w:ascii="Times New Roman" w:hAnsi="Times New Roman" w:cs="Times New Roman"/>
        </w:rPr>
        <w:t xml:space="preserve">, closet, </w:t>
      </w:r>
      <w:r w:rsidRPr="00371A17">
        <w:rPr>
          <w:rFonts w:ascii="Times New Roman" w:hAnsi="Times New Roman" w:cs="Times New Roman"/>
        </w:rPr>
        <w:t>bathroom and kitchen</w:t>
      </w:r>
      <w:r w:rsidR="00525E8B" w:rsidRPr="00371A17">
        <w:rPr>
          <w:rFonts w:ascii="Times New Roman" w:hAnsi="Times New Roman" w:cs="Times New Roman"/>
        </w:rPr>
        <w:t>)</w:t>
      </w:r>
      <w:r w:rsidRPr="00371A17">
        <w:rPr>
          <w:rFonts w:ascii="Times New Roman" w:hAnsi="Times New Roman" w:cs="Times New Roman"/>
        </w:rPr>
        <w:t xml:space="preserve">. In November 2012, the San Francisco Board of Supervisors approved a reduction of the minimum size for </w:t>
      </w:r>
      <w:r w:rsidR="00525E8B" w:rsidRPr="00371A17">
        <w:rPr>
          <w:rFonts w:ascii="Times New Roman" w:hAnsi="Times New Roman" w:cs="Times New Roman"/>
        </w:rPr>
        <w:t xml:space="preserve">new </w:t>
      </w:r>
      <w:r w:rsidRPr="00371A17">
        <w:rPr>
          <w:rFonts w:ascii="Times New Roman" w:hAnsi="Times New Roman" w:cs="Times New Roman"/>
        </w:rPr>
        <w:t>residential unit</w:t>
      </w:r>
      <w:r w:rsidR="00525E8B" w:rsidRPr="00371A17">
        <w:rPr>
          <w:rFonts w:ascii="Times New Roman" w:hAnsi="Times New Roman" w:cs="Times New Roman"/>
        </w:rPr>
        <w:t>s</w:t>
      </w:r>
      <w:r w:rsidRPr="00371A17">
        <w:rPr>
          <w:rFonts w:ascii="Times New Roman" w:hAnsi="Times New Roman" w:cs="Times New Roman"/>
        </w:rPr>
        <w:t xml:space="preserve"> to 220 square feet </w:t>
      </w:r>
      <w:r w:rsidR="0034192C" w:rsidRPr="00371A17">
        <w:rPr>
          <w:rFonts w:ascii="Times New Roman" w:hAnsi="Times New Roman" w:cs="Times New Roman"/>
        </w:rPr>
        <w:t xml:space="preserve">(with living area to be no less than 150 sq.ft.) </w:t>
      </w:r>
      <w:r w:rsidRPr="00371A17">
        <w:rPr>
          <w:rFonts w:ascii="Times New Roman" w:hAnsi="Times New Roman" w:cs="Times New Roman"/>
        </w:rPr>
        <w:t xml:space="preserve">for a maximum of </w:t>
      </w:r>
      <w:r w:rsidR="00123B65" w:rsidRPr="00371A17">
        <w:rPr>
          <w:rFonts w:ascii="Times New Roman" w:hAnsi="Times New Roman" w:cs="Times New Roman"/>
        </w:rPr>
        <w:t xml:space="preserve"> </w:t>
      </w:r>
      <w:r w:rsidRPr="00371A17">
        <w:rPr>
          <w:rFonts w:ascii="Times New Roman" w:hAnsi="Times New Roman" w:cs="Times New Roman"/>
        </w:rPr>
        <w:t xml:space="preserve">375 </w:t>
      </w:r>
      <w:r w:rsidR="00123B65" w:rsidRPr="00371A17">
        <w:rPr>
          <w:rFonts w:ascii="Times New Roman" w:hAnsi="Times New Roman" w:cs="Times New Roman"/>
        </w:rPr>
        <w:t>micro-units</w:t>
      </w:r>
      <w:r w:rsidR="00525E8B" w:rsidRPr="00371A17">
        <w:rPr>
          <w:rFonts w:ascii="Times New Roman" w:hAnsi="Times New Roman" w:cs="Times New Roman"/>
        </w:rPr>
        <w:t xml:space="preserve"> (BF 120191/Ordinance No 235-12)</w:t>
      </w:r>
      <w:r w:rsidR="00123B65" w:rsidRPr="00371A17">
        <w:rPr>
          <w:rFonts w:ascii="Times New Roman" w:hAnsi="Times New Roman" w:cs="Times New Roman"/>
        </w:rPr>
        <w:t xml:space="preserve">.  </w:t>
      </w:r>
    </w:p>
    <w:p w:rsidR="0034192C" w:rsidRPr="00371A17" w:rsidRDefault="00525E8B" w:rsidP="00DB7CEE">
      <w:pPr>
        <w:spacing w:line="240" w:lineRule="auto"/>
        <w:jc w:val="both"/>
        <w:rPr>
          <w:rFonts w:ascii="Times New Roman" w:hAnsi="Times New Roman" w:cs="Times New Roman"/>
        </w:rPr>
      </w:pPr>
      <w:r w:rsidRPr="00371A17">
        <w:rPr>
          <w:rFonts w:ascii="Times New Roman" w:hAnsi="Times New Roman" w:cs="Times New Roman"/>
        </w:rPr>
        <w:t xml:space="preserve">In January 2013, the Board </w:t>
      </w:r>
      <w:r w:rsidR="00DB7CEE" w:rsidRPr="00371A17">
        <w:rPr>
          <w:rFonts w:ascii="Times New Roman" w:hAnsi="Times New Roman" w:cs="Times New Roman"/>
        </w:rPr>
        <w:t>resolved</w:t>
      </w:r>
      <w:r w:rsidRPr="00371A17">
        <w:rPr>
          <w:rFonts w:ascii="Times New Roman" w:hAnsi="Times New Roman" w:cs="Times New Roman"/>
        </w:rPr>
        <w:t xml:space="preserve"> that the Planning Department should monitor and </w:t>
      </w:r>
      <w:r w:rsidR="00371A17" w:rsidRPr="00371A17">
        <w:rPr>
          <w:rFonts w:ascii="Times New Roman" w:hAnsi="Times New Roman" w:cs="Times New Roman"/>
        </w:rPr>
        <w:t>analyse</w:t>
      </w:r>
      <w:r w:rsidRPr="00371A17">
        <w:rPr>
          <w:rFonts w:ascii="Times New Roman" w:hAnsi="Times New Roman" w:cs="Times New Roman"/>
        </w:rPr>
        <w:t xml:space="preserve"> the production of these new, smaller units [Board File No. 12-0996, Ord. No. 242-12]</w:t>
      </w:r>
      <w:r w:rsidR="00DB7CEE" w:rsidRPr="00371A17">
        <w:rPr>
          <w:rFonts w:ascii="Times New Roman" w:hAnsi="Times New Roman" w:cs="Times New Roman"/>
        </w:rPr>
        <w:t xml:space="preserve"> after 325 have been developed to determine the effects of the units on meeting affordability demands and satisfying market needs for the target market before additional units could be approved</w:t>
      </w:r>
      <w:r w:rsidRPr="00371A17">
        <w:rPr>
          <w:rFonts w:ascii="Times New Roman" w:hAnsi="Times New Roman" w:cs="Times New Roman"/>
        </w:rPr>
        <w:t>.</w:t>
      </w:r>
      <w:r w:rsidR="00DB7CEE" w:rsidRPr="00371A17">
        <w:rPr>
          <w:rFonts w:ascii="Times New Roman" w:hAnsi="Times New Roman" w:cs="Times New Roman"/>
        </w:rPr>
        <w:t xml:space="preserve">  After the approval of 325 units, the Department, in collaboration with the Mayor’s Office of Housing, must submit a report to the Board of </w:t>
      </w:r>
      <w:r w:rsidR="00DB7CEE" w:rsidRPr="00371A17">
        <w:rPr>
          <w:rFonts w:ascii="Times New Roman" w:hAnsi="Times New Roman" w:cs="Times New Roman"/>
        </w:rPr>
        <w:lastRenderedPageBreak/>
        <w:t>Supervisors to help evaluate whether more of the units shou</w:t>
      </w:r>
      <w:r w:rsidR="0034192C" w:rsidRPr="00371A17">
        <w:rPr>
          <w:rFonts w:ascii="Times New Roman" w:hAnsi="Times New Roman" w:cs="Times New Roman"/>
        </w:rPr>
        <w:t>ld be allowed.  Two additional amendments</w:t>
      </w:r>
      <w:r w:rsidR="002B204F" w:rsidRPr="00371A17">
        <w:rPr>
          <w:rFonts w:ascii="Times New Roman" w:hAnsi="Times New Roman" w:cs="Times New Roman"/>
        </w:rPr>
        <w:t xml:space="preserve"> to the Ordinance </w:t>
      </w:r>
      <w:r w:rsidR="0034192C" w:rsidRPr="00371A17">
        <w:rPr>
          <w:rFonts w:ascii="Times New Roman" w:hAnsi="Times New Roman" w:cs="Times New Roman"/>
        </w:rPr>
        <w:t xml:space="preserve">were also included: </w:t>
      </w:r>
    </w:p>
    <w:p w:rsidR="0034192C" w:rsidRPr="00371A17" w:rsidRDefault="0034192C" w:rsidP="00DB7CEE">
      <w:pPr>
        <w:pStyle w:val="ListParagraph"/>
        <w:numPr>
          <w:ilvl w:val="0"/>
          <w:numId w:val="2"/>
        </w:numPr>
        <w:spacing w:line="240" w:lineRule="auto"/>
        <w:jc w:val="both"/>
        <w:rPr>
          <w:rFonts w:ascii="Times New Roman" w:hAnsi="Times New Roman" w:cs="Times New Roman"/>
        </w:rPr>
      </w:pPr>
      <w:r w:rsidRPr="00371A17">
        <w:rPr>
          <w:rFonts w:ascii="Times New Roman" w:hAnsi="Times New Roman" w:cs="Times New Roman"/>
        </w:rPr>
        <w:t xml:space="preserve">Section 135: requires that whenever possible, </w:t>
      </w:r>
      <w:r w:rsidRPr="00371A17">
        <w:rPr>
          <w:rFonts w:ascii="Times New Roman" w:hAnsi="Times New Roman" w:cs="Times New Roman"/>
          <w:i/>
        </w:rPr>
        <w:t>Efficiency Dwelling Units with Reduced Square Footage</w:t>
      </w:r>
      <w:r w:rsidRPr="00371A17">
        <w:rPr>
          <w:rFonts w:ascii="Times New Roman" w:hAnsi="Times New Roman" w:cs="Times New Roman"/>
        </w:rPr>
        <w:t xml:space="preserve"> provide common usable open space rather than private open space.  </w:t>
      </w:r>
    </w:p>
    <w:p w:rsidR="0034192C" w:rsidRPr="00371A17" w:rsidRDefault="0034192C" w:rsidP="00DB7CEE">
      <w:pPr>
        <w:pStyle w:val="ListParagraph"/>
        <w:numPr>
          <w:ilvl w:val="0"/>
          <w:numId w:val="2"/>
        </w:numPr>
        <w:spacing w:line="240" w:lineRule="auto"/>
        <w:jc w:val="both"/>
        <w:rPr>
          <w:rFonts w:ascii="Times New Roman" w:hAnsi="Times New Roman" w:cs="Times New Roman"/>
        </w:rPr>
      </w:pPr>
      <w:r w:rsidRPr="00371A17">
        <w:rPr>
          <w:rFonts w:ascii="Times New Roman" w:hAnsi="Times New Roman" w:cs="Times New Roman"/>
        </w:rPr>
        <w:t xml:space="preserve">A new Section 140.1: requires the provision of interior common areas in buildings in which there are twenty or more </w:t>
      </w:r>
      <w:r w:rsidRPr="00371A17">
        <w:rPr>
          <w:rFonts w:ascii="Times New Roman" w:hAnsi="Times New Roman" w:cs="Times New Roman"/>
          <w:i/>
        </w:rPr>
        <w:t>Efficiency Dwelling Units with Reduced Square Footage</w:t>
      </w:r>
      <w:r w:rsidRPr="00371A17">
        <w:rPr>
          <w:rFonts w:ascii="Times New Roman" w:hAnsi="Times New Roman" w:cs="Times New Roman"/>
        </w:rPr>
        <w:t>.</w:t>
      </w:r>
    </w:p>
    <w:p w:rsidR="00DB7CEE" w:rsidRPr="00371A17" w:rsidRDefault="00DB7CEE" w:rsidP="00DB7CEE">
      <w:pPr>
        <w:spacing w:line="240" w:lineRule="auto"/>
        <w:jc w:val="both"/>
        <w:rPr>
          <w:rFonts w:ascii="Times New Roman" w:hAnsi="Times New Roman" w:cs="Times New Roman"/>
          <w:color w:val="5B9BD5" w:themeColor="accent1"/>
        </w:rPr>
      </w:pPr>
      <w:r w:rsidRPr="00371A17">
        <w:rPr>
          <w:rFonts w:ascii="Times New Roman" w:hAnsi="Times New Roman" w:cs="Times New Roman"/>
        </w:rPr>
        <w:t xml:space="preserve">The Board created </w:t>
      </w:r>
      <w:r w:rsidR="00525E8B" w:rsidRPr="00371A17">
        <w:rPr>
          <w:rFonts w:ascii="Times New Roman" w:hAnsi="Times New Roman" w:cs="Times New Roman"/>
        </w:rPr>
        <w:t xml:space="preserve">a new Planning Code Section 318 to define </w:t>
      </w:r>
      <w:r w:rsidR="00525E8B" w:rsidRPr="00371A17">
        <w:rPr>
          <w:rFonts w:ascii="Times New Roman" w:hAnsi="Times New Roman" w:cs="Times New Roman"/>
          <w:i/>
        </w:rPr>
        <w:t>Efficiency Dwelling Unit with Reduced Square Footage</w:t>
      </w:r>
      <w:r w:rsidR="00525E8B" w:rsidRPr="00371A17">
        <w:rPr>
          <w:rFonts w:ascii="Times New Roman" w:hAnsi="Times New Roman" w:cs="Times New Roman"/>
        </w:rPr>
        <w:t xml:space="preserve"> as</w:t>
      </w:r>
      <w:r w:rsidRPr="00371A17">
        <w:rPr>
          <w:rFonts w:ascii="Times New Roman" w:hAnsi="Times New Roman" w:cs="Times New Roman"/>
        </w:rPr>
        <w:t xml:space="preserve">: </w:t>
      </w:r>
    </w:p>
    <w:p w:rsidR="00DB7CEE" w:rsidRPr="00371A17" w:rsidRDefault="00DB7CEE" w:rsidP="00DB7CEE">
      <w:pPr>
        <w:pStyle w:val="ListParagraph"/>
        <w:numPr>
          <w:ilvl w:val="0"/>
          <w:numId w:val="1"/>
        </w:numPr>
        <w:spacing w:line="240" w:lineRule="auto"/>
        <w:jc w:val="both"/>
        <w:rPr>
          <w:rFonts w:ascii="Times New Roman" w:hAnsi="Times New Roman" w:cs="Times New Roman"/>
        </w:rPr>
      </w:pPr>
      <w:r w:rsidRPr="00371A17">
        <w:rPr>
          <w:rFonts w:ascii="Times New Roman" w:hAnsi="Times New Roman" w:cs="Times New Roman"/>
        </w:rPr>
        <w:t>Dwelling units measuring</w:t>
      </w:r>
      <w:r w:rsidR="00525E8B" w:rsidRPr="00371A17">
        <w:rPr>
          <w:rFonts w:ascii="Times New Roman" w:hAnsi="Times New Roman" w:cs="Times New Roman"/>
        </w:rPr>
        <w:t xml:space="preserve"> less than 220 square feet; </w:t>
      </w:r>
    </w:p>
    <w:p w:rsidR="00DB7CEE" w:rsidRPr="00371A17" w:rsidRDefault="00DB7CEE" w:rsidP="00DB7CEE">
      <w:pPr>
        <w:pStyle w:val="ListParagraph"/>
        <w:numPr>
          <w:ilvl w:val="0"/>
          <w:numId w:val="1"/>
        </w:numPr>
        <w:spacing w:line="240" w:lineRule="auto"/>
        <w:jc w:val="both"/>
        <w:rPr>
          <w:rFonts w:ascii="Times New Roman" w:hAnsi="Times New Roman" w:cs="Times New Roman"/>
        </w:rPr>
      </w:pPr>
      <w:r w:rsidRPr="00371A17">
        <w:rPr>
          <w:rFonts w:ascii="Times New Roman" w:hAnsi="Times New Roman" w:cs="Times New Roman"/>
        </w:rPr>
        <w:t xml:space="preserve">Dwelling units that meet </w:t>
      </w:r>
      <w:r w:rsidR="00525E8B" w:rsidRPr="00371A17">
        <w:rPr>
          <w:rFonts w:ascii="Times New Roman" w:hAnsi="Times New Roman" w:cs="Times New Roman"/>
        </w:rPr>
        <w:t>the criteria described in Bui</w:t>
      </w:r>
      <w:r w:rsidRPr="00371A17">
        <w:rPr>
          <w:rFonts w:ascii="Times New Roman" w:hAnsi="Times New Roman" w:cs="Times New Roman"/>
        </w:rPr>
        <w:t xml:space="preserve">lding Code Section 1208.4; and </w:t>
      </w:r>
    </w:p>
    <w:p w:rsidR="00525E8B" w:rsidRPr="00371A17" w:rsidRDefault="00DB7CEE" w:rsidP="00DB7CEE">
      <w:pPr>
        <w:pStyle w:val="ListParagraph"/>
        <w:numPr>
          <w:ilvl w:val="0"/>
          <w:numId w:val="1"/>
        </w:numPr>
        <w:spacing w:line="240" w:lineRule="auto"/>
        <w:jc w:val="both"/>
        <w:rPr>
          <w:rFonts w:ascii="Times New Roman" w:hAnsi="Times New Roman" w:cs="Times New Roman"/>
        </w:rPr>
      </w:pPr>
      <w:r w:rsidRPr="00371A17">
        <w:rPr>
          <w:rFonts w:ascii="Times New Roman" w:hAnsi="Times New Roman" w:cs="Times New Roman"/>
        </w:rPr>
        <w:t xml:space="preserve">Dwelling units that are </w:t>
      </w:r>
      <w:r w:rsidR="00525E8B" w:rsidRPr="00371A17">
        <w:rPr>
          <w:rFonts w:ascii="Times New Roman" w:hAnsi="Times New Roman" w:cs="Times New Roman"/>
        </w:rPr>
        <w:t xml:space="preserve">not </w:t>
      </w:r>
      <w:r w:rsidRPr="00371A17">
        <w:rPr>
          <w:rFonts w:ascii="Times New Roman" w:hAnsi="Times New Roman" w:cs="Times New Roman"/>
        </w:rPr>
        <w:t xml:space="preserve">otherwise considered </w:t>
      </w:r>
      <w:r w:rsidR="00525E8B" w:rsidRPr="00371A17">
        <w:rPr>
          <w:rFonts w:ascii="Times New Roman" w:hAnsi="Times New Roman" w:cs="Times New Roman"/>
        </w:rPr>
        <w:t>affordable housing, group housing or student housing, as defined in the Planning Code</w:t>
      </w:r>
      <w:r w:rsidRPr="00371A17">
        <w:rPr>
          <w:rFonts w:ascii="Times New Roman" w:hAnsi="Times New Roman" w:cs="Times New Roman"/>
        </w:rPr>
        <w:t xml:space="preserve"> (SFPD, 2013)</w:t>
      </w:r>
      <w:r w:rsidR="00525E8B" w:rsidRPr="00371A17">
        <w:rPr>
          <w:rFonts w:ascii="Times New Roman" w:hAnsi="Times New Roman" w:cs="Times New Roman"/>
        </w:rPr>
        <w:t xml:space="preserve">.    </w:t>
      </w:r>
    </w:p>
    <w:p w:rsidR="00EE654C" w:rsidRPr="00371A17" w:rsidRDefault="00EE654C" w:rsidP="00EE654C">
      <w:pPr>
        <w:spacing w:line="240" w:lineRule="auto"/>
        <w:jc w:val="both"/>
        <w:rPr>
          <w:rFonts w:ascii="Times New Roman" w:hAnsi="Times New Roman" w:cs="Times New Roman"/>
        </w:rPr>
      </w:pPr>
      <w:r w:rsidRPr="00371A17">
        <w:rPr>
          <w:rFonts w:ascii="Times New Roman" w:hAnsi="Times New Roman" w:cs="Times New Roman"/>
        </w:rPr>
        <w:t>Panoramic Inter</w:t>
      </w:r>
      <w:r w:rsidR="0034192C" w:rsidRPr="00371A17">
        <w:rPr>
          <w:rFonts w:ascii="Times New Roman" w:hAnsi="Times New Roman" w:cs="Times New Roman"/>
        </w:rPr>
        <w:t>e</w:t>
      </w:r>
      <w:r w:rsidRPr="00371A17">
        <w:rPr>
          <w:rFonts w:ascii="Times New Roman" w:hAnsi="Times New Roman" w:cs="Times New Roman"/>
        </w:rPr>
        <w:t xml:space="preserve">sts, a Bay </w:t>
      </w:r>
      <w:r w:rsidR="0034192C" w:rsidRPr="00371A17">
        <w:rPr>
          <w:rFonts w:ascii="Times New Roman" w:hAnsi="Times New Roman" w:cs="Times New Roman"/>
        </w:rPr>
        <w:t>A</w:t>
      </w:r>
      <w:r w:rsidRPr="00371A17">
        <w:rPr>
          <w:rFonts w:ascii="Times New Roman" w:hAnsi="Times New Roman" w:cs="Times New Roman"/>
        </w:rPr>
        <w:t xml:space="preserve">rea micro-unit developer, were among the first to take advantage of the new legislation.  </w:t>
      </w:r>
      <w:r w:rsidR="00C74EA8" w:rsidRPr="00371A17">
        <w:rPr>
          <w:rFonts w:ascii="Times New Roman" w:hAnsi="Times New Roman" w:cs="Times New Roman"/>
        </w:rPr>
        <w:t xml:space="preserve">Having previously built </w:t>
      </w:r>
      <w:r w:rsidRPr="00371A17">
        <w:rPr>
          <w:rFonts w:ascii="Times New Roman" w:hAnsi="Times New Roman" w:cs="Times New Roman"/>
        </w:rPr>
        <w:t>twenty-three 300 sq.f.t apartment</w:t>
      </w:r>
      <w:r w:rsidR="00C74EA8" w:rsidRPr="00371A17">
        <w:rPr>
          <w:rFonts w:ascii="Times New Roman" w:hAnsi="Times New Roman" w:cs="Times New Roman"/>
        </w:rPr>
        <w:t>s</w:t>
      </w:r>
      <w:r w:rsidR="0034192C" w:rsidRPr="00371A17">
        <w:rPr>
          <w:rFonts w:ascii="Times New Roman" w:hAnsi="Times New Roman" w:cs="Times New Roman"/>
        </w:rPr>
        <w:t xml:space="preserve"> [the previous minimum]</w:t>
      </w:r>
      <w:r w:rsidR="00C74EA8" w:rsidRPr="00371A17">
        <w:rPr>
          <w:rFonts w:ascii="Times New Roman" w:hAnsi="Times New Roman" w:cs="Times New Roman"/>
        </w:rPr>
        <w:t xml:space="preserve"> in San Francisco’s South of Market </w:t>
      </w:r>
      <w:r w:rsidR="00371A17" w:rsidRPr="00371A17">
        <w:rPr>
          <w:rFonts w:ascii="Times New Roman" w:hAnsi="Times New Roman" w:cs="Times New Roman"/>
        </w:rPr>
        <w:t>neighbourhood</w:t>
      </w:r>
      <w:r w:rsidR="00C74EA8" w:rsidRPr="00371A17">
        <w:rPr>
          <w:rFonts w:ascii="Times New Roman" w:hAnsi="Times New Roman" w:cs="Times New Roman"/>
        </w:rPr>
        <w:t xml:space="preserve"> </w:t>
      </w:r>
      <w:r w:rsidRPr="00371A17">
        <w:rPr>
          <w:rFonts w:ascii="Times New Roman" w:hAnsi="Times New Roman" w:cs="Times New Roman"/>
        </w:rPr>
        <w:t>using pre-fabricated units to cut costs</w:t>
      </w:r>
      <w:r w:rsidR="00C0019C" w:rsidRPr="00371A17">
        <w:rPr>
          <w:rFonts w:ascii="Times New Roman" w:hAnsi="Times New Roman" w:cs="Times New Roman"/>
        </w:rPr>
        <w:t xml:space="preserve">, </w:t>
      </w:r>
      <w:r w:rsidR="0034192C" w:rsidRPr="00371A17">
        <w:rPr>
          <w:rFonts w:ascii="Times New Roman" w:hAnsi="Times New Roman" w:cs="Times New Roman"/>
        </w:rPr>
        <w:t xml:space="preserve">and </w:t>
      </w:r>
      <w:r w:rsidR="00C0019C" w:rsidRPr="00371A17">
        <w:rPr>
          <w:rFonts w:ascii="Times New Roman" w:hAnsi="Times New Roman" w:cs="Times New Roman"/>
        </w:rPr>
        <w:t>with an additional 160 micro-units under construction in Mid-Market, Panoramic Inter</w:t>
      </w:r>
      <w:r w:rsidR="00D6541A" w:rsidRPr="00371A17">
        <w:rPr>
          <w:rFonts w:ascii="Times New Roman" w:hAnsi="Times New Roman" w:cs="Times New Roman"/>
        </w:rPr>
        <w:t>e</w:t>
      </w:r>
      <w:r w:rsidR="00C0019C" w:rsidRPr="00371A17">
        <w:rPr>
          <w:rFonts w:ascii="Times New Roman" w:hAnsi="Times New Roman" w:cs="Times New Roman"/>
        </w:rPr>
        <w:t xml:space="preserve">sts was already considered to be the </w:t>
      </w:r>
      <w:r w:rsidR="00D6541A" w:rsidRPr="00371A17">
        <w:rPr>
          <w:rFonts w:ascii="Times New Roman" w:hAnsi="Times New Roman" w:cs="Times New Roman"/>
        </w:rPr>
        <w:t xml:space="preserve">“micro </w:t>
      </w:r>
      <w:r w:rsidR="00C0019C" w:rsidRPr="00371A17">
        <w:rPr>
          <w:rFonts w:ascii="Times New Roman" w:hAnsi="Times New Roman" w:cs="Times New Roman"/>
        </w:rPr>
        <w:t>maven</w:t>
      </w:r>
      <w:r w:rsidR="00D6541A" w:rsidRPr="00371A17">
        <w:rPr>
          <w:rFonts w:ascii="Times New Roman" w:hAnsi="Times New Roman" w:cs="Times New Roman"/>
        </w:rPr>
        <w:t>” (Curbed, 2015)</w:t>
      </w:r>
      <w:r w:rsidR="00C0019C" w:rsidRPr="00371A17">
        <w:rPr>
          <w:rFonts w:ascii="Times New Roman" w:hAnsi="Times New Roman" w:cs="Times New Roman"/>
        </w:rPr>
        <w:t xml:space="preserve"> of San Francisco. The </w:t>
      </w:r>
      <w:r w:rsidR="0034192C" w:rsidRPr="00371A17">
        <w:rPr>
          <w:rFonts w:ascii="Times New Roman" w:hAnsi="Times New Roman" w:cs="Times New Roman"/>
        </w:rPr>
        <w:t xml:space="preserve">Mid-Market project </w:t>
      </w:r>
      <w:r w:rsidR="00C0019C" w:rsidRPr="00371A17">
        <w:rPr>
          <w:rFonts w:ascii="Times New Roman" w:hAnsi="Times New Roman" w:cs="Times New Roman"/>
        </w:rPr>
        <w:t xml:space="preserve">includes nearly 3,400 sq. ft. of ground floor retail and parking for 240 bicycles. In addition, a rooftop garden offer residents open space and a flashy lobby offers interior communal space. The building was also constructed with </w:t>
      </w:r>
      <w:r w:rsidR="00371A17" w:rsidRPr="00371A17">
        <w:rPr>
          <w:rFonts w:ascii="Times New Roman" w:hAnsi="Times New Roman" w:cs="Times New Roman"/>
        </w:rPr>
        <w:t>sustainability</w:t>
      </w:r>
      <w:r w:rsidR="00C0019C" w:rsidRPr="00371A17">
        <w:rPr>
          <w:rFonts w:ascii="Times New Roman" w:hAnsi="Times New Roman" w:cs="Times New Roman"/>
        </w:rPr>
        <w:t xml:space="preserve"> in mind putting in Energy Star appliances, sustainable building materials, storm-water management systems, and low-flow plumbing fixtures.</w:t>
      </w:r>
      <w:r w:rsidR="00D6541A" w:rsidRPr="00371A17">
        <w:rPr>
          <w:rFonts w:ascii="Times New Roman" w:hAnsi="Times New Roman" w:cs="Times New Roman"/>
        </w:rPr>
        <w:t xml:space="preserve">  Due to shortages of student housing in the City, the units were leased by the California College of Arts.   </w:t>
      </w:r>
    </w:p>
    <w:p w:rsidR="008058FB" w:rsidRPr="00371A17" w:rsidRDefault="008058FB" w:rsidP="008058FB">
      <w:pPr>
        <w:spacing w:line="240" w:lineRule="auto"/>
        <w:jc w:val="both"/>
        <w:rPr>
          <w:rFonts w:ascii="Times New Roman" w:hAnsi="Times New Roman" w:cs="Times New Roman"/>
        </w:rPr>
      </w:pPr>
      <w:r w:rsidRPr="00371A17">
        <w:rPr>
          <w:rFonts w:ascii="Times New Roman" w:hAnsi="Times New Roman" w:cs="Times New Roman"/>
        </w:rPr>
        <w:t>Micro-units</w:t>
      </w:r>
      <w:r w:rsidR="00EE654C" w:rsidRPr="00371A17">
        <w:rPr>
          <w:rFonts w:ascii="Times New Roman" w:hAnsi="Times New Roman" w:cs="Times New Roman"/>
        </w:rPr>
        <w:t xml:space="preserve"> have been noted in other cities such as New York, </w:t>
      </w:r>
      <w:r w:rsidR="009850DD" w:rsidRPr="00371A17">
        <w:rPr>
          <w:rFonts w:ascii="Times New Roman" w:hAnsi="Times New Roman" w:cs="Times New Roman"/>
        </w:rPr>
        <w:t>Boston, Chicago, Se</w:t>
      </w:r>
      <w:r w:rsidR="00EE654C" w:rsidRPr="00371A17">
        <w:rPr>
          <w:rFonts w:ascii="Times New Roman" w:hAnsi="Times New Roman" w:cs="Times New Roman"/>
        </w:rPr>
        <w:t xml:space="preserve">attle, </w:t>
      </w:r>
      <w:r w:rsidR="00826814" w:rsidRPr="00371A17">
        <w:rPr>
          <w:rFonts w:ascii="Times New Roman" w:hAnsi="Times New Roman" w:cs="Times New Roman"/>
        </w:rPr>
        <w:t xml:space="preserve">Berkeley (CA), Providence (RI), </w:t>
      </w:r>
      <w:r w:rsidR="00EE654C" w:rsidRPr="00371A17">
        <w:rPr>
          <w:rFonts w:ascii="Times New Roman" w:hAnsi="Times New Roman" w:cs="Times New Roman"/>
        </w:rPr>
        <w:t>Vancouver</w:t>
      </w:r>
      <w:r w:rsidR="009850DD" w:rsidRPr="00371A17">
        <w:rPr>
          <w:rFonts w:ascii="Times New Roman" w:hAnsi="Times New Roman" w:cs="Times New Roman"/>
        </w:rPr>
        <w:t>, Toronto</w:t>
      </w:r>
      <w:r w:rsidR="00EE654C" w:rsidRPr="00371A17">
        <w:rPr>
          <w:rFonts w:ascii="Times New Roman" w:hAnsi="Times New Roman" w:cs="Times New Roman"/>
        </w:rPr>
        <w:t xml:space="preserve"> and Tokyo to be </w:t>
      </w:r>
      <w:r w:rsidRPr="00371A17">
        <w:rPr>
          <w:rFonts w:ascii="Times New Roman" w:hAnsi="Times New Roman" w:cs="Times New Roman"/>
        </w:rPr>
        <w:t xml:space="preserve">ideal for youth, singles and seniors. </w:t>
      </w:r>
      <w:r w:rsidR="00EE654C" w:rsidRPr="00371A17">
        <w:rPr>
          <w:rFonts w:ascii="Times New Roman" w:hAnsi="Times New Roman" w:cs="Times New Roman"/>
        </w:rPr>
        <w:t>While</w:t>
      </w:r>
      <w:r w:rsidR="002B204F" w:rsidRPr="00371A17">
        <w:rPr>
          <w:rFonts w:ascii="Times New Roman" w:hAnsi="Times New Roman" w:cs="Times New Roman"/>
        </w:rPr>
        <w:t xml:space="preserve"> each city acknowledges that</w:t>
      </w:r>
      <w:r w:rsidR="00EE654C" w:rsidRPr="00371A17">
        <w:rPr>
          <w:rFonts w:ascii="Times New Roman" w:hAnsi="Times New Roman" w:cs="Times New Roman"/>
        </w:rPr>
        <w:t xml:space="preserve"> m</w:t>
      </w:r>
      <w:r w:rsidRPr="00371A17">
        <w:rPr>
          <w:rFonts w:ascii="Times New Roman" w:hAnsi="Times New Roman" w:cs="Times New Roman"/>
        </w:rPr>
        <w:t xml:space="preserve">icro-units </w:t>
      </w:r>
      <w:r w:rsidR="002B204F" w:rsidRPr="00371A17">
        <w:rPr>
          <w:rFonts w:ascii="Times New Roman" w:hAnsi="Times New Roman" w:cs="Times New Roman"/>
        </w:rPr>
        <w:t xml:space="preserve">are not </w:t>
      </w:r>
      <w:r w:rsidRPr="00371A17">
        <w:rPr>
          <w:rFonts w:ascii="Times New Roman" w:hAnsi="Times New Roman" w:cs="Times New Roman"/>
          <w:i/>
        </w:rPr>
        <w:t>the</w:t>
      </w:r>
      <w:r w:rsidRPr="00371A17">
        <w:rPr>
          <w:rFonts w:ascii="Times New Roman" w:hAnsi="Times New Roman" w:cs="Times New Roman"/>
        </w:rPr>
        <w:t xml:space="preserve"> </w:t>
      </w:r>
      <w:r w:rsidR="00EE654C" w:rsidRPr="00371A17">
        <w:rPr>
          <w:rFonts w:ascii="Times New Roman" w:hAnsi="Times New Roman" w:cs="Times New Roman"/>
        </w:rPr>
        <w:t>‘</w:t>
      </w:r>
      <w:r w:rsidRPr="00371A17">
        <w:rPr>
          <w:rFonts w:ascii="Times New Roman" w:hAnsi="Times New Roman" w:cs="Times New Roman"/>
        </w:rPr>
        <w:t>silver bullet</w:t>
      </w:r>
      <w:r w:rsidR="00EE654C" w:rsidRPr="00371A17">
        <w:rPr>
          <w:rFonts w:ascii="Times New Roman" w:hAnsi="Times New Roman" w:cs="Times New Roman"/>
        </w:rPr>
        <w:t>’</w:t>
      </w:r>
      <w:r w:rsidRPr="00371A17">
        <w:rPr>
          <w:rFonts w:ascii="Times New Roman" w:hAnsi="Times New Roman" w:cs="Times New Roman"/>
        </w:rPr>
        <w:t xml:space="preserve"> </w:t>
      </w:r>
      <w:r w:rsidR="00EE654C" w:rsidRPr="00371A17">
        <w:rPr>
          <w:rFonts w:ascii="Times New Roman" w:hAnsi="Times New Roman" w:cs="Times New Roman"/>
        </w:rPr>
        <w:t xml:space="preserve">that will </w:t>
      </w:r>
      <w:r w:rsidRPr="00371A17">
        <w:rPr>
          <w:rFonts w:ascii="Times New Roman" w:hAnsi="Times New Roman" w:cs="Times New Roman"/>
        </w:rPr>
        <w:t xml:space="preserve">solve </w:t>
      </w:r>
      <w:r w:rsidR="00EE654C" w:rsidRPr="00371A17">
        <w:rPr>
          <w:rFonts w:ascii="Times New Roman" w:hAnsi="Times New Roman" w:cs="Times New Roman"/>
        </w:rPr>
        <w:t xml:space="preserve">the housing </w:t>
      </w:r>
      <w:r w:rsidRPr="00371A17">
        <w:rPr>
          <w:rFonts w:ascii="Times New Roman" w:hAnsi="Times New Roman" w:cs="Times New Roman"/>
        </w:rPr>
        <w:t xml:space="preserve">affordability problem, </w:t>
      </w:r>
      <w:r w:rsidR="002B204F" w:rsidRPr="00371A17">
        <w:rPr>
          <w:rFonts w:ascii="Times New Roman" w:hAnsi="Times New Roman" w:cs="Times New Roman"/>
        </w:rPr>
        <w:t xml:space="preserve">each City </w:t>
      </w:r>
      <w:r w:rsidR="009D2FB1" w:rsidRPr="00371A17">
        <w:rPr>
          <w:rFonts w:ascii="Times New Roman" w:hAnsi="Times New Roman" w:cs="Times New Roman"/>
        </w:rPr>
        <w:t xml:space="preserve">considers micro-units </w:t>
      </w:r>
      <w:r w:rsidR="00EE654C" w:rsidRPr="00371A17">
        <w:rPr>
          <w:rFonts w:ascii="Times New Roman" w:hAnsi="Times New Roman" w:cs="Times New Roman"/>
        </w:rPr>
        <w:t xml:space="preserve">as </w:t>
      </w:r>
      <w:r w:rsidRPr="00371A17">
        <w:rPr>
          <w:rFonts w:ascii="Times New Roman" w:hAnsi="Times New Roman" w:cs="Times New Roman"/>
        </w:rPr>
        <w:t xml:space="preserve">one </w:t>
      </w:r>
      <w:r w:rsidR="00EE654C" w:rsidRPr="00371A17">
        <w:rPr>
          <w:rFonts w:ascii="Times New Roman" w:hAnsi="Times New Roman" w:cs="Times New Roman"/>
        </w:rPr>
        <w:t xml:space="preserve">potential </w:t>
      </w:r>
      <w:r w:rsidRPr="00371A17">
        <w:rPr>
          <w:rFonts w:ascii="Times New Roman" w:hAnsi="Times New Roman" w:cs="Times New Roman"/>
        </w:rPr>
        <w:t>housing product to improve efficiency of land that is available for housing</w:t>
      </w:r>
      <w:r w:rsidR="009D2FB1" w:rsidRPr="00371A17">
        <w:rPr>
          <w:rFonts w:ascii="Times New Roman" w:hAnsi="Times New Roman" w:cs="Times New Roman"/>
        </w:rPr>
        <w:t xml:space="preserve"> and believed to be an integral part of the affordability solution</w:t>
      </w:r>
      <w:r w:rsidRPr="00371A17">
        <w:rPr>
          <w:rFonts w:ascii="Times New Roman" w:hAnsi="Times New Roman" w:cs="Times New Roman"/>
        </w:rPr>
        <w:t>.</w:t>
      </w:r>
      <w:r w:rsidR="00BA56F3" w:rsidRPr="00371A17">
        <w:rPr>
          <w:rFonts w:ascii="Times New Roman" w:hAnsi="Times New Roman" w:cs="Times New Roman"/>
        </w:rPr>
        <w:t xml:space="preserve"> </w:t>
      </w:r>
      <w:r w:rsidR="00EE654C" w:rsidRPr="00371A17">
        <w:rPr>
          <w:rFonts w:ascii="Times New Roman" w:hAnsi="Times New Roman" w:cs="Times New Roman"/>
        </w:rPr>
        <w:t>For Sydney, and many other Australian cities, this will require an amendment to regulations requiring minimum unit sizes.</w:t>
      </w:r>
    </w:p>
    <w:p w:rsidR="00BB71FE" w:rsidRPr="00371A17" w:rsidRDefault="00BB71FE" w:rsidP="00BB71FE">
      <w:pPr>
        <w:spacing w:after="0" w:line="240" w:lineRule="auto"/>
        <w:jc w:val="both"/>
        <w:rPr>
          <w:rFonts w:ascii="Times New Roman" w:hAnsi="Times New Roman" w:cs="Times New Roman"/>
          <w:b/>
          <w:sz w:val="24"/>
          <w:szCs w:val="24"/>
        </w:rPr>
      </w:pPr>
      <w:r w:rsidRPr="00371A17">
        <w:rPr>
          <w:rFonts w:ascii="Times New Roman" w:hAnsi="Times New Roman" w:cs="Times New Roman"/>
          <w:b/>
          <w:sz w:val="24"/>
          <w:szCs w:val="24"/>
        </w:rPr>
        <w:t>Accessory Dwelling Units (ADUs)</w:t>
      </w:r>
    </w:p>
    <w:p w:rsidR="00F0630B" w:rsidRPr="00371A17" w:rsidRDefault="00975918" w:rsidP="00A6523D">
      <w:pPr>
        <w:spacing w:line="240" w:lineRule="auto"/>
        <w:jc w:val="both"/>
        <w:rPr>
          <w:rFonts w:ascii="Times New Roman" w:hAnsi="Times New Roman" w:cs="Times New Roman"/>
        </w:rPr>
      </w:pPr>
      <w:r w:rsidRPr="00371A17">
        <w:rPr>
          <w:rFonts w:ascii="Times New Roman" w:hAnsi="Times New Roman" w:cs="Times New Roman"/>
        </w:rPr>
        <w:t xml:space="preserve">As discussed in the previous </w:t>
      </w:r>
      <w:r w:rsidR="00371A17" w:rsidRPr="00371A17">
        <w:rPr>
          <w:rFonts w:ascii="Times New Roman" w:hAnsi="Times New Roman" w:cs="Times New Roman"/>
        </w:rPr>
        <w:t>sections</w:t>
      </w:r>
      <w:r w:rsidRPr="00371A17">
        <w:rPr>
          <w:rFonts w:ascii="Times New Roman" w:hAnsi="Times New Roman" w:cs="Times New Roman"/>
        </w:rPr>
        <w:t xml:space="preserve">, households, generally, are becoming smaller and more people are living alone than ever before.  At the same time, another demographic shift </w:t>
      </w:r>
      <w:r w:rsidR="00E54E4F" w:rsidRPr="00371A17">
        <w:rPr>
          <w:rFonts w:ascii="Times New Roman" w:hAnsi="Times New Roman" w:cs="Times New Roman"/>
        </w:rPr>
        <w:t xml:space="preserve">is </w:t>
      </w:r>
      <w:r w:rsidRPr="00371A17">
        <w:rPr>
          <w:rFonts w:ascii="Times New Roman" w:hAnsi="Times New Roman" w:cs="Times New Roman"/>
        </w:rPr>
        <w:t>happening in many cities - the 65 and over generation(s) is growing.  As part of this phenomenon, the “multi-generational American family household is staging a comeback</w:t>
      </w:r>
      <w:r w:rsidR="0088313C" w:rsidRPr="00371A17">
        <w:rPr>
          <w:rFonts w:ascii="Times New Roman" w:hAnsi="Times New Roman" w:cs="Times New Roman"/>
        </w:rPr>
        <w:t>, driven … by demographic changes that have been gathering steam for decades</w:t>
      </w:r>
      <w:r w:rsidRPr="00371A17">
        <w:rPr>
          <w:rFonts w:ascii="Times New Roman" w:hAnsi="Times New Roman" w:cs="Times New Roman"/>
        </w:rPr>
        <w:t>” (Pew, 2010</w:t>
      </w:r>
      <w:r w:rsidR="00FE530D" w:rsidRPr="00371A17">
        <w:rPr>
          <w:rFonts w:ascii="Times New Roman" w:hAnsi="Times New Roman" w:cs="Times New Roman"/>
        </w:rPr>
        <w:t>a</w:t>
      </w:r>
      <w:r w:rsidR="0088313C" w:rsidRPr="00371A17">
        <w:rPr>
          <w:rFonts w:ascii="Times New Roman" w:hAnsi="Times New Roman" w:cs="Times New Roman"/>
        </w:rPr>
        <w:t>, p. 4</w:t>
      </w:r>
      <w:r w:rsidRPr="00371A17">
        <w:rPr>
          <w:rFonts w:ascii="Times New Roman" w:hAnsi="Times New Roman" w:cs="Times New Roman"/>
        </w:rPr>
        <w:t xml:space="preserve">). </w:t>
      </w:r>
      <w:r w:rsidR="00E54E4F" w:rsidRPr="00371A17">
        <w:rPr>
          <w:rFonts w:ascii="Times New Roman" w:hAnsi="Times New Roman" w:cs="Times New Roman"/>
        </w:rPr>
        <w:t xml:space="preserve"> In 2008, a record 16.1% of households, representing 49 million people, lived in multi-generational households.  </w:t>
      </w:r>
      <w:r w:rsidR="00A6523D" w:rsidRPr="00371A17">
        <w:rPr>
          <w:rFonts w:ascii="Times New Roman" w:hAnsi="Times New Roman" w:cs="Times New Roman"/>
        </w:rPr>
        <w:t xml:space="preserve">Of the 49 million, roughly 47% are in </w:t>
      </w:r>
      <w:r w:rsidR="00E54E4F" w:rsidRPr="00371A17">
        <w:rPr>
          <w:rFonts w:ascii="Times New Roman" w:hAnsi="Times New Roman" w:cs="Times New Roman"/>
        </w:rPr>
        <w:t>family households with two adult generations (with the youngest adults ages 25 or older)</w:t>
      </w:r>
      <w:r w:rsidR="00A6523D" w:rsidRPr="00371A17">
        <w:rPr>
          <w:rFonts w:ascii="Times New Roman" w:hAnsi="Times New Roman" w:cs="Times New Roman"/>
        </w:rPr>
        <w:t xml:space="preserve">, 47% are in </w:t>
      </w:r>
      <w:r w:rsidR="00E54E4F" w:rsidRPr="00371A17">
        <w:rPr>
          <w:rFonts w:ascii="Times New Roman" w:hAnsi="Times New Roman" w:cs="Times New Roman"/>
        </w:rPr>
        <w:t>households with three or more generations</w:t>
      </w:r>
      <w:r w:rsidR="00A6523D" w:rsidRPr="00371A17">
        <w:rPr>
          <w:rFonts w:ascii="Times New Roman" w:hAnsi="Times New Roman" w:cs="Times New Roman"/>
        </w:rPr>
        <w:t xml:space="preserve"> and</w:t>
      </w:r>
      <w:r w:rsidR="00E54E4F" w:rsidRPr="00371A17">
        <w:rPr>
          <w:rFonts w:ascii="Times New Roman" w:hAnsi="Times New Roman" w:cs="Times New Roman"/>
        </w:rPr>
        <w:t xml:space="preserve"> </w:t>
      </w:r>
      <w:r w:rsidR="00A6523D" w:rsidRPr="00371A17">
        <w:rPr>
          <w:rFonts w:ascii="Times New Roman" w:hAnsi="Times New Roman" w:cs="Times New Roman"/>
        </w:rPr>
        <w:t xml:space="preserve">a small share of </w:t>
      </w:r>
      <w:r w:rsidR="00E54E4F" w:rsidRPr="00371A17">
        <w:rPr>
          <w:rFonts w:ascii="Times New Roman" w:hAnsi="Times New Roman" w:cs="Times New Roman"/>
        </w:rPr>
        <w:t xml:space="preserve">2.8 million </w:t>
      </w:r>
      <w:r w:rsidR="00A6523D" w:rsidRPr="00371A17">
        <w:rPr>
          <w:rFonts w:ascii="Times New Roman" w:hAnsi="Times New Roman" w:cs="Times New Roman"/>
        </w:rPr>
        <w:t xml:space="preserve">(5.7%) </w:t>
      </w:r>
      <w:r w:rsidR="00E54E4F" w:rsidRPr="00371A17">
        <w:rPr>
          <w:rFonts w:ascii="Times New Roman" w:hAnsi="Times New Roman" w:cs="Times New Roman"/>
        </w:rPr>
        <w:t>are in a household with a grandparent and grandchild</w:t>
      </w:r>
      <w:r w:rsidR="00FE530D" w:rsidRPr="00371A17">
        <w:rPr>
          <w:rFonts w:ascii="Times New Roman" w:hAnsi="Times New Roman" w:cs="Times New Roman"/>
        </w:rPr>
        <w:t xml:space="preserve"> (ibid)</w:t>
      </w:r>
      <w:r w:rsidR="00E54E4F" w:rsidRPr="00371A17">
        <w:rPr>
          <w:rFonts w:ascii="Times New Roman" w:hAnsi="Times New Roman" w:cs="Times New Roman"/>
        </w:rPr>
        <w:t xml:space="preserve">. This is a significant trend reversal from the decline experience between 1940 and 1980, when the share of the American population living in multi-generational households dropped from 24.7% to 12.1%, respectively.  </w:t>
      </w:r>
    </w:p>
    <w:p w:rsidR="00872838" w:rsidRPr="00371A17" w:rsidRDefault="00F0630B" w:rsidP="00872838">
      <w:pPr>
        <w:spacing w:line="240" w:lineRule="auto"/>
        <w:jc w:val="both"/>
        <w:rPr>
          <w:rFonts w:ascii="Times New Roman" w:hAnsi="Times New Roman" w:cs="Times New Roman"/>
          <w:color w:val="5B9BD5" w:themeColor="accent1"/>
        </w:rPr>
      </w:pPr>
      <w:r w:rsidRPr="00371A17">
        <w:rPr>
          <w:rFonts w:ascii="Times New Roman" w:hAnsi="Times New Roman" w:cs="Times New Roman"/>
        </w:rPr>
        <w:t>This</w:t>
      </w:r>
      <w:r w:rsidR="00E54E4F" w:rsidRPr="00371A17">
        <w:rPr>
          <w:rFonts w:ascii="Times New Roman" w:hAnsi="Times New Roman" w:cs="Times New Roman"/>
        </w:rPr>
        <w:t xml:space="preserve"> </w:t>
      </w:r>
      <w:r w:rsidRPr="00371A17">
        <w:rPr>
          <w:rFonts w:ascii="Times New Roman" w:hAnsi="Times New Roman" w:cs="Times New Roman"/>
        </w:rPr>
        <w:t xml:space="preserve">trend </w:t>
      </w:r>
      <w:r w:rsidR="00E54E4F" w:rsidRPr="00371A17">
        <w:rPr>
          <w:rFonts w:ascii="Times New Roman" w:hAnsi="Times New Roman" w:cs="Times New Roman"/>
        </w:rPr>
        <w:t xml:space="preserve">reversal appears to be across all major demographic groups and </w:t>
      </w:r>
      <w:r w:rsidR="00A6523D" w:rsidRPr="00371A17">
        <w:rPr>
          <w:rFonts w:ascii="Times New Roman" w:hAnsi="Times New Roman" w:cs="Times New Roman"/>
        </w:rPr>
        <w:t xml:space="preserve">is attributed to </w:t>
      </w:r>
      <w:r w:rsidR="00872838" w:rsidRPr="00371A17">
        <w:rPr>
          <w:rFonts w:ascii="Times New Roman" w:hAnsi="Times New Roman" w:cs="Times New Roman"/>
        </w:rPr>
        <w:t>three</w:t>
      </w:r>
      <w:r w:rsidR="00A6523D" w:rsidRPr="00371A17">
        <w:rPr>
          <w:rFonts w:ascii="Times New Roman" w:hAnsi="Times New Roman" w:cs="Times New Roman"/>
        </w:rPr>
        <w:t xml:space="preserve"> primary factors.  </w:t>
      </w:r>
      <w:r w:rsidR="003B1384" w:rsidRPr="00371A17">
        <w:rPr>
          <w:rFonts w:ascii="Times New Roman" w:hAnsi="Times New Roman" w:cs="Times New Roman"/>
        </w:rPr>
        <w:t xml:space="preserve">The </w:t>
      </w:r>
      <w:r w:rsidR="001E3EAC" w:rsidRPr="00371A17">
        <w:rPr>
          <w:rFonts w:ascii="Times New Roman" w:hAnsi="Times New Roman" w:cs="Times New Roman"/>
        </w:rPr>
        <w:t>first</w:t>
      </w:r>
      <w:r w:rsidR="003B1384" w:rsidRPr="00371A17">
        <w:rPr>
          <w:rFonts w:ascii="Times New Roman" w:hAnsi="Times New Roman" w:cs="Times New Roman"/>
        </w:rPr>
        <w:t xml:space="preserve"> factor is the increase </w:t>
      </w:r>
      <w:r w:rsidR="00872838" w:rsidRPr="00371A17">
        <w:rPr>
          <w:rFonts w:ascii="Times New Roman" w:hAnsi="Times New Roman" w:cs="Times New Roman"/>
        </w:rPr>
        <w:t xml:space="preserve">in immigrant households Latin American and Asian immigrants, who are more likely that native-born Americans to live in multi-generational households.  Almost 19% of immigrant households are multi-generational, compared with 14.2% of native-born households (Pew, 2010a). The </w:t>
      </w:r>
      <w:r w:rsidR="001E3EAC" w:rsidRPr="00371A17">
        <w:rPr>
          <w:rFonts w:ascii="Times New Roman" w:hAnsi="Times New Roman" w:cs="Times New Roman"/>
        </w:rPr>
        <w:t>second</w:t>
      </w:r>
      <w:r w:rsidR="00872838" w:rsidRPr="00371A17">
        <w:rPr>
          <w:rFonts w:ascii="Times New Roman" w:hAnsi="Times New Roman" w:cs="Times New Roman"/>
        </w:rPr>
        <w:t xml:space="preserve"> factor </w:t>
      </w:r>
      <w:r w:rsidR="00371A17" w:rsidRPr="00371A17">
        <w:rPr>
          <w:rFonts w:ascii="Times New Roman" w:hAnsi="Times New Roman" w:cs="Times New Roman"/>
        </w:rPr>
        <w:t>effecting</w:t>
      </w:r>
      <w:r w:rsidR="00872838" w:rsidRPr="00371A17">
        <w:rPr>
          <w:rFonts w:ascii="Times New Roman" w:hAnsi="Times New Roman" w:cs="Times New Roman"/>
        </w:rPr>
        <w:t xml:space="preserve"> the growth of </w:t>
      </w:r>
      <w:r w:rsidR="00B66180" w:rsidRPr="00371A17">
        <w:rPr>
          <w:rFonts w:ascii="Times New Roman" w:hAnsi="Times New Roman" w:cs="Times New Roman"/>
        </w:rPr>
        <w:t>multi-generational households is associated with the aging population.</w:t>
      </w:r>
      <w:r w:rsidR="00B66180" w:rsidRPr="00371A17">
        <w:rPr>
          <w:rFonts w:ascii="Times New Roman" w:hAnsi="Times New Roman" w:cs="Times New Roman"/>
          <w:color w:val="5B9BD5" w:themeColor="accent1"/>
        </w:rPr>
        <w:t xml:space="preserve"> </w:t>
      </w:r>
      <w:r w:rsidR="001E3EAC" w:rsidRPr="00371A17">
        <w:rPr>
          <w:rFonts w:ascii="Times New Roman" w:hAnsi="Times New Roman" w:cs="Times New Roman"/>
        </w:rPr>
        <w:t xml:space="preserve">Between 1980 and 2008 the percentage of 65 and </w:t>
      </w:r>
      <w:r w:rsidR="00371A17" w:rsidRPr="00371A17">
        <w:rPr>
          <w:rFonts w:ascii="Times New Roman" w:hAnsi="Times New Roman" w:cs="Times New Roman"/>
        </w:rPr>
        <w:t>over individuals</w:t>
      </w:r>
      <w:r w:rsidR="001E3EAC" w:rsidRPr="00371A17">
        <w:rPr>
          <w:rFonts w:ascii="Times New Roman" w:hAnsi="Times New Roman" w:cs="Times New Roman"/>
        </w:rPr>
        <w:t xml:space="preserve"> living in multi-generational households has grown from 16.8% to 19.6%, respectively.  The third factor is the rise in the median age of </w:t>
      </w:r>
      <w:r w:rsidR="001E3EAC" w:rsidRPr="00371A17">
        <w:rPr>
          <w:rFonts w:ascii="Times New Roman" w:hAnsi="Times New Roman" w:cs="Times New Roman"/>
        </w:rPr>
        <w:lastRenderedPageBreak/>
        <w:t xml:space="preserve">first marriages resulting in a cultural shift of 20-somethings continuing to live at home with their parents.  The recent global financial crisis (GFC) further impacted this type of multi-generational household; one in eight young adults, aged 25 to 34, reported that the GFC caused them to move back in with their parents after having previously been living on their own (Pew, 2010b).  Furthermore, nearly two-thirds of both </w:t>
      </w:r>
      <w:r w:rsidR="00EE7D34" w:rsidRPr="00371A17">
        <w:rPr>
          <w:rFonts w:ascii="Times New Roman" w:hAnsi="Times New Roman" w:cs="Times New Roman"/>
        </w:rPr>
        <w:t>Millennials</w:t>
      </w:r>
      <w:r w:rsidR="001E3EAC" w:rsidRPr="00371A17">
        <w:rPr>
          <w:rFonts w:ascii="Times New Roman" w:hAnsi="Times New Roman" w:cs="Times New Roman"/>
        </w:rPr>
        <w:t xml:space="preserve"> (18-25) and GenXers (26-41) believe it is their responsibility to care for elderly parents (ibid), indicating </w:t>
      </w:r>
      <w:r w:rsidR="00EE7D34" w:rsidRPr="00371A17">
        <w:rPr>
          <w:rFonts w:ascii="Times New Roman" w:hAnsi="Times New Roman" w:cs="Times New Roman"/>
        </w:rPr>
        <w:t>that</w:t>
      </w:r>
      <w:r w:rsidR="001E3EAC" w:rsidRPr="00371A17">
        <w:rPr>
          <w:rFonts w:ascii="Times New Roman" w:hAnsi="Times New Roman" w:cs="Times New Roman"/>
        </w:rPr>
        <w:t xml:space="preserve"> the increasing trend of multi-generational households is likely to continue.  Each of these factors are also prevalent and growing in Sydney, therefore </w:t>
      </w:r>
      <w:r w:rsidR="007F5BCE" w:rsidRPr="00371A17">
        <w:rPr>
          <w:rFonts w:ascii="Times New Roman" w:hAnsi="Times New Roman" w:cs="Times New Roman"/>
        </w:rPr>
        <w:t xml:space="preserve">alternative </w:t>
      </w:r>
      <w:r w:rsidR="001E3EAC" w:rsidRPr="00371A17">
        <w:rPr>
          <w:rFonts w:ascii="Times New Roman" w:hAnsi="Times New Roman" w:cs="Times New Roman"/>
        </w:rPr>
        <w:t xml:space="preserve">solutions </w:t>
      </w:r>
      <w:r w:rsidR="007F5BCE" w:rsidRPr="00371A17">
        <w:rPr>
          <w:rFonts w:ascii="Times New Roman" w:hAnsi="Times New Roman" w:cs="Times New Roman"/>
        </w:rPr>
        <w:t xml:space="preserve">for </w:t>
      </w:r>
      <w:r w:rsidR="001E3EAC" w:rsidRPr="00371A17">
        <w:rPr>
          <w:rFonts w:ascii="Times New Roman" w:hAnsi="Times New Roman" w:cs="Times New Roman"/>
        </w:rPr>
        <w:t xml:space="preserve">affordable </w:t>
      </w:r>
      <w:r w:rsidR="007F5BCE" w:rsidRPr="00371A17">
        <w:rPr>
          <w:rFonts w:ascii="Times New Roman" w:hAnsi="Times New Roman" w:cs="Times New Roman"/>
        </w:rPr>
        <w:t xml:space="preserve">housing targeting </w:t>
      </w:r>
      <w:r w:rsidR="001E3EAC" w:rsidRPr="00371A17">
        <w:rPr>
          <w:rFonts w:ascii="Times New Roman" w:hAnsi="Times New Roman" w:cs="Times New Roman"/>
        </w:rPr>
        <w:t xml:space="preserve">multi-generational households </w:t>
      </w:r>
      <w:r w:rsidR="007F5BCE" w:rsidRPr="00371A17">
        <w:rPr>
          <w:rFonts w:ascii="Times New Roman" w:hAnsi="Times New Roman" w:cs="Times New Roman"/>
        </w:rPr>
        <w:t>should also be considered.</w:t>
      </w:r>
    </w:p>
    <w:p w:rsidR="004151E6" w:rsidRPr="00371A17" w:rsidRDefault="007F5BCE" w:rsidP="00B66180">
      <w:pPr>
        <w:spacing w:line="240" w:lineRule="auto"/>
        <w:jc w:val="both"/>
        <w:rPr>
          <w:rFonts w:ascii="Times New Roman" w:hAnsi="Times New Roman" w:cs="Times New Roman"/>
        </w:rPr>
      </w:pPr>
      <w:r w:rsidRPr="00371A17">
        <w:rPr>
          <w:rFonts w:ascii="Times New Roman" w:hAnsi="Times New Roman" w:cs="Times New Roman"/>
        </w:rPr>
        <w:t>Some cities</w:t>
      </w:r>
      <w:r w:rsidR="00846953" w:rsidRPr="00371A17">
        <w:rPr>
          <w:rStyle w:val="EndnoteReference"/>
          <w:rFonts w:ascii="Times New Roman" w:hAnsi="Times New Roman" w:cs="Times New Roman"/>
        </w:rPr>
        <w:endnoteReference w:id="2"/>
      </w:r>
      <w:r w:rsidRPr="00371A17">
        <w:rPr>
          <w:rFonts w:ascii="Times New Roman" w:hAnsi="Times New Roman" w:cs="Times New Roman"/>
        </w:rPr>
        <w:t xml:space="preserve"> have specifically </w:t>
      </w:r>
      <w:r w:rsidR="00EA3231" w:rsidRPr="00371A17">
        <w:rPr>
          <w:rFonts w:ascii="Times New Roman" w:hAnsi="Times New Roman" w:cs="Times New Roman"/>
        </w:rPr>
        <w:t>identified</w:t>
      </w:r>
      <w:r w:rsidRPr="00371A17">
        <w:rPr>
          <w:rFonts w:ascii="Times New Roman" w:hAnsi="Times New Roman" w:cs="Times New Roman"/>
        </w:rPr>
        <w:t xml:space="preserve"> the </w:t>
      </w:r>
      <w:r w:rsidR="00EA3231" w:rsidRPr="00371A17">
        <w:rPr>
          <w:rFonts w:ascii="Times New Roman" w:hAnsi="Times New Roman" w:cs="Times New Roman"/>
        </w:rPr>
        <w:t xml:space="preserve">rise </w:t>
      </w:r>
      <w:r w:rsidRPr="00371A17">
        <w:rPr>
          <w:rFonts w:ascii="Times New Roman" w:hAnsi="Times New Roman" w:cs="Times New Roman"/>
        </w:rPr>
        <w:t>of multi-</w:t>
      </w:r>
      <w:r w:rsidR="00EE7D34" w:rsidRPr="00371A17">
        <w:rPr>
          <w:rFonts w:ascii="Times New Roman" w:hAnsi="Times New Roman" w:cs="Times New Roman"/>
        </w:rPr>
        <w:t>generational</w:t>
      </w:r>
      <w:r w:rsidRPr="00371A17">
        <w:rPr>
          <w:rFonts w:ascii="Times New Roman" w:hAnsi="Times New Roman" w:cs="Times New Roman"/>
        </w:rPr>
        <w:t xml:space="preserve"> households as a reason for permitting a</w:t>
      </w:r>
      <w:r w:rsidR="00B66180" w:rsidRPr="00371A17">
        <w:rPr>
          <w:rFonts w:ascii="Times New Roman" w:hAnsi="Times New Roman" w:cs="Times New Roman"/>
        </w:rPr>
        <w:t>ccessory dwelling units (ADUs)</w:t>
      </w:r>
      <w:r w:rsidRPr="00371A17">
        <w:rPr>
          <w:rFonts w:ascii="Times New Roman" w:hAnsi="Times New Roman" w:cs="Times New Roman"/>
        </w:rPr>
        <w:t>.  ADUs</w:t>
      </w:r>
      <w:r w:rsidR="00B66180" w:rsidRPr="00371A17">
        <w:rPr>
          <w:rFonts w:ascii="Times New Roman" w:hAnsi="Times New Roman" w:cs="Times New Roman"/>
        </w:rPr>
        <w:t xml:space="preserve">, often referred to as in-law units or secondary units, are </w:t>
      </w:r>
      <w:r w:rsidR="004123A3" w:rsidRPr="00371A17">
        <w:rPr>
          <w:rFonts w:ascii="Times New Roman" w:hAnsi="Times New Roman" w:cs="Times New Roman"/>
        </w:rPr>
        <w:t xml:space="preserve">individual housing units </w:t>
      </w:r>
      <w:r w:rsidR="00B66180" w:rsidRPr="00371A17">
        <w:rPr>
          <w:rFonts w:ascii="Times New Roman" w:hAnsi="Times New Roman" w:cs="Times New Roman"/>
        </w:rPr>
        <w:t xml:space="preserve">located </w:t>
      </w:r>
      <w:r w:rsidR="004123A3" w:rsidRPr="00371A17">
        <w:rPr>
          <w:rFonts w:ascii="Times New Roman" w:hAnsi="Times New Roman" w:cs="Times New Roman"/>
        </w:rPr>
        <w:t>within single-</w:t>
      </w:r>
      <w:r w:rsidR="00EE7D34" w:rsidRPr="00371A17">
        <w:rPr>
          <w:rFonts w:ascii="Times New Roman" w:hAnsi="Times New Roman" w:cs="Times New Roman"/>
        </w:rPr>
        <w:t>family</w:t>
      </w:r>
      <w:r w:rsidR="004123A3" w:rsidRPr="00371A17">
        <w:rPr>
          <w:rFonts w:ascii="Times New Roman" w:hAnsi="Times New Roman" w:cs="Times New Roman"/>
        </w:rPr>
        <w:t xml:space="preserve"> homes or </w:t>
      </w:r>
      <w:r w:rsidR="00B66180" w:rsidRPr="00371A17">
        <w:rPr>
          <w:rFonts w:ascii="Times New Roman" w:hAnsi="Times New Roman" w:cs="Times New Roman"/>
        </w:rPr>
        <w:t xml:space="preserve">on the property of a single-family home. </w:t>
      </w:r>
      <w:r w:rsidRPr="00371A17">
        <w:rPr>
          <w:rFonts w:ascii="Times New Roman" w:hAnsi="Times New Roman" w:cs="Times New Roman"/>
        </w:rPr>
        <w:t xml:space="preserve">They </w:t>
      </w:r>
      <w:r w:rsidR="00B66180" w:rsidRPr="00371A17">
        <w:rPr>
          <w:rFonts w:ascii="Times New Roman" w:hAnsi="Times New Roman" w:cs="Times New Roman"/>
        </w:rPr>
        <w:t>may be attached to the primary residence, in a basement or above a garage</w:t>
      </w:r>
      <w:r w:rsidR="00227AEB" w:rsidRPr="00371A17">
        <w:rPr>
          <w:rFonts w:ascii="Times New Roman" w:hAnsi="Times New Roman" w:cs="Times New Roman"/>
        </w:rPr>
        <w:t xml:space="preserve"> (e.g. granny flat)</w:t>
      </w:r>
      <w:r w:rsidR="00B66180" w:rsidRPr="00371A17">
        <w:rPr>
          <w:rFonts w:ascii="Times New Roman" w:hAnsi="Times New Roman" w:cs="Times New Roman"/>
        </w:rPr>
        <w:t>, or may be a separate structure</w:t>
      </w:r>
      <w:r w:rsidR="00227AEB" w:rsidRPr="00371A17">
        <w:rPr>
          <w:rFonts w:ascii="Times New Roman" w:hAnsi="Times New Roman" w:cs="Times New Roman"/>
        </w:rPr>
        <w:t xml:space="preserve"> (e.g.</w:t>
      </w:r>
      <w:r w:rsidR="00B66180" w:rsidRPr="00371A17">
        <w:rPr>
          <w:rFonts w:ascii="Times New Roman" w:hAnsi="Times New Roman" w:cs="Times New Roman"/>
        </w:rPr>
        <w:t xml:space="preserve"> </w:t>
      </w:r>
      <w:r w:rsidR="00EE7D34" w:rsidRPr="00371A17">
        <w:rPr>
          <w:rFonts w:ascii="Times New Roman" w:hAnsi="Times New Roman" w:cs="Times New Roman"/>
        </w:rPr>
        <w:t>carriage</w:t>
      </w:r>
      <w:r w:rsidR="00227AEB" w:rsidRPr="00371A17">
        <w:rPr>
          <w:rFonts w:ascii="Times New Roman" w:hAnsi="Times New Roman" w:cs="Times New Roman"/>
        </w:rPr>
        <w:t xml:space="preserve"> house</w:t>
      </w:r>
      <w:r w:rsidRPr="00371A17">
        <w:rPr>
          <w:rFonts w:ascii="Times New Roman" w:hAnsi="Times New Roman" w:cs="Times New Roman"/>
        </w:rPr>
        <w:t xml:space="preserve">) and are particularly </w:t>
      </w:r>
      <w:r w:rsidR="00B66180" w:rsidRPr="00371A17">
        <w:rPr>
          <w:rFonts w:ascii="Times New Roman" w:hAnsi="Times New Roman" w:cs="Times New Roman"/>
        </w:rPr>
        <w:t xml:space="preserve">appropriate </w:t>
      </w:r>
      <w:r w:rsidRPr="00371A17">
        <w:rPr>
          <w:rFonts w:ascii="Times New Roman" w:hAnsi="Times New Roman" w:cs="Times New Roman"/>
        </w:rPr>
        <w:t xml:space="preserve">as a </w:t>
      </w:r>
      <w:r w:rsidR="00B66180" w:rsidRPr="00371A17">
        <w:rPr>
          <w:rFonts w:ascii="Times New Roman" w:hAnsi="Times New Roman" w:cs="Times New Roman"/>
        </w:rPr>
        <w:t>residential infill strategy in lower-density areas that could benefit from densification.</w:t>
      </w:r>
      <w:r w:rsidR="00B66180" w:rsidRPr="00371A17">
        <w:rPr>
          <w:rStyle w:val="EndnoteReference"/>
          <w:rFonts w:ascii="Times New Roman" w:hAnsi="Times New Roman" w:cs="Times New Roman"/>
        </w:rPr>
        <w:endnoteReference w:id="3"/>
      </w:r>
      <w:r w:rsidR="00227AEB" w:rsidRPr="00371A17">
        <w:rPr>
          <w:rFonts w:ascii="Times New Roman" w:hAnsi="Times New Roman" w:cs="Times New Roman"/>
        </w:rPr>
        <w:t xml:space="preserve">  </w:t>
      </w:r>
    </w:p>
    <w:p w:rsidR="00CE5B7F" w:rsidRPr="00371A17" w:rsidRDefault="00955927" w:rsidP="00B66180">
      <w:pPr>
        <w:spacing w:line="240" w:lineRule="auto"/>
        <w:jc w:val="both"/>
        <w:rPr>
          <w:rFonts w:ascii="Times New Roman" w:hAnsi="Times New Roman" w:cs="Times New Roman"/>
        </w:rPr>
      </w:pPr>
      <w:r w:rsidRPr="00371A17">
        <w:rPr>
          <w:rFonts w:ascii="Times New Roman" w:hAnsi="Times New Roman" w:cs="Times New Roman"/>
        </w:rPr>
        <w:t>As a strategy for increasing the amount of affordable housing</w:t>
      </w:r>
      <w:r w:rsidR="00EE7D34">
        <w:rPr>
          <w:rFonts w:ascii="Times New Roman" w:hAnsi="Times New Roman" w:cs="Times New Roman"/>
        </w:rPr>
        <w:t xml:space="preserve">, </w:t>
      </w:r>
      <w:r w:rsidRPr="00371A17">
        <w:rPr>
          <w:rFonts w:ascii="Times New Roman" w:hAnsi="Times New Roman" w:cs="Times New Roman"/>
        </w:rPr>
        <w:t xml:space="preserve">ADUs offer an easily attainable and relatively inexpensive option.  </w:t>
      </w:r>
      <w:r w:rsidR="00227AEB" w:rsidRPr="00371A17">
        <w:rPr>
          <w:rFonts w:ascii="Times New Roman" w:hAnsi="Times New Roman" w:cs="Times New Roman"/>
        </w:rPr>
        <w:t xml:space="preserve">Accessory dwelling units </w:t>
      </w:r>
      <w:r w:rsidR="00D36D38" w:rsidRPr="00371A17">
        <w:rPr>
          <w:rFonts w:ascii="Times New Roman" w:hAnsi="Times New Roman" w:cs="Times New Roman"/>
        </w:rPr>
        <w:t xml:space="preserve">have </w:t>
      </w:r>
      <w:r w:rsidR="004151E6" w:rsidRPr="00371A17">
        <w:rPr>
          <w:rFonts w:ascii="Times New Roman" w:hAnsi="Times New Roman" w:cs="Times New Roman"/>
        </w:rPr>
        <w:t>demonstrated to be a</w:t>
      </w:r>
      <w:r w:rsidR="00416C77" w:rsidRPr="00371A17">
        <w:rPr>
          <w:rFonts w:ascii="Times New Roman" w:hAnsi="Times New Roman" w:cs="Times New Roman"/>
        </w:rPr>
        <w:t xml:space="preserve">n alternative </w:t>
      </w:r>
      <w:r w:rsidR="00227AEB" w:rsidRPr="00371A17">
        <w:rPr>
          <w:rFonts w:ascii="Times New Roman" w:hAnsi="Times New Roman" w:cs="Times New Roman"/>
        </w:rPr>
        <w:t xml:space="preserve">affordable housing </w:t>
      </w:r>
      <w:r w:rsidR="00416C77" w:rsidRPr="00371A17">
        <w:rPr>
          <w:rFonts w:ascii="Times New Roman" w:hAnsi="Times New Roman" w:cs="Times New Roman"/>
        </w:rPr>
        <w:t xml:space="preserve">typology </w:t>
      </w:r>
      <w:r w:rsidR="00227AEB" w:rsidRPr="00371A17">
        <w:rPr>
          <w:rFonts w:ascii="Times New Roman" w:hAnsi="Times New Roman" w:cs="Times New Roman"/>
        </w:rPr>
        <w:t xml:space="preserve">(e.g. </w:t>
      </w:r>
      <w:r w:rsidRPr="00371A17">
        <w:rPr>
          <w:rFonts w:ascii="Times New Roman" w:hAnsi="Times New Roman" w:cs="Times New Roman"/>
        </w:rPr>
        <w:t xml:space="preserve">AC, 1991; </w:t>
      </w:r>
      <w:r w:rsidR="00F27F70" w:rsidRPr="00371A17">
        <w:rPr>
          <w:rFonts w:ascii="Times New Roman" w:hAnsi="Times New Roman" w:cs="Times New Roman"/>
        </w:rPr>
        <w:t xml:space="preserve">Chapple </w:t>
      </w:r>
      <w:r w:rsidR="00F27F70" w:rsidRPr="00371A17">
        <w:rPr>
          <w:rFonts w:ascii="Times New Roman" w:hAnsi="Times New Roman" w:cs="Times New Roman"/>
          <w:i/>
        </w:rPr>
        <w:t xml:space="preserve">et al, </w:t>
      </w:r>
      <w:r w:rsidR="00F27F70" w:rsidRPr="00371A17">
        <w:rPr>
          <w:rFonts w:ascii="Times New Roman" w:hAnsi="Times New Roman" w:cs="Times New Roman"/>
        </w:rPr>
        <w:t>2011</w:t>
      </w:r>
      <w:r w:rsidR="00EE7D34">
        <w:rPr>
          <w:rFonts w:ascii="Times New Roman" w:hAnsi="Times New Roman" w:cs="Times New Roman"/>
        </w:rPr>
        <w:t xml:space="preserve">; </w:t>
      </w:r>
      <w:r w:rsidR="00227AEB" w:rsidRPr="00371A17">
        <w:rPr>
          <w:rFonts w:ascii="Times New Roman" w:hAnsi="Times New Roman" w:cs="Times New Roman"/>
        </w:rPr>
        <w:t>City of Seattle, 2010</w:t>
      </w:r>
      <w:r w:rsidR="00F27F70" w:rsidRPr="00371A17">
        <w:rPr>
          <w:rFonts w:ascii="Times New Roman" w:hAnsi="Times New Roman" w:cs="Times New Roman"/>
        </w:rPr>
        <w:t>; Cobb and Dvorak, 2000</w:t>
      </w:r>
      <w:r w:rsidR="000E2566" w:rsidRPr="00371A17">
        <w:rPr>
          <w:rFonts w:ascii="Times New Roman" w:hAnsi="Times New Roman" w:cs="Times New Roman"/>
        </w:rPr>
        <w:t xml:space="preserve">; </w:t>
      </w:r>
      <w:r w:rsidR="00416C77" w:rsidRPr="00371A17">
        <w:rPr>
          <w:rFonts w:ascii="Times New Roman" w:hAnsi="Times New Roman" w:cs="Times New Roman"/>
        </w:rPr>
        <w:t xml:space="preserve">DHSA, 2010; </w:t>
      </w:r>
      <w:r w:rsidR="000E2566" w:rsidRPr="00371A17">
        <w:rPr>
          <w:rFonts w:ascii="Times New Roman" w:hAnsi="Times New Roman" w:cs="Times New Roman"/>
        </w:rPr>
        <w:t>Infranca, 2014</w:t>
      </w:r>
      <w:r w:rsidR="00227AEB" w:rsidRPr="00371A17">
        <w:rPr>
          <w:rFonts w:ascii="Times New Roman" w:hAnsi="Times New Roman" w:cs="Times New Roman"/>
        </w:rPr>
        <w:t>)</w:t>
      </w:r>
      <w:r w:rsidR="00EE7D34" w:rsidRPr="00371A17">
        <w:rPr>
          <w:rFonts w:ascii="Times New Roman" w:hAnsi="Times New Roman" w:cs="Times New Roman"/>
        </w:rPr>
        <w:t>, offering</w:t>
      </w:r>
      <w:r w:rsidR="00901696" w:rsidRPr="00371A17">
        <w:rPr>
          <w:rFonts w:ascii="Times New Roman" w:hAnsi="Times New Roman" w:cs="Times New Roman"/>
        </w:rPr>
        <w:t xml:space="preserve"> </w:t>
      </w:r>
      <w:r w:rsidR="00D36D38" w:rsidRPr="00371A17">
        <w:rPr>
          <w:rFonts w:ascii="Times New Roman" w:hAnsi="Times New Roman" w:cs="Times New Roman"/>
        </w:rPr>
        <w:t xml:space="preserve">an </w:t>
      </w:r>
      <w:r w:rsidR="00901696" w:rsidRPr="00371A17">
        <w:rPr>
          <w:rFonts w:ascii="Times New Roman" w:hAnsi="Times New Roman" w:cs="Times New Roman"/>
        </w:rPr>
        <w:t>alternat</w:t>
      </w:r>
      <w:r w:rsidR="00D36D38" w:rsidRPr="00371A17">
        <w:rPr>
          <w:rFonts w:ascii="Times New Roman" w:hAnsi="Times New Roman" w:cs="Times New Roman"/>
        </w:rPr>
        <w:t xml:space="preserve">ive </w:t>
      </w:r>
      <w:r w:rsidR="00901696" w:rsidRPr="00371A17">
        <w:rPr>
          <w:rFonts w:ascii="Times New Roman" w:hAnsi="Times New Roman" w:cs="Times New Roman"/>
        </w:rPr>
        <w:t xml:space="preserve">to apartment living </w:t>
      </w:r>
      <w:r w:rsidR="00D36D38" w:rsidRPr="00371A17">
        <w:rPr>
          <w:rFonts w:ascii="Times New Roman" w:hAnsi="Times New Roman" w:cs="Times New Roman"/>
        </w:rPr>
        <w:t xml:space="preserve">and an opportunity to </w:t>
      </w:r>
      <w:r w:rsidR="00227AEB" w:rsidRPr="00371A17">
        <w:rPr>
          <w:rFonts w:ascii="Times New Roman" w:hAnsi="Times New Roman" w:cs="Times New Roman"/>
        </w:rPr>
        <w:t xml:space="preserve">gain access to </w:t>
      </w:r>
      <w:r w:rsidR="00901696" w:rsidRPr="00371A17">
        <w:rPr>
          <w:rFonts w:ascii="Times New Roman" w:hAnsi="Times New Roman" w:cs="Times New Roman"/>
        </w:rPr>
        <w:t>“</w:t>
      </w:r>
      <w:r w:rsidR="00227AEB" w:rsidRPr="00371A17">
        <w:rPr>
          <w:rFonts w:ascii="Times New Roman" w:hAnsi="Times New Roman" w:cs="Times New Roman"/>
        </w:rPr>
        <w:t>more desira</w:t>
      </w:r>
      <w:r w:rsidR="00DC5BD3" w:rsidRPr="00371A17">
        <w:rPr>
          <w:rFonts w:ascii="Times New Roman" w:hAnsi="Times New Roman" w:cs="Times New Roman"/>
        </w:rPr>
        <w:t xml:space="preserve">ble single-family </w:t>
      </w:r>
      <w:r w:rsidR="00EE7D34" w:rsidRPr="00371A17">
        <w:rPr>
          <w:rFonts w:ascii="Times New Roman" w:hAnsi="Times New Roman" w:cs="Times New Roman"/>
        </w:rPr>
        <w:t>neighbourhoods</w:t>
      </w:r>
      <w:r w:rsidR="00901696" w:rsidRPr="00371A17">
        <w:rPr>
          <w:rFonts w:ascii="Times New Roman" w:hAnsi="Times New Roman" w:cs="Times New Roman"/>
        </w:rPr>
        <w:t xml:space="preserve"> for some who might not otherwise be able to afford to live there</w:t>
      </w:r>
      <w:r w:rsidR="00227AEB" w:rsidRPr="00371A17">
        <w:rPr>
          <w:rFonts w:ascii="Times New Roman" w:hAnsi="Times New Roman" w:cs="Times New Roman"/>
        </w:rPr>
        <w:t>”</w:t>
      </w:r>
      <w:r w:rsidR="00DC5BD3" w:rsidRPr="00371A17">
        <w:rPr>
          <w:rFonts w:ascii="Times New Roman" w:hAnsi="Times New Roman" w:cs="Times New Roman"/>
        </w:rPr>
        <w:t xml:space="preserve"> (MRSC, 1995, p. 14).</w:t>
      </w:r>
      <w:r w:rsidR="00901696" w:rsidRPr="00371A17">
        <w:rPr>
          <w:rFonts w:ascii="Times New Roman" w:hAnsi="Times New Roman" w:cs="Times New Roman"/>
        </w:rPr>
        <w:t xml:space="preserve">  Infranc</w:t>
      </w:r>
      <w:r w:rsidR="00EE7D34">
        <w:rPr>
          <w:rFonts w:ascii="Times New Roman" w:hAnsi="Times New Roman" w:cs="Times New Roman"/>
        </w:rPr>
        <w:t>a</w:t>
      </w:r>
      <w:r w:rsidR="00901696" w:rsidRPr="00371A17">
        <w:rPr>
          <w:rFonts w:ascii="Times New Roman" w:hAnsi="Times New Roman" w:cs="Times New Roman"/>
        </w:rPr>
        <w:t xml:space="preserve"> (2014) </w:t>
      </w:r>
      <w:r w:rsidR="004151E6" w:rsidRPr="00371A17">
        <w:rPr>
          <w:rFonts w:ascii="Times New Roman" w:hAnsi="Times New Roman" w:cs="Times New Roman"/>
        </w:rPr>
        <w:t xml:space="preserve">suggests that such </w:t>
      </w:r>
      <w:r w:rsidR="00EE7D34" w:rsidRPr="00371A17">
        <w:rPr>
          <w:rFonts w:ascii="Times New Roman" w:hAnsi="Times New Roman" w:cs="Times New Roman"/>
        </w:rPr>
        <w:t>neighbourhoods</w:t>
      </w:r>
      <w:r w:rsidR="004151E6" w:rsidRPr="00371A17">
        <w:rPr>
          <w:rFonts w:ascii="Times New Roman" w:hAnsi="Times New Roman" w:cs="Times New Roman"/>
        </w:rPr>
        <w:t xml:space="preserve"> may have few rental </w:t>
      </w:r>
      <w:r w:rsidR="00EE7D34" w:rsidRPr="00371A17">
        <w:rPr>
          <w:rFonts w:ascii="Times New Roman" w:hAnsi="Times New Roman" w:cs="Times New Roman"/>
        </w:rPr>
        <w:t>opportunities</w:t>
      </w:r>
      <w:r w:rsidR="004151E6" w:rsidRPr="00371A17">
        <w:rPr>
          <w:rFonts w:ascii="Times New Roman" w:hAnsi="Times New Roman" w:cs="Times New Roman"/>
        </w:rPr>
        <w:t xml:space="preserve"> and/or housing prices that prevent homeownership from becoming a realistic option.</w:t>
      </w:r>
      <w:r w:rsidR="001B7D17" w:rsidRPr="00371A17">
        <w:rPr>
          <w:rFonts w:ascii="Times New Roman" w:hAnsi="Times New Roman" w:cs="Times New Roman"/>
        </w:rPr>
        <w:t xml:space="preserve">  </w:t>
      </w:r>
    </w:p>
    <w:p w:rsidR="00B66180" w:rsidRPr="00371A17" w:rsidRDefault="00416C77" w:rsidP="00B66180">
      <w:pPr>
        <w:spacing w:line="240" w:lineRule="auto"/>
        <w:jc w:val="both"/>
        <w:rPr>
          <w:rFonts w:ascii="Times New Roman" w:hAnsi="Times New Roman" w:cs="Times New Roman"/>
        </w:rPr>
      </w:pPr>
      <w:r w:rsidRPr="00371A17">
        <w:rPr>
          <w:rFonts w:ascii="Times New Roman" w:hAnsi="Times New Roman" w:cs="Times New Roman"/>
        </w:rPr>
        <w:t xml:space="preserve">Key community benefits of ADUs include efficient use of the </w:t>
      </w:r>
      <w:r w:rsidR="00EE7D34" w:rsidRPr="00371A17">
        <w:rPr>
          <w:rFonts w:ascii="Times New Roman" w:hAnsi="Times New Roman" w:cs="Times New Roman"/>
        </w:rPr>
        <w:t>existing</w:t>
      </w:r>
      <w:r w:rsidRPr="00371A17">
        <w:rPr>
          <w:rFonts w:ascii="Times New Roman" w:hAnsi="Times New Roman" w:cs="Times New Roman"/>
        </w:rPr>
        <w:t xml:space="preserve"> housing stock</w:t>
      </w:r>
      <w:r w:rsidR="00343D2A" w:rsidRPr="00371A17">
        <w:rPr>
          <w:rFonts w:ascii="Times New Roman" w:hAnsi="Times New Roman" w:cs="Times New Roman"/>
        </w:rPr>
        <w:t>, land</w:t>
      </w:r>
      <w:r w:rsidRPr="00371A17">
        <w:rPr>
          <w:rFonts w:ascii="Times New Roman" w:hAnsi="Times New Roman" w:cs="Times New Roman"/>
        </w:rPr>
        <w:t xml:space="preserve"> and infrastructure</w:t>
      </w:r>
      <w:r w:rsidR="00343D2A" w:rsidRPr="00371A17">
        <w:rPr>
          <w:rFonts w:ascii="Times New Roman" w:hAnsi="Times New Roman" w:cs="Times New Roman"/>
        </w:rPr>
        <w:t xml:space="preserve"> at lower costs than newly built units (AC, 1991; MSRC, 1995)</w:t>
      </w:r>
      <w:r w:rsidRPr="00371A17">
        <w:rPr>
          <w:rFonts w:ascii="Times New Roman" w:hAnsi="Times New Roman" w:cs="Times New Roman"/>
        </w:rPr>
        <w:t xml:space="preserve">.  </w:t>
      </w:r>
      <w:r w:rsidR="00343D2A" w:rsidRPr="00371A17">
        <w:rPr>
          <w:rFonts w:ascii="Times New Roman" w:hAnsi="Times New Roman" w:cs="Times New Roman"/>
        </w:rPr>
        <w:t xml:space="preserve">Furthermore, </w:t>
      </w:r>
      <w:r w:rsidR="00CE5B7F" w:rsidRPr="00371A17">
        <w:rPr>
          <w:rFonts w:ascii="Times New Roman" w:hAnsi="Times New Roman" w:cs="Times New Roman"/>
        </w:rPr>
        <w:t xml:space="preserve">by increasing density in existing </w:t>
      </w:r>
      <w:r w:rsidR="00EE7D34" w:rsidRPr="00371A17">
        <w:rPr>
          <w:rFonts w:ascii="Times New Roman" w:hAnsi="Times New Roman" w:cs="Times New Roman"/>
        </w:rPr>
        <w:t>neighbourhoods</w:t>
      </w:r>
      <w:r w:rsidR="00CE5B7F" w:rsidRPr="00371A17">
        <w:rPr>
          <w:rFonts w:ascii="Times New Roman" w:hAnsi="Times New Roman" w:cs="Times New Roman"/>
        </w:rPr>
        <w:t xml:space="preserve">, ADUs create </w:t>
      </w:r>
      <w:r w:rsidR="00343D2A" w:rsidRPr="00371A17">
        <w:rPr>
          <w:rFonts w:ascii="Times New Roman" w:hAnsi="Times New Roman" w:cs="Times New Roman"/>
        </w:rPr>
        <w:t>affordable housing without changing its character or requiring additional infrastructure (NNC, 2001)</w:t>
      </w:r>
      <w:r w:rsidR="00CE5B7F" w:rsidRPr="00371A17">
        <w:rPr>
          <w:rFonts w:ascii="Times New Roman" w:hAnsi="Times New Roman" w:cs="Times New Roman"/>
        </w:rPr>
        <w:t xml:space="preserve">.  In a report to the President, the </w:t>
      </w:r>
      <w:r w:rsidR="00955927" w:rsidRPr="00371A17">
        <w:rPr>
          <w:rFonts w:ascii="Times New Roman" w:hAnsi="Times New Roman" w:cs="Times New Roman"/>
        </w:rPr>
        <w:t>Advisory Commission on Regulatory Barriers to Affordable Housing (1991) indicated that if “1</w:t>
      </w:r>
      <w:r w:rsidR="00EE7D34">
        <w:rPr>
          <w:rFonts w:ascii="Times New Roman" w:hAnsi="Times New Roman" w:cs="Times New Roman"/>
        </w:rPr>
        <w:t xml:space="preserve"> </w:t>
      </w:r>
      <w:r w:rsidR="00955927" w:rsidRPr="00371A17">
        <w:rPr>
          <w:rFonts w:ascii="Times New Roman" w:hAnsi="Times New Roman" w:cs="Times New Roman"/>
        </w:rPr>
        <w:t xml:space="preserve">in every 10 of America’s owner-occupied </w:t>
      </w:r>
      <w:r w:rsidR="00EE7D34" w:rsidRPr="00371A17">
        <w:rPr>
          <w:rFonts w:ascii="Times New Roman" w:hAnsi="Times New Roman" w:cs="Times New Roman"/>
        </w:rPr>
        <w:t>single-family</w:t>
      </w:r>
      <w:r w:rsidR="00955927" w:rsidRPr="00371A17">
        <w:rPr>
          <w:rFonts w:ascii="Times New Roman" w:hAnsi="Times New Roman" w:cs="Times New Roman"/>
        </w:rPr>
        <w:t xml:space="preserve"> homes built before 1975 were to devote space to an accessory unit, 3.8 million rental units would be generated, increasing the supply of rental housing by about 10 percent” (</w:t>
      </w:r>
      <w:r w:rsidR="00EE7D34" w:rsidRPr="00371A17">
        <w:rPr>
          <w:rFonts w:ascii="Times New Roman" w:hAnsi="Times New Roman" w:cs="Times New Roman"/>
        </w:rPr>
        <w:t>pp.</w:t>
      </w:r>
      <w:r w:rsidR="00955927" w:rsidRPr="00371A17">
        <w:rPr>
          <w:rFonts w:ascii="Times New Roman" w:hAnsi="Times New Roman" w:cs="Times New Roman"/>
        </w:rPr>
        <w:t>12)</w:t>
      </w:r>
      <w:r w:rsidR="00CE5B7F" w:rsidRPr="00371A17">
        <w:rPr>
          <w:rFonts w:ascii="Times New Roman" w:hAnsi="Times New Roman" w:cs="Times New Roman"/>
        </w:rPr>
        <w:t>, at little or no public expense</w:t>
      </w:r>
      <w:r w:rsidR="00955927" w:rsidRPr="00371A17">
        <w:rPr>
          <w:rFonts w:ascii="Times New Roman" w:hAnsi="Times New Roman" w:cs="Times New Roman"/>
        </w:rPr>
        <w:t>.</w:t>
      </w:r>
      <w:r w:rsidR="00343D2A" w:rsidRPr="00371A17">
        <w:rPr>
          <w:rFonts w:ascii="Times New Roman" w:hAnsi="Times New Roman" w:cs="Times New Roman"/>
        </w:rPr>
        <w:t xml:space="preserve">  </w:t>
      </w:r>
    </w:p>
    <w:p w:rsidR="00343D2A" w:rsidRPr="00371A17" w:rsidRDefault="001B7D17" w:rsidP="00343D2A">
      <w:pPr>
        <w:spacing w:line="240" w:lineRule="auto"/>
        <w:jc w:val="both"/>
        <w:rPr>
          <w:rFonts w:ascii="Times New Roman" w:hAnsi="Times New Roman" w:cs="Times New Roman"/>
        </w:rPr>
      </w:pPr>
      <w:r w:rsidRPr="00371A17">
        <w:rPr>
          <w:rFonts w:ascii="Times New Roman" w:hAnsi="Times New Roman" w:cs="Times New Roman"/>
        </w:rPr>
        <w:t xml:space="preserve">Accessory dwelling units can also provide financial flexibility for homeowners by providing an </w:t>
      </w:r>
      <w:r w:rsidR="00EE7D34" w:rsidRPr="00371A17">
        <w:rPr>
          <w:rFonts w:ascii="Times New Roman" w:hAnsi="Times New Roman" w:cs="Times New Roman"/>
        </w:rPr>
        <w:t>opportunity</w:t>
      </w:r>
      <w:r w:rsidRPr="00371A17">
        <w:rPr>
          <w:rFonts w:ascii="Times New Roman" w:hAnsi="Times New Roman" w:cs="Times New Roman"/>
        </w:rPr>
        <w:t xml:space="preserve"> to collect rental income for a portion of their existing property </w:t>
      </w:r>
      <w:r w:rsidR="001C3E66" w:rsidRPr="00371A17">
        <w:rPr>
          <w:rFonts w:ascii="Times New Roman" w:hAnsi="Times New Roman" w:cs="Times New Roman"/>
        </w:rPr>
        <w:t>to maintain their property or to pay a portion of their mortgage or taxes</w:t>
      </w:r>
      <w:r w:rsidR="00E126FA" w:rsidRPr="00371A17">
        <w:rPr>
          <w:rFonts w:ascii="Times New Roman" w:hAnsi="Times New Roman" w:cs="Times New Roman"/>
        </w:rPr>
        <w:t xml:space="preserve"> (Santa Cruz, 2003)</w:t>
      </w:r>
      <w:r w:rsidR="001C3E66" w:rsidRPr="00371A17">
        <w:rPr>
          <w:rFonts w:ascii="Times New Roman" w:hAnsi="Times New Roman" w:cs="Times New Roman"/>
        </w:rPr>
        <w:t xml:space="preserve">, enabling people to age in place by making the ADUs available for a caregiver (Been et al, 2014), </w:t>
      </w:r>
      <w:r w:rsidRPr="00371A17">
        <w:rPr>
          <w:rFonts w:ascii="Times New Roman" w:hAnsi="Times New Roman" w:cs="Times New Roman"/>
        </w:rPr>
        <w:t>or by helping to accommodate multi-generational households</w:t>
      </w:r>
      <w:r w:rsidR="001C3E66" w:rsidRPr="00371A17">
        <w:rPr>
          <w:rFonts w:ascii="Times New Roman" w:hAnsi="Times New Roman" w:cs="Times New Roman"/>
        </w:rPr>
        <w:t xml:space="preserve"> by providing affordable and independent housing for elderly family members</w:t>
      </w:r>
      <w:r w:rsidR="001C3E66" w:rsidRPr="00371A17">
        <w:rPr>
          <w:rStyle w:val="EndnoteReference"/>
          <w:rFonts w:ascii="Times New Roman" w:hAnsi="Times New Roman" w:cs="Times New Roman"/>
        </w:rPr>
        <w:endnoteReference w:id="4"/>
      </w:r>
      <w:r w:rsidR="001C3E66" w:rsidRPr="00371A17">
        <w:rPr>
          <w:rFonts w:ascii="Times New Roman" w:hAnsi="Times New Roman" w:cs="Times New Roman"/>
        </w:rPr>
        <w:t xml:space="preserve"> or adult children</w:t>
      </w:r>
      <w:r w:rsidRPr="00371A17">
        <w:rPr>
          <w:rFonts w:ascii="Times New Roman" w:hAnsi="Times New Roman" w:cs="Times New Roman"/>
        </w:rPr>
        <w:t xml:space="preserve"> (City of Seattle, 2010</w:t>
      </w:r>
      <w:r w:rsidR="001C3E66" w:rsidRPr="00371A17">
        <w:rPr>
          <w:rFonts w:ascii="Times New Roman" w:hAnsi="Times New Roman" w:cs="Times New Roman"/>
        </w:rPr>
        <w:t>; DSHA, 2010</w:t>
      </w:r>
      <w:r w:rsidRPr="00371A17">
        <w:rPr>
          <w:rFonts w:ascii="Times New Roman" w:hAnsi="Times New Roman" w:cs="Times New Roman"/>
        </w:rPr>
        <w:t xml:space="preserve">).  </w:t>
      </w:r>
    </w:p>
    <w:p w:rsidR="00532CA6" w:rsidRPr="00371A17" w:rsidRDefault="00532CA6" w:rsidP="00532CA6">
      <w:pPr>
        <w:spacing w:after="0" w:line="240" w:lineRule="auto"/>
        <w:jc w:val="both"/>
        <w:rPr>
          <w:rFonts w:ascii="Times New Roman" w:hAnsi="Times New Roman" w:cs="Times New Roman"/>
          <w:b/>
          <w:i/>
        </w:rPr>
      </w:pPr>
      <w:r w:rsidRPr="00371A17">
        <w:rPr>
          <w:rFonts w:ascii="Times New Roman" w:hAnsi="Times New Roman" w:cs="Times New Roman"/>
          <w:b/>
          <w:i/>
        </w:rPr>
        <w:t>Barriers to Accessory Dwelling Unit (ADU) Development</w:t>
      </w:r>
    </w:p>
    <w:p w:rsidR="00B51AF7" w:rsidRPr="00371A17" w:rsidRDefault="007A25E4" w:rsidP="00A60E5D">
      <w:pPr>
        <w:spacing w:line="240" w:lineRule="auto"/>
        <w:jc w:val="both"/>
        <w:rPr>
          <w:rFonts w:ascii="Times New Roman" w:hAnsi="Times New Roman" w:cs="Times New Roman"/>
        </w:rPr>
      </w:pPr>
      <w:r w:rsidRPr="00371A17">
        <w:rPr>
          <w:rFonts w:ascii="Times New Roman" w:hAnsi="Times New Roman" w:cs="Times New Roman"/>
        </w:rPr>
        <w:t xml:space="preserve">Barriers to accessory dwelling unit development can take several forms. Single-family zoning usually precludes accessory apartments and thus is an automatic barrier. </w:t>
      </w:r>
      <w:r w:rsidR="00FA7F1B" w:rsidRPr="00371A17">
        <w:rPr>
          <w:rFonts w:ascii="Times New Roman" w:hAnsi="Times New Roman" w:cs="Times New Roman"/>
        </w:rPr>
        <w:t xml:space="preserve">A recently released report by the Bipartisan Housing Commission identified local restrictions on the development of accessory apartments as regulatory barriers that “increase the cost of housing and inhibit the development of new affordable rental housing.”  (BPC, 2013, </w:t>
      </w:r>
      <w:r w:rsidR="00EE7D34" w:rsidRPr="00371A17">
        <w:rPr>
          <w:rFonts w:ascii="Times New Roman" w:hAnsi="Times New Roman" w:cs="Times New Roman"/>
        </w:rPr>
        <w:t>pp.</w:t>
      </w:r>
      <w:r w:rsidR="00FA7F1B" w:rsidRPr="00371A17">
        <w:rPr>
          <w:rFonts w:ascii="Times New Roman" w:hAnsi="Times New Roman" w:cs="Times New Roman"/>
        </w:rPr>
        <w:t xml:space="preserve">) which was also a primary concern for micro-units.  </w:t>
      </w:r>
      <w:r w:rsidRPr="00371A17">
        <w:rPr>
          <w:rFonts w:ascii="Times New Roman" w:hAnsi="Times New Roman" w:cs="Times New Roman"/>
        </w:rPr>
        <w:t xml:space="preserve">Been et al (2014) </w:t>
      </w:r>
      <w:r w:rsidR="00A60E5D" w:rsidRPr="00371A17">
        <w:rPr>
          <w:rFonts w:ascii="Times New Roman" w:hAnsi="Times New Roman" w:cs="Times New Roman"/>
        </w:rPr>
        <w:t xml:space="preserve">note that local regulatory requirements for </w:t>
      </w:r>
      <w:r w:rsidR="00B51AF7" w:rsidRPr="00371A17">
        <w:rPr>
          <w:rFonts w:ascii="Times New Roman" w:hAnsi="Times New Roman" w:cs="Times New Roman"/>
        </w:rPr>
        <w:t xml:space="preserve">caps on building </w:t>
      </w:r>
      <w:r w:rsidR="00A60E5D" w:rsidRPr="00371A17">
        <w:rPr>
          <w:rFonts w:ascii="Times New Roman" w:hAnsi="Times New Roman" w:cs="Times New Roman"/>
        </w:rPr>
        <w:t>sizes</w:t>
      </w:r>
      <w:r w:rsidRPr="00371A17">
        <w:rPr>
          <w:rFonts w:ascii="Times New Roman" w:hAnsi="Times New Roman" w:cs="Times New Roman"/>
        </w:rPr>
        <w:t xml:space="preserve"> and impervious surfaces</w:t>
      </w:r>
      <w:r w:rsidR="00B51AF7" w:rsidRPr="00371A17">
        <w:rPr>
          <w:rFonts w:ascii="Times New Roman" w:hAnsi="Times New Roman" w:cs="Times New Roman"/>
        </w:rPr>
        <w:t xml:space="preserve">, off-street </w:t>
      </w:r>
      <w:r w:rsidR="00A60E5D" w:rsidRPr="00371A17">
        <w:rPr>
          <w:rFonts w:ascii="Times New Roman" w:hAnsi="Times New Roman" w:cs="Times New Roman"/>
        </w:rPr>
        <w:t>parking requirements</w:t>
      </w:r>
      <w:r w:rsidR="00B51AF7" w:rsidRPr="00371A17">
        <w:rPr>
          <w:rFonts w:ascii="Times New Roman" w:hAnsi="Times New Roman" w:cs="Times New Roman"/>
        </w:rPr>
        <w:t xml:space="preserve">, design requirements, and requirements that either the primary or secondary unit must be owner-occupied </w:t>
      </w:r>
      <w:r w:rsidR="00A60E5D" w:rsidRPr="00371A17">
        <w:rPr>
          <w:rFonts w:ascii="Times New Roman" w:hAnsi="Times New Roman" w:cs="Times New Roman"/>
        </w:rPr>
        <w:t xml:space="preserve">are the key challenges for </w:t>
      </w:r>
      <w:r w:rsidR="00B51AF7" w:rsidRPr="00371A17">
        <w:rPr>
          <w:rFonts w:ascii="Times New Roman" w:hAnsi="Times New Roman" w:cs="Times New Roman"/>
        </w:rPr>
        <w:t xml:space="preserve">the creation of ADUs.  </w:t>
      </w:r>
      <w:r w:rsidRPr="00371A17">
        <w:rPr>
          <w:rFonts w:ascii="Times New Roman" w:hAnsi="Times New Roman" w:cs="Times New Roman"/>
        </w:rPr>
        <w:t xml:space="preserve">This is supported by a </w:t>
      </w:r>
      <w:r w:rsidR="009A0DF8" w:rsidRPr="00371A17">
        <w:rPr>
          <w:rFonts w:ascii="Times New Roman" w:hAnsi="Times New Roman" w:cs="Times New Roman"/>
        </w:rPr>
        <w:t xml:space="preserve">study </w:t>
      </w:r>
      <w:r w:rsidRPr="00371A17">
        <w:rPr>
          <w:rFonts w:ascii="Times New Roman" w:hAnsi="Times New Roman" w:cs="Times New Roman"/>
        </w:rPr>
        <w:t xml:space="preserve">from </w:t>
      </w:r>
      <w:r w:rsidR="009A0DF8" w:rsidRPr="00371A17">
        <w:rPr>
          <w:rFonts w:ascii="Times New Roman" w:hAnsi="Times New Roman" w:cs="Times New Roman"/>
        </w:rPr>
        <w:t xml:space="preserve">the Center for Community Innovation at the University of California at Berkeley’s Institute of Urban and Regional Development (Chapple et al, 2011) </w:t>
      </w:r>
      <w:r w:rsidRPr="00371A17">
        <w:rPr>
          <w:rFonts w:ascii="Times New Roman" w:hAnsi="Times New Roman" w:cs="Times New Roman"/>
        </w:rPr>
        <w:t xml:space="preserve">which found that </w:t>
      </w:r>
      <w:r w:rsidR="00EE7D34" w:rsidRPr="00371A17">
        <w:rPr>
          <w:rFonts w:ascii="Times New Roman" w:hAnsi="Times New Roman" w:cs="Times New Roman"/>
        </w:rPr>
        <w:t>homeowners</w:t>
      </w:r>
      <w:r w:rsidR="009A0DF8" w:rsidRPr="00371A17">
        <w:rPr>
          <w:rFonts w:ascii="Times New Roman" w:hAnsi="Times New Roman" w:cs="Times New Roman"/>
        </w:rPr>
        <w:t xml:space="preserve"> were prevented from building ADUs in five East Bay cities as a result of regulatory requirement</w:t>
      </w:r>
      <w:r w:rsidR="008C7CF3" w:rsidRPr="00371A17">
        <w:rPr>
          <w:rFonts w:ascii="Times New Roman" w:hAnsi="Times New Roman" w:cs="Times New Roman"/>
        </w:rPr>
        <w:t>,</w:t>
      </w:r>
      <w:r w:rsidR="009A0DF8" w:rsidRPr="00371A17">
        <w:rPr>
          <w:rFonts w:ascii="Times New Roman" w:hAnsi="Times New Roman" w:cs="Times New Roman"/>
        </w:rPr>
        <w:t xml:space="preserve"> despite </w:t>
      </w:r>
      <w:r w:rsidR="008C7CF3" w:rsidRPr="00371A17">
        <w:rPr>
          <w:rFonts w:ascii="Times New Roman" w:hAnsi="Times New Roman" w:cs="Times New Roman"/>
        </w:rPr>
        <w:t xml:space="preserve">the existence of a </w:t>
      </w:r>
      <w:r w:rsidR="009A0DF8" w:rsidRPr="00371A17">
        <w:rPr>
          <w:rFonts w:ascii="Times New Roman" w:hAnsi="Times New Roman" w:cs="Times New Roman"/>
        </w:rPr>
        <w:t xml:space="preserve">substantial market for this housing type in these cities.  The report recommended moving from a permitting process to </w:t>
      </w:r>
      <w:r w:rsidR="00E126FA" w:rsidRPr="00371A17">
        <w:rPr>
          <w:rFonts w:ascii="Times New Roman" w:hAnsi="Times New Roman" w:cs="Times New Roman"/>
        </w:rPr>
        <w:t>as-of-right development for ADUs</w:t>
      </w:r>
      <w:r w:rsidR="009A0DF8" w:rsidRPr="00371A17">
        <w:rPr>
          <w:rFonts w:ascii="Times New Roman" w:hAnsi="Times New Roman" w:cs="Times New Roman"/>
        </w:rPr>
        <w:t>; removing land use controls, such as min</w:t>
      </w:r>
      <w:r w:rsidR="00E126FA" w:rsidRPr="00371A17">
        <w:rPr>
          <w:rFonts w:ascii="Times New Roman" w:hAnsi="Times New Roman" w:cs="Times New Roman"/>
        </w:rPr>
        <w:t>imum lot sizes,</w:t>
      </w:r>
      <w:r w:rsidR="009A0DF8" w:rsidRPr="00371A17">
        <w:rPr>
          <w:rFonts w:ascii="Times New Roman" w:hAnsi="Times New Roman" w:cs="Times New Roman"/>
        </w:rPr>
        <w:t xml:space="preserve"> and parking requirements</w:t>
      </w:r>
      <w:r w:rsidR="00E126FA" w:rsidRPr="00371A17">
        <w:rPr>
          <w:rFonts w:ascii="Times New Roman" w:hAnsi="Times New Roman" w:cs="Times New Roman"/>
        </w:rPr>
        <w:t xml:space="preserve"> </w:t>
      </w:r>
      <w:r w:rsidR="00E126FA" w:rsidRPr="00371A17">
        <w:rPr>
          <w:rFonts w:ascii="Times New Roman" w:hAnsi="Times New Roman" w:cs="Times New Roman"/>
        </w:rPr>
        <w:lastRenderedPageBreak/>
        <w:t>to allow a range of alternative solutions</w:t>
      </w:r>
      <w:r w:rsidR="009A0DF8" w:rsidRPr="00371A17">
        <w:rPr>
          <w:rFonts w:ascii="Times New Roman" w:hAnsi="Times New Roman" w:cs="Times New Roman"/>
        </w:rPr>
        <w:t>;</w:t>
      </w:r>
      <w:r w:rsidR="00E126FA" w:rsidRPr="00371A17">
        <w:rPr>
          <w:rFonts w:ascii="Times New Roman" w:hAnsi="Times New Roman" w:cs="Times New Roman"/>
        </w:rPr>
        <w:t xml:space="preserve"> establishing an amnesty program for </w:t>
      </w:r>
      <w:r w:rsidR="00EE7D34" w:rsidRPr="00371A17">
        <w:rPr>
          <w:rFonts w:ascii="Times New Roman" w:hAnsi="Times New Roman" w:cs="Times New Roman"/>
        </w:rPr>
        <w:t>existing</w:t>
      </w:r>
      <w:r w:rsidR="00E126FA" w:rsidRPr="00371A17">
        <w:rPr>
          <w:rFonts w:ascii="Times New Roman" w:hAnsi="Times New Roman" w:cs="Times New Roman"/>
        </w:rPr>
        <w:t xml:space="preserve"> units; establishing a revolving loan program to help finance development; and encourage development through programs similar to those which were successfully applied in Santa Cruz,</w:t>
      </w:r>
      <w:r w:rsidR="009A0DF8" w:rsidRPr="00371A17">
        <w:rPr>
          <w:rFonts w:ascii="Times New Roman" w:hAnsi="Times New Roman" w:cs="Times New Roman"/>
        </w:rPr>
        <w:t xml:space="preserve"> </w:t>
      </w:r>
      <w:r w:rsidR="00E126FA" w:rsidRPr="00371A17">
        <w:rPr>
          <w:rFonts w:ascii="Times New Roman" w:hAnsi="Times New Roman" w:cs="Times New Roman"/>
        </w:rPr>
        <w:t>which included technical assistance for prospective ADU landlords, pre-approved designs, low-interest loans and other resources.</w:t>
      </w:r>
    </w:p>
    <w:p w:rsidR="00B726FF" w:rsidRPr="00371A17" w:rsidRDefault="00B726FF" w:rsidP="00B726FF">
      <w:pPr>
        <w:spacing w:after="0" w:line="240" w:lineRule="auto"/>
        <w:jc w:val="both"/>
        <w:rPr>
          <w:rFonts w:ascii="Times New Roman" w:hAnsi="Times New Roman" w:cs="Times New Roman"/>
        </w:rPr>
      </w:pPr>
      <w:r w:rsidRPr="00371A17">
        <w:rPr>
          <w:rFonts w:ascii="Times New Roman" w:hAnsi="Times New Roman" w:cs="Times New Roman"/>
        </w:rPr>
        <w:t>ADU developers also face financial challenges.  Although lenders most often include future rental income into consideration for new purchase or refinance considerations, they are often unwilling to consider future rental income from ADUs to support the provision of a construction loan.  Owner-occupancy requirements by cities, as identified above, may also create an additional barrier to obtaining financing because lenders fear that, in the case of a foreclosure, they will be prohibited from renting both the units.  Lack of sufficient local market data demonstrating increased property values due to the construction of ADUs, as well as an unfamiliarity with ADU models, may also cause resistance among lenders</w:t>
      </w:r>
      <w:r w:rsidR="006E34E2" w:rsidRPr="00371A17">
        <w:rPr>
          <w:rFonts w:ascii="Times New Roman" w:hAnsi="Times New Roman" w:cs="Times New Roman"/>
        </w:rPr>
        <w:t xml:space="preserve"> (Been et al, 2014; Infranca, 2014)</w:t>
      </w:r>
      <w:r w:rsidRPr="00371A17">
        <w:rPr>
          <w:rFonts w:ascii="Times New Roman" w:hAnsi="Times New Roman" w:cs="Times New Roman"/>
        </w:rPr>
        <w:t>.</w:t>
      </w:r>
    </w:p>
    <w:p w:rsidR="00B726FF" w:rsidRPr="00371A17" w:rsidRDefault="00B726FF" w:rsidP="00FE7119">
      <w:pPr>
        <w:spacing w:after="0" w:line="240" w:lineRule="auto"/>
        <w:jc w:val="both"/>
        <w:rPr>
          <w:rFonts w:ascii="Times New Roman" w:hAnsi="Times New Roman" w:cs="Times New Roman"/>
        </w:rPr>
      </w:pPr>
    </w:p>
    <w:p w:rsidR="00A92511" w:rsidRPr="00371A17" w:rsidRDefault="00A92511" w:rsidP="00A92511">
      <w:pPr>
        <w:spacing w:line="240" w:lineRule="auto"/>
        <w:jc w:val="both"/>
        <w:rPr>
          <w:rFonts w:ascii="Times New Roman" w:hAnsi="Times New Roman" w:cs="Times New Roman"/>
        </w:rPr>
      </w:pPr>
      <w:r w:rsidRPr="00371A17">
        <w:rPr>
          <w:rFonts w:ascii="Times New Roman" w:hAnsi="Times New Roman" w:cs="Times New Roman"/>
        </w:rPr>
        <w:t xml:space="preserve">The Public Policy Institute of the American Association of Retired Persons (AARP) worked with the American Planning Association to create </w:t>
      </w:r>
      <w:r w:rsidRPr="00371A17">
        <w:rPr>
          <w:rFonts w:ascii="Times New Roman" w:hAnsi="Times New Roman" w:cs="Times New Roman"/>
          <w:i/>
        </w:rPr>
        <w:t xml:space="preserve">A Model State Act </w:t>
      </w:r>
      <w:r w:rsidR="00EE7D34" w:rsidRPr="00371A17">
        <w:rPr>
          <w:rFonts w:ascii="Times New Roman" w:hAnsi="Times New Roman" w:cs="Times New Roman"/>
          <w:i/>
        </w:rPr>
        <w:t>and</w:t>
      </w:r>
      <w:r w:rsidRPr="00371A17">
        <w:rPr>
          <w:rFonts w:ascii="Times New Roman" w:hAnsi="Times New Roman" w:cs="Times New Roman"/>
          <w:i/>
        </w:rPr>
        <w:t xml:space="preserve"> Local Ordinance</w:t>
      </w:r>
      <w:r w:rsidRPr="00371A17">
        <w:rPr>
          <w:rFonts w:ascii="Times New Roman" w:hAnsi="Times New Roman" w:cs="Times New Roman"/>
        </w:rPr>
        <w:t xml:space="preserve"> for accessory ADUs (Cobb and Dvorak, 2000), adoption of which they argue are the more effective strategy for removing barriers to ADU development.  </w:t>
      </w:r>
      <w:r w:rsidR="00E54150" w:rsidRPr="00371A17">
        <w:rPr>
          <w:rFonts w:ascii="Times New Roman" w:hAnsi="Times New Roman" w:cs="Times New Roman"/>
        </w:rPr>
        <w:t xml:space="preserve">A few states have passed legislation that requires or encourages local municipalities to accommodate accessory dwelling units.  </w:t>
      </w:r>
      <w:r w:rsidRPr="00371A17">
        <w:rPr>
          <w:rFonts w:ascii="Times New Roman" w:hAnsi="Times New Roman" w:cs="Times New Roman"/>
        </w:rPr>
        <w:t>California has implemented laws that require municipalities to allow ADUs to be built as-of-right</w:t>
      </w:r>
      <w:r w:rsidRPr="00371A17">
        <w:rPr>
          <w:rStyle w:val="EndnoteReference"/>
          <w:rFonts w:ascii="Times New Roman" w:hAnsi="Times New Roman" w:cs="Times New Roman"/>
        </w:rPr>
        <w:endnoteReference w:id="5"/>
      </w:r>
      <w:r w:rsidRPr="00371A17">
        <w:rPr>
          <w:rFonts w:ascii="Times New Roman" w:hAnsi="Times New Roman" w:cs="Times New Roman"/>
        </w:rPr>
        <w:t>, mandating that they be considered through a ministerial process that cannot involve discretionary review or public hear</w:t>
      </w:r>
      <w:r w:rsidR="00EE7D34">
        <w:rPr>
          <w:rFonts w:ascii="Times New Roman" w:hAnsi="Times New Roman" w:cs="Times New Roman"/>
        </w:rPr>
        <w:t>ings (3CAL. GOV. CODE § 65852.2</w:t>
      </w:r>
      <w:r w:rsidRPr="00371A17">
        <w:rPr>
          <w:rFonts w:ascii="Times New Roman" w:hAnsi="Times New Roman" w:cs="Times New Roman"/>
        </w:rPr>
        <w:t xml:space="preserve">).  Similarly, Washington requires all counties and cities with over 20,000 residents to encourage ADU development in family zones and Connecticut qualifies ADUs for purposes of the state’s land use appeals procedure as long as the </w:t>
      </w:r>
      <w:r w:rsidR="00EE7D34" w:rsidRPr="00371A17">
        <w:rPr>
          <w:rFonts w:ascii="Times New Roman" w:hAnsi="Times New Roman" w:cs="Times New Roman"/>
        </w:rPr>
        <w:t>unit remains</w:t>
      </w:r>
      <w:r w:rsidRPr="00371A17">
        <w:rPr>
          <w:rFonts w:ascii="Times New Roman" w:hAnsi="Times New Roman" w:cs="Times New Roman"/>
        </w:rPr>
        <w:t xml:space="preserve"> affordable for a minimum of ten years. </w:t>
      </w:r>
    </w:p>
    <w:p w:rsidR="00FE7119" w:rsidRPr="00371A17" w:rsidRDefault="00FE7119" w:rsidP="00BB71FE">
      <w:pPr>
        <w:spacing w:after="0" w:line="240" w:lineRule="auto"/>
        <w:jc w:val="both"/>
        <w:rPr>
          <w:rFonts w:ascii="Times New Roman" w:hAnsi="Times New Roman" w:cs="Times New Roman"/>
          <w:b/>
          <w:i/>
        </w:rPr>
      </w:pPr>
    </w:p>
    <w:p w:rsidR="00BB71FE" w:rsidRPr="00371A17" w:rsidRDefault="00BB71FE" w:rsidP="00BB71FE">
      <w:pPr>
        <w:spacing w:after="0" w:line="240" w:lineRule="auto"/>
        <w:jc w:val="both"/>
        <w:rPr>
          <w:rFonts w:ascii="Times New Roman" w:hAnsi="Times New Roman" w:cs="Times New Roman"/>
          <w:b/>
          <w:i/>
        </w:rPr>
      </w:pPr>
      <w:r w:rsidRPr="00371A17">
        <w:rPr>
          <w:rFonts w:ascii="Times New Roman" w:hAnsi="Times New Roman" w:cs="Times New Roman"/>
          <w:b/>
          <w:i/>
        </w:rPr>
        <w:t xml:space="preserve">Case Example: </w:t>
      </w:r>
      <w:r w:rsidR="003E003D" w:rsidRPr="00371A17">
        <w:rPr>
          <w:rFonts w:ascii="Times New Roman" w:hAnsi="Times New Roman" w:cs="Times New Roman"/>
          <w:b/>
          <w:i/>
        </w:rPr>
        <w:t>Vancouver, British Columbia, Canada</w:t>
      </w:r>
    </w:p>
    <w:p w:rsidR="009022FA" w:rsidRPr="00371A17" w:rsidRDefault="006108E7" w:rsidP="00AD4FA3">
      <w:pPr>
        <w:spacing w:line="240" w:lineRule="auto"/>
        <w:jc w:val="both"/>
        <w:rPr>
          <w:rFonts w:ascii="Times New Roman" w:hAnsi="Times New Roman" w:cs="Times New Roman"/>
        </w:rPr>
      </w:pPr>
      <w:r w:rsidRPr="00371A17">
        <w:rPr>
          <w:rFonts w:ascii="Times New Roman" w:hAnsi="Times New Roman" w:cs="Times New Roman"/>
        </w:rPr>
        <w:t xml:space="preserve">Like Sydney, Vancouver faces severe housing challenges with the highest housing prices in Canada and low vacancy rates in the rental </w:t>
      </w:r>
      <w:r w:rsidR="00EE7D34" w:rsidRPr="00371A17">
        <w:rPr>
          <w:rFonts w:ascii="Times New Roman" w:hAnsi="Times New Roman" w:cs="Times New Roman"/>
        </w:rPr>
        <w:t>stock.</w:t>
      </w:r>
      <w:r w:rsidRPr="00371A17">
        <w:rPr>
          <w:rFonts w:ascii="Times New Roman" w:hAnsi="Times New Roman" w:cs="Times New Roman"/>
        </w:rPr>
        <w:t xml:space="preserve">  </w:t>
      </w:r>
      <w:r w:rsidR="00C9211A" w:rsidRPr="00371A17">
        <w:rPr>
          <w:rFonts w:ascii="Times New Roman" w:hAnsi="Times New Roman" w:cs="Times New Roman"/>
        </w:rPr>
        <w:t xml:space="preserve">With significant population growth projected, as well as a decrease in household size (Vancouver, 2015), affordable housing issues have become critical for the City.  </w:t>
      </w:r>
      <w:r w:rsidRPr="00371A17">
        <w:rPr>
          <w:rFonts w:ascii="Times New Roman" w:hAnsi="Times New Roman" w:cs="Times New Roman"/>
        </w:rPr>
        <w:t xml:space="preserve">Nearly 40% of all Vancouver households spend more than 30% of their income on housing, with this statistic increasing to nearly 50% for residents under 34 </w:t>
      </w:r>
      <w:r w:rsidR="00C9211A" w:rsidRPr="00371A17">
        <w:rPr>
          <w:rFonts w:ascii="Times New Roman" w:hAnsi="Times New Roman" w:cs="Times New Roman"/>
        </w:rPr>
        <w:t>years of age</w:t>
      </w:r>
      <w:r w:rsidRPr="00371A17">
        <w:rPr>
          <w:rFonts w:ascii="Times New Roman" w:hAnsi="Times New Roman" w:cs="Times New Roman"/>
        </w:rPr>
        <w:t>.  In addition, much of the city’s purpose-built rental stock was built in the 1960s and 1970s and is badly in need of renewal.</w:t>
      </w:r>
      <w:r w:rsidR="009022FA" w:rsidRPr="00371A17">
        <w:rPr>
          <w:rFonts w:ascii="Times New Roman" w:hAnsi="Times New Roman" w:cs="Times New Roman"/>
        </w:rPr>
        <w:t xml:space="preserve">  The Mayor’s Task Force on Housing Affordability</w:t>
      </w:r>
      <w:r w:rsidRPr="00371A17">
        <w:rPr>
          <w:rFonts w:ascii="Times New Roman" w:hAnsi="Times New Roman" w:cs="Times New Roman"/>
        </w:rPr>
        <w:t xml:space="preserve"> </w:t>
      </w:r>
      <w:r w:rsidR="00EE7D34" w:rsidRPr="00371A17">
        <w:rPr>
          <w:rFonts w:ascii="Times New Roman" w:hAnsi="Times New Roman" w:cs="Times New Roman"/>
        </w:rPr>
        <w:t>noted</w:t>
      </w:r>
      <w:r w:rsidR="009022FA" w:rsidRPr="00371A17">
        <w:rPr>
          <w:rFonts w:ascii="Times New Roman" w:hAnsi="Times New Roman" w:cs="Times New Roman"/>
        </w:rPr>
        <w:t xml:space="preserve"> that in addition to critical issues related lower-income and </w:t>
      </w:r>
      <w:r w:rsidR="00EE7D34" w:rsidRPr="00371A17">
        <w:rPr>
          <w:rFonts w:ascii="Times New Roman" w:hAnsi="Times New Roman" w:cs="Times New Roman"/>
        </w:rPr>
        <w:t>supportive</w:t>
      </w:r>
      <w:r w:rsidR="009022FA" w:rsidRPr="00371A17">
        <w:rPr>
          <w:rFonts w:ascii="Times New Roman" w:hAnsi="Times New Roman" w:cs="Times New Roman"/>
        </w:rPr>
        <w:t xml:space="preserve"> housing efforts, </w:t>
      </w:r>
      <w:r w:rsidRPr="00371A17">
        <w:rPr>
          <w:rFonts w:ascii="Times New Roman" w:hAnsi="Times New Roman" w:cs="Times New Roman"/>
        </w:rPr>
        <w:t xml:space="preserve">Vancouver also needs </w:t>
      </w:r>
      <w:r w:rsidR="009022FA" w:rsidRPr="00371A17">
        <w:rPr>
          <w:rFonts w:ascii="Times New Roman" w:hAnsi="Times New Roman" w:cs="Times New Roman"/>
        </w:rPr>
        <w:t xml:space="preserve">to create </w:t>
      </w:r>
      <w:r w:rsidRPr="00371A17">
        <w:rPr>
          <w:rFonts w:ascii="Times New Roman" w:hAnsi="Times New Roman" w:cs="Times New Roman"/>
        </w:rPr>
        <w:t xml:space="preserve">a range of housing options for its middle and moderate income </w:t>
      </w:r>
      <w:r w:rsidR="009022FA" w:rsidRPr="00371A17">
        <w:rPr>
          <w:rFonts w:ascii="Times New Roman" w:hAnsi="Times New Roman" w:cs="Times New Roman"/>
        </w:rPr>
        <w:t xml:space="preserve">households, as most people in this category are unable to afford the costs of home ownership. The combination of low vacancy rates for rental stock and rising rental rates has exacerbated the affordable rental housing challenge.  Furthermore, like Sydney, much of the housing exists in one of two typologies - single family homes on single lots and apartment buildings (largely strata and some purpose built rental).  Very few options beyond these two </w:t>
      </w:r>
      <w:r w:rsidR="00EE7D34" w:rsidRPr="00371A17">
        <w:rPr>
          <w:rFonts w:ascii="Times New Roman" w:hAnsi="Times New Roman" w:cs="Times New Roman"/>
        </w:rPr>
        <w:t>typologies</w:t>
      </w:r>
      <w:r w:rsidR="009022FA" w:rsidRPr="00371A17">
        <w:rPr>
          <w:rFonts w:ascii="Times New Roman" w:hAnsi="Times New Roman" w:cs="Times New Roman"/>
        </w:rPr>
        <w:t xml:space="preserve"> exist to meet the needs of fam</w:t>
      </w:r>
      <w:r w:rsidR="00DF2359" w:rsidRPr="00371A17">
        <w:rPr>
          <w:rFonts w:ascii="Times New Roman" w:hAnsi="Times New Roman" w:cs="Times New Roman"/>
        </w:rPr>
        <w:t xml:space="preserve">ilies and smaller households </w:t>
      </w:r>
      <w:r w:rsidR="009022FA" w:rsidRPr="00371A17">
        <w:rPr>
          <w:rFonts w:ascii="Times New Roman" w:hAnsi="Times New Roman" w:cs="Times New Roman"/>
        </w:rPr>
        <w:t>(Vancouver, 2012).</w:t>
      </w:r>
    </w:p>
    <w:p w:rsidR="00800AEB" w:rsidRPr="00371A17" w:rsidRDefault="00AB22A2" w:rsidP="00033E18">
      <w:pPr>
        <w:spacing w:line="240" w:lineRule="auto"/>
        <w:jc w:val="both"/>
        <w:rPr>
          <w:rFonts w:ascii="Times New Roman" w:hAnsi="Times New Roman" w:cs="Times New Roman"/>
        </w:rPr>
      </w:pPr>
      <w:r w:rsidRPr="00371A17">
        <w:rPr>
          <w:rFonts w:ascii="Times New Roman" w:hAnsi="Times New Roman" w:cs="Times New Roman"/>
        </w:rPr>
        <w:t xml:space="preserve">To address the supply shortage of rental housing, the City Council approved the Short Term Incentives for Rental (STIR) Program (2009) to incentivize purpose built rental housing development as well as increasing the opportunities for secondary rental development through the expansion of both the Laneway Housing </w:t>
      </w:r>
      <w:r w:rsidR="00D214DA" w:rsidRPr="00371A17">
        <w:rPr>
          <w:rFonts w:ascii="Times New Roman" w:hAnsi="Times New Roman" w:cs="Times New Roman"/>
        </w:rPr>
        <w:t xml:space="preserve">program </w:t>
      </w:r>
      <w:r w:rsidRPr="00371A17">
        <w:rPr>
          <w:rFonts w:ascii="Times New Roman" w:hAnsi="Times New Roman" w:cs="Times New Roman"/>
        </w:rPr>
        <w:t>and the Secondary Suite program</w:t>
      </w:r>
      <w:r w:rsidR="00D214DA" w:rsidRPr="00371A17">
        <w:rPr>
          <w:rFonts w:ascii="Times New Roman" w:hAnsi="Times New Roman" w:cs="Times New Roman"/>
        </w:rPr>
        <w:t xml:space="preserve"> (which introduced two new forms of secondary dwellings</w:t>
      </w:r>
      <w:r w:rsidR="00EE7D34" w:rsidRPr="00371A17">
        <w:rPr>
          <w:rFonts w:ascii="Times New Roman" w:hAnsi="Times New Roman" w:cs="Times New Roman"/>
        </w:rPr>
        <w:t>) in</w:t>
      </w:r>
      <w:r w:rsidRPr="00371A17">
        <w:rPr>
          <w:rFonts w:ascii="Times New Roman" w:hAnsi="Times New Roman" w:cs="Times New Roman"/>
        </w:rPr>
        <w:t xml:space="preserve"> single-family neighbourhoods.</w:t>
      </w:r>
      <w:r w:rsidR="00DF2359" w:rsidRPr="00371A17">
        <w:rPr>
          <w:rFonts w:ascii="Times New Roman" w:hAnsi="Times New Roman" w:cs="Times New Roman"/>
        </w:rPr>
        <w:t xml:space="preserve">  </w:t>
      </w:r>
      <w:r w:rsidRPr="00371A17">
        <w:rPr>
          <w:rFonts w:ascii="Times New Roman" w:hAnsi="Times New Roman" w:cs="Times New Roman"/>
        </w:rPr>
        <w:t>The Vancouver Housing and Homelessness Strategy, approved in July 2011 set a target of 5,000 new units of secured market rental housing to be achieved by 2021.  Between January 1, 2010 and December 31, 2014, these programs added 3,783 units of secured market rental housing (representing a 660% increase in annual approved new rental units compared to the proceeding five years).  This success demonstrates how incentive programs offered by the city can successfully encourage market rental supply without senior government assistance</w:t>
      </w:r>
      <w:r w:rsidR="00DF2359" w:rsidRPr="00371A17">
        <w:rPr>
          <w:rFonts w:ascii="Times New Roman" w:hAnsi="Times New Roman" w:cs="Times New Roman"/>
        </w:rPr>
        <w:t xml:space="preserve"> (Vancouver, 2015)</w:t>
      </w:r>
      <w:r w:rsidRPr="00371A17">
        <w:rPr>
          <w:rFonts w:ascii="Times New Roman" w:hAnsi="Times New Roman" w:cs="Times New Roman"/>
        </w:rPr>
        <w:t>.</w:t>
      </w:r>
    </w:p>
    <w:p w:rsidR="001617CC" w:rsidRPr="00371A17" w:rsidRDefault="001617CC" w:rsidP="00033E18">
      <w:pPr>
        <w:spacing w:line="240" w:lineRule="auto"/>
        <w:jc w:val="both"/>
        <w:rPr>
          <w:rFonts w:ascii="Times New Roman" w:hAnsi="Times New Roman" w:cs="Times New Roman"/>
        </w:rPr>
      </w:pPr>
      <w:r w:rsidRPr="00371A17">
        <w:rPr>
          <w:rFonts w:ascii="Times New Roman" w:hAnsi="Times New Roman" w:cs="Times New Roman"/>
        </w:rPr>
        <w:lastRenderedPageBreak/>
        <w:t xml:space="preserve">Secondary suites (a form of ADUs) have been a facet of Vancouver’s housing supply since the War Measures Act (1940) encouraged the creation of additional suites in single-family neighbourhoods as a way of relieving housing shortages.  However, since that time secondary suites have experienced illegality (resulting from regulatory changes in 1956) but continued increase regardless.  In 1988, a plebiscite was held as part of the civic election resulting </w:t>
      </w:r>
      <w:r w:rsidR="00D214DA" w:rsidRPr="00371A17">
        <w:rPr>
          <w:rFonts w:ascii="Times New Roman" w:hAnsi="Times New Roman" w:cs="Times New Roman"/>
        </w:rPr>
        <w:t xml:space="preserve">and, </w:t>
      </w:r>
      <w:r w:rsidRPr="00371A17">
        <w:rPr>
          <w:rFonts w:ascii="Times New Roman" w:hAnsi="Times New Roman" w:cs="Times New Roman"/>
        </w:rPr>
        <w:t>in communities where voters responded favourably</w:t>
      </w:r>
      <w:r w:rsidR="00D214DA" w:rsidRPr="00371A17">
        <w:rPr>
          <w:rFonts w:ascii="Times New Roman" w:hAnsi="Times New Roman" w:cs="Times New Roman"/>
        </w:rPr>
        <w:t xml:space="preserve">, rezoning resulted in 47% of the City’s RS-1 properties being rezoned to RS-1S to enable secondary suites by 1992.  </w:t>
      </w:r>
      <w:r w:rsidRPr="00371A17">
        <w:rPr>
          <w:rFonts w:ascii="Times New Roman" w:hAnsi="Times New Roman" w:cs="Times New Roman"/>
        </w:rPr>
        <w:t xml:space="preserve">In April 2004, </w:t>
      </w:r>
      <w:r w:rsidR="00D214DA" w:rsidRPr="00371A17">
        <w:rPr>
          <w:rFonts w:ascii="Times New Roman" w:hAnsi="Times New Roman" w:cs="Times New Roman"/>
        </w:rPr>
        <w:t xml:space="preserve">City </w:t>
      </w:r>
      <w:r w:rsidRPr="00371A17">
        <w:rPr>
          <w:rFonts w:ascii="Times New Roman" w:hAnsi="Times New Roman" w:cs="Times New Roman"/>
        </w:rPr>
        <w:t>Coun</w:t>
      </w:r>
      <w:bookmarkStart w:id="0" w:name="_GoBack"/>
      <w:bookmarkEnd w:id="0"/>
      <w:r w:rsidRPr="00371A17">
        <w:rPr>
          <w:rFonts w:ascii="Times New Roman" w:hAnsi="Times New Roman" w:cs="Times New Roman"/>
        </w:rPr>
        <w:t>cil extended secondary suite</w:t>
      </w:r>
      <w:r w:rsidR="00D214DA" w:rsidRPr="00371A17">
        <w:rPr>
          <w:rFonts w:ascii="Times New Roman" w:hAnsi="Times New Roman" w:cs="Times New Roman"/>
        </w:rPr>
        <w:t xml:space="preserve"> zoning</w:t>
      </w:r>
      <w:r w:rsidRPr="00371A17">
        <w:rPr>
          <w:rFonts w:ascii="Times New Roman" w:hAnsi="Times New Roman" w:cs="Times New Roman"/>
        </w:rPr>
        <w:t xml:space="preserve"> city-wide, permitting secondary suites in </w:t>
      </w:r>
      <w:r w:rsidR="00EE7D34" w:rsidRPr="00371A17">
        <w:rPr>
          <w:rFonts w:ascii="Times New Roman" w:hAnsi="Times New Roman" w:cs="Times New Roman"/>
        </w:rPr>
        <w:t>single-family</w:t>
      </w:r>
      <w:r w:rsidRPr="00371A17">
        <w:rPr>
          <w:rFonts w:ascii="Times New Roman" w:hAnsi="Times New Roman" w:cs="Times New Roman"/>
        </w:rPr>
        <w:t xml:space="preserve"> dwellings in all RS, RT (two-family) and RM (multi-family) zoning districts. Between 2004 and 2006, Council also reduced the barriers hindering the legalization of existing suites </w:t>
      </w:r>
      <w:r w:rsidR="00D214DA" w:rsidRPr="00371A17">
        <w:rPr>
          <w:rFonts w:ascii="Times New Roman" w:hAnsi="Times New Roman" w:cs="Times New Roman"/>
        </w:rPr>
        <w:t xml:space="preserve">and the creation of new suites.  Metro Vancouver’s assessment of regional residential capacity, using the 2009 BC Assessment Roll, estimates that of the 68,000 properties in Metro Vancouver, 24,000 (or about 35%) have a secondary suite </w:t>
      </w:r>
      <w:r w:rsidR="00030A9F" w:rsidRPr="00371A17">
        <w:rPr>
          <w:rFonts w:ascii="Times New Roman" w:hAnsi="Times New Roman" w:cs="Times New Roman"/>
        </w:rPr>
        <w:t>(Vancouver, 2015).</w:t>
      </w:r>
      <w:r w:rsidR="00D214DA" w:rsidRPr="00371A17">
        <w:rPr>
          <w:rFonts w:ascii="Times New Roman" w:hAnsi="Times New Roman" w:cs="Times New Roman"/>
        </w:rPr>
        <w:t xml:space="preserve"> </w:t>
      </w:r>
    </w:p>
    <w:p w:rsidR="00E2641C" w:rsidRPr="00371A17" w:rsidRDefault="00AB22A2" w:rsidP="00E2641C">
      <w:pPr>
        <w:spacing w:line="240" w:lineRule="auto"/>
        <w:jc w:val="both"/>
        <w:rPr>
          <w:rFonts w:ascii="Times New Roman" w:hAnsi="Times New Roman" w:cs="Times New Roman"/>
        </w:rPr>
      </w:pPr>
      <w:r w:rsidRPr="00371A17">
        <w:rPr>
          <w:rFonts w:ascii="Times New Roman" w:hAnsi="Times New Roman" w:cs="Times New Roman"/>
        </w:rPr>
        <w:t>The L</w:t>
      </w:r>
      <w:r w:rsidR="00412C5B" w:rsidRPr="00371A17">
        <w:rPr>
          <w:rFonts w:ascii="Times New Roman" w:hAnsi="Times New Roman" w:cs="Times New Roman"/>
        </w:rPr>
        <w:t xml:space="preserve">aneway </w:t>
      </w:r>
      <w:r w:rsidRPr="00371A17">
        <w:rPr>
          <w:rFonts w:ascii="Times New Roman" w:hAnsi="Times New Roman" w:cs="Times New Roman"/>
        </w:rPr>
        <w:t>H</w:t>
      </w:r>
      <w:r w:rsidR="00412C5B" w:rsidRPr="00371A17">
        <w:rPr>
          <w:rFonts w:ascii="Times New Roman" w:hAnsi="Times New Roman" w:cs="Times New Roman"/>
        </w:rPr>
        <w:t xml:space="preserve">ousing program </w:t>
      </w:r>
      <w:r w:rsidR="00DF2359" w:rsidRPr="00371A17">
        <w:rPr>
          <w:rFonts w:ascii="Times New Roman" w:hAnsi="Times New Roman" w:cs="Times New Roman"/>
        </w:rPr>
        <w:t xml:space="preserve">is a unique facet of the affordable </w:t>
      </w:r>
      <w:r w:rsidR="00EE7D34" w:rsidRPr="00371A17">
        <w:rPr>
          <w:rFonts w:ascii="Times New Roman" w:hAnsi="Times New Roman" w:cs="Times New Roman"/>
        </w:rPr>
        <w:t>housing</w:t>
      </w:r>
      <w:r w:rsidR="00DF2359" w:rsidRPr="00371A17">
        <w:rPr>
          <w:rFonts w:ascii="Times New Roman" w:hAnsi="Times New Roman" w:cs="Times New Roman"/>
        </w:rPr>
        <w:t xml:space="preserve"> strategy</w:t>
      </w:r>
      <w:r w:rsidR="00E2641C" w:rsidRPr="00371A17">
        <w:rPr>
          <w:rFonts w:ascii="Times New Roman" w:hAnsi="Times New Roman" w:cs="Times New Roman"/>
        </w:rPr>
        <w:t xml:space="preserve"> and has proven to be so </w:t>
      </w:r>
      <w:r w:rsidR="00E2641C" w:rsidRPr="00327E7D">
        <w:rPr>
          <w:rFonts w:ascii="Times New Roman" w:hAnsi="Times New Roman" w:cs="Times New Roman"/>
        </w:rPr>
        <w:t>successful that it was expanded to all residential zones in 2013</w:t>
      </w:r>
      <w:r w:rsidR="00DF2359" w:rsidRPr="00327E7D">
        <w:rPr>
          <w:rFonts w:ascii="Times New Roman" w:hAnsi="Times New Roman" w:cs="Times New Roman"/>
        </w:rPr>
        <w:t xml:space="preserve">.  </w:t>
      </w:r>
      <w:r w:rsidR="00E2641C" w:rsidRPr="00327E7D">
        <w:rPr>
          <w:rFonts w:ascii="Times New Roman" w:hAnsi="Times New Roman" w:cs="Times New Roman"/>
        </w:rPr>
        <w:t xml:space="preserve">The program </w:t>
      </w:r>
      <w:r w:rsidR="006108E7" w:rsidRPr="00327E7D">
        <w:rPr>
          <w:rFonts w:ascii="Times New Roman" w:hAnsi="Times New Roman" w:cs="Times New Roman"/>
        </w:rPr>
        <w:t xml:space="preserve">enables </w:t>
      </w:r>
      <w:r w:rsidR="00EE7D34" w:rsidRPr="00327E7D">
        <w:rPr>
          <w:rFonts w:ascii="Times New Roman" w:hAnsi="Times New Roman" w:cs="Times New Roman"/>
        </w:rPr>
        <w:t xml:space="preserve">homeowners </w:t>
      </w:r>
      <w:r w:rsidR="006108E7" w:rsidRPr="00327E7D">
        <w:rPr>
          <w:rFonts w:ascii="Times New Roman" w:hAnsi="Times New Roman" w:cs="Times New Roman"/>
        </w:rPr>
        <w:t xml:space="preserve">in all RS single family zones to build small detached </w:t>
      </w:r>
      <w:r w:rsidR="00327E7D" w:rsidRPr="00327E7D">
        <w:rPr>
          <w:rFonts w:ascii="Times New Roman" w:hAnsi="Times New Roman" w:cs="Times New Roman"/>
        </w:rPr>
        <w:t xml:space="preserve">units </w:t>
      </w:r>
      <w:r w:rsidR="006108E7" w:rsidRPr="00327E7D">
        <w:rPr>
          <w:rFonts w:ascii="Times New Roman" w:hAnsi="Times New Roman" w:cs="Times New Roman"/>
        </w:rPr>
        <w:t>at the rear of their lot near</w:t>
      </w:r>
      <w:r w:rsidR="00327E7D" w:rsidRPr="00327E7D">
        <w:rPr>
          <w:rFonts w:ascii="Times New Roman" w:hAnsi="Times New Roman" w:cs="Times New Roman"/>
        </w:rPr>
        <w:t xml:space="preserve"> a laneway</w:t>
      </w:r>
      <w:r w:rsidR="00EE7D34" w:rsidRPr="00327E7D">
        <w:rPr>
          <w:rFonts w:ascii="Times New Roman" w:hAnsi="Times New Roman" w:cs="Times New Roman"/>
        </w:rPr>
        <w:t xml:space="preserve">, </w:t>
      </w:r>
      <w:r w:rsidR="006108E7" w:rsidRPr="00327E7D">
        <w:rPr>
          <w:rFonts w:ascii="Times New Roman" w:hAnsi="Times New Roman" w:cs="Times New Roman"/>
        </w:rPr>
        <w:t xml:space="preserve">and </w:t>
      </w:r>
      <w:r w:rsidR="00327E7D" w:rsidRPr="00327E7D">
        <w:rPr>
          <w:rFonts w:ascii="Times New Roman" w:hAnsi="Times New Roman" w:cs="Times New Roman"/>
        </w:rPr>
        <w:t xml:space="preserve">include </w:t>
      </w:r>
      <w:r w:rsidR="006108E7" w:rsidRPr="00327E7D">
        <w:rPr>
          <w:rFonts w:ascii="Times New Roman" w:hAnsi="Times New Roman" w:cs="Times New Roman"/>
        </w:rPr>
        <w:t xml:space="preserve">both a dwelling unit </w:t>
      </w:r>
      <w:r w:rsidR="006108E7" w:rsidRPr="00327E7D">
        <w:rPr>
          <w:rFonts w:ascii="Times New Roman" w:hAnsi="Times New Roman" w:cs="Times New Roman"/>
          <w:i/>
        </w:rPr>
        <w:t>and</w:t>
      </w:r>
      <w:r w:rsidR="006108E7" w:rsidRPr="00327E7D">
        <w:rPr>
          <w:rFonts w:ascii="Times New Roman" w:hAnsi="Times New Roman" w:cs="Times New Roman"/>
        </w:rPr>
        <w:t xml:space="preserve"> parking /accessory uses.  Laneway houses are permitted in addition to a secondary suite in the main house</w:t>
      </w:r>
      <w:r w:rsidR="006108E7" w:rsidRPr="00371A17">
        <w:rPr>
          <w:rFonts w:ascii="Times New Roman" w:hAnsi="Times New Roman" w:cs="Times New Roman"/>
        </w:rPr>
        <w:t xml:space="preserve"> and may be used for </w:t>
      </w:r>
      <w:r w:rsidR="00EE7D34" w:rsidRPr="00371A17">
        <w:rPr>
          <w:rFonts w:ascii="Times New Roman" w:hAnsi="Times New Roman" w:cs="Times New Roman"/>
        </w:rPr>
        <w:t>family</w:t>
      </w:r>
      <w:r w:rsidR="006108E7" w:rsidRPr="00371A17">
        <w:rPr>
          <w:rFonts w:ascii="Times New Roman" w:hAnsi="Times New Roman" w:cs="Times New Roman"/>
        </w:rPr>
        <w:t xml:space="preserve"> use (e.g. for multi-generational families) or rented to non-related individuals</w:t>
      </w:r>
      <w:r w:rsidR="00800AEB" w:rsidRPr="00371A17">
        <w:rPr>
          <w:rFonts w:ascii="Times New Roman" w:hAnsi="Times New Roman" w:cs="Times New Roman"/>
        </w:rPr>
        <w:t xml:space="preserve">.  The City believes this solution will provide new housing choices in single family residential areas, offer </w:t>
      </w:r>
      <w:r w:rsidR="00EE7D34" w:rsidRPr="00371A17">
        <w:rPr>
          <w:rFonts w:ascii="Times New Roman" w:hAnsi="Times New Roman" w:cs="Times New Roman"/>
        </w:rPr>
        <w:t>existing</w:t>
      </w:r>
      <w:r w:rsidR="00800AEB" w:rsidRPr="00371A17">
        <w:rPr>
          <w:rFonts w:ascii="Times New Roman" w:hAnsi="Times New Roman" w:cs="Times New Roman"/>
        </w:rPr>
        <w:t xml:space="preserve"> homeowners </w:t>
      </w:r>
      <w:r w:rsidR="00EE7D34" w:rsidRPr="00371A17">
        <w:rPr>
          <w:rFonts w:ascii="Times New Roman" w:hAnsi="Times New Roman" w:cs="Times New Roman"/>
        </w:rPr>
        <w:t>opportunities</w:t>
      </w:r>
      <w:r w:rsidR="00800AEB" w:rsidRPr="00371A17">
        <w:rPr>
          <w:rFonts w:ascii="Times New Roman" w:hAnsi="Times New Roman" w:cs="Times New Roman"/>
        </w:rPr>
        <w:t xml:space="preserve"> for additional income and/or to improve the value of their home, enhance laneways by making them greener and safer</w:t>
      </w:r>
      <w:r w:rsidR="009022FA" w:rsidRPr="00371A17">
        <w:rPr>
          <w:rFonts w:ascii="Times New Roman" w:hAnsi="Times New Roman" w:cs="Times New Roman"/>
        </w:rPr>
        <w:t xml:space="preserve"> (Vancouver, 2013)</w:t>
      </w:r>
      <w:r w:rsidR="006108E7" w:rsidRPr="00371A17">
        <w:rPr>
          <w:rFonts w:ascii="Times New Roman" w:hAnsi="Times New Roman" w:cs="Times New Roman"/>
        </w:rPr>
        <w:t>.</w:t>
      </w:r>
      <w:r w:rsidR="00E2641C" w:rsidRPr="00371A17">
        <w:rPr>
          <w:rFonts w:ascii="Times New Roman" w:hAnsi="Times New Roman" w:cs="Times New Roman"/>
        </w:rPr>
        <w:t xml:space="preserve">  Between 2009 and 2013, over 500 laneway dwellings were built in RS zones, with more on the pipeline. </w:t>
      </w:r>
    </w:p>
    <w:p w:rsidR="006108E7" w:rsidRPr="00371A17" w:rsidRDefault="00800AEB" w:rsidP="00033E18">
      <w:pPr>
        <w:spacing w:line="240" w:lineRule="auto"/>
        <w:jc w:val="both"/>
        <w:rPr>
          <w:rFonts w:ascii="Times New Roman" w:hAnsi="Times New Roman" w:cs="Times New Roman"/>
        </w:rPr>
      </w:pPr>
      <w:r w:rsidRPr="00371A17">
        <w:rPr>
          <w:rFonts w:ascii="Times New Roman" w:hAnsi="Times New Roman" w:cs="Times New Roman"/>
        </w:rPr>
        <w:t>In 2012, t</w:t>
      </w:r>
      <w:r w:rsidR="009022FA" w:rsidRPr="00371A17">
        <w:rPr>
          <w:rFonts w:ascii="Times New Roman" w:hAnsi="Times New Roman" w:cs="Times New Roman"/>
        </w:rPr>
        <w:t xml:space="preserve">he </w:t>
      </w:r>
      <w:r w:rsidR="006108E7" w:rsidRPr="00371A17">
        <w:rPr>
          <w:rFonts w:ascii="Times New Roman" w:hAnsi="Times New Roman" w:cs="Times New Roman"/>
        </w:rPr>
        <w:t xml:space="preserve">Mayor’s Task Force on Housing Affordability </w:t>
      </w:r>
      <w:r w:rsidR="009022FA" w:rsidRPr="00371A17">
        <w:rPr>
          <w:rFonts w:ascii="Times New Roman" w:hAnsi="Times New Roman" w:cs="Times New Roman"/>
        </w:rPr>
        <w:t xml:space="preserve">(The Task Force) proposed a number of initiatives to address the need to broaden the choices of housing form, achieve greater density and by extension increase the diversity and affordability of housing.  </w:t>
      </w:r>
      <w:r w:rsidR="00DF2359" w:rsidRPr="00371A17">
        <w:rPr>
          <w:rFonts w:ascii="Times New Roman" w:hAnsi="Times New Roman" w:cs="Times New Roman"/>
        </w:rPr>
        <w:t xml:space="preserve">The report focuses on </w:t>
      </w:r>
      <w:r w:rsidR="006108E7" w:rsidRPr="00371A17">
        <w:rPr>
          <w:rFonts w:ascii="Times New Roman" w:hAnsi="Times New Roman" w:cs="Times New Roman"/>
        </w:rPr>
        <w:t xml:space="preserve">four </w:t>
      </w:r>
      <w:r w:rsidR="00DF2359" w:rsidRPr="00371A17">
        <w:rPr>
          <w:rFonts w:ascii="Times New Roman" w:hAnsi="Times New Roman" w:cs="Times New Roman"/>
        </w:rPr>
        <w:t xml:space="preserve">key </w:t>
      </w:r>
      <w:r w:rsidR="006108E7" w:rsidRPr="00371A17">
        <w:rPr>
          <w:rFonts w:ascii="Times New Roman" w:hAnsi="Times New Roman" w:cs="Times New Roman"/>
        </w:rPr>
        <w:t xml:space="preserve">strategies to </w:t>
      </w:r>
      <w:r w:rsidR="009022FA" w:rsidRPr="00371A17">
        <w:rPr>
          <w:rFonts w:ascii="Times New Roman" w:hAnsi="Times New Roman" w:cs="Times New Roman"/>
        </w:rPr>
        <w:t>improve housing affordability by increasing the supply and competi</w:t>
      </w:r>
      <w:r w:rsidR="00033E18" w:rsidRPr="00371A17">
        <w:rPr>
          <w:rFonts w:ascii="Times New Roman" w:hAnsi="Times New Roman" w:cs="Times New Roman"/>
        </w:rPr>
        <w:t xml:space="preserve">tion between housing </w:t>
      </w:r>
      <w:r w:rsidR="00EE7D34" w:rsidRPr="00371A17">
        <w:rPr>
          <w:rFonts w:ascii="Times New Roman" w:hAnsi="Times New Roman" w:cs="Times New Roman"/>
        </w:rPr>
        <w:t>providers</w:t>
      </w:r>
      <w:r w:rsidR="00033E18" w:rsidRPr="00371A17">
        <w:rPr>
          <w:rFonts w:ascii="Times New Roman" w:hAnsi="Times New Roman" w:cs="Times New Roman"/>
        </w:rPr>
        <w:t xml:space="preserve">.  </w:t>
      </w:r>
      <w:r w:rsidRPr="00371A17">
        <w:rPr>
          <w:rFonts w:ascii="Times New Roman" w:hAnsi="Times New Roman" w:cs="Times New Roman"/>
        </w:rPr>
        <w:t xml:space="preserve">The first strategy focuses on increasing </w:t>
      </w:r>
      <w:r w:rsidR="00033E18" w:rsidRPr="00371A17">
        <w:rPr>
          <w:rFonts w:ascii="Times New Roman" w:hAnsi="Times New Roman" w:cs="Times New Roman"/>
        </w:rPr>
        <w:t>the supply and diversity of housin</w:t>
      </w:r>
      <w:r w:rsidRPr="00371A17">
        <w:rPr>
          <w:rFonts w:ascii="Times New Roman" w:hAnsi="Times New Roman" w:cs="Times New Roman"/>
        </w:rPr>
        <w:t>g choice in low density areas.  O</w:t>
      </w:r>
      <w:r w:rsidR="009022FA" w:rsidRPr="00371A17">
        <w:rPr>
          <w:rFonts w:ascii="Times New Roman" w:hAnsi="Times New Roman" w:cs="Times New Roman"/>
        </w:rPr>
        <w:t xml:space="preserve">ne </w:t>
      </w:r>
      <w:r w:rsidR="00033E18" w:rsidRPr="00371A17">
        <w:rPr>
          <w:rFonts w:ascii="Times New Roman" w:hAnsi="Times New Roman" w:cs="Times New Roman"/>
        </w:rPr>
        <w:t xml:space="preserve">recommendation </w:t>
      </w:r>
      <w:r w:rsidR="009022FA" w:rsidRPr="00371A17">
        <w:rPr>
          <w:rFonts w:ascii="Times New Roman" w:hAnsi="Times New Roman" w:cs="Times New Roman"/>
        </w:rPr>
        <w:t>proposes creating more opportunities for secondary suites and laneway houses</w:t>
      </w:r>
      <w:r w:rsidR="00033E18" w:rsidRPr="00371A17">
        <w:rPr>
          <w:rFonts w:ascii="Times New Roman" w:hAnsi="Times New Roman" w:cs="Times New Roman"/>
        </w:rPr>
        <w:t xml:space="preserve">, thereby </w:t>
      </w:r>
      <w:r w:rsidR="009022FA" w:rsidRPr="00371A17">
        <w:rPr>
          <w:rFonts w:ascii="Times New Roman" w:hAnsi="Times New Roman" w:cs="Times New Roman"/>
        </w:rPr>
        <w:t xml:space="preserve">optimizing affordability for </w:t>
      </w:r>
      <w:r w:rsidR="00033E18" w:rsidRPr="00371A17">
        <w:rPr>
          <w:rFonts w:ascii="Times New Roman" w:hAnsi="Times New Roman" w:cs="Times New Roman"/>
        </w:rPr>
        <w:t xml:space="preserve">both </w:t>
      </w:r>
      <w:r w:rsidR="009022FA" w:rsidRPr="00371A17">
        <w:rPr>
          <w:rFonts w:ascii="Times New Roman" w:hAnsi="Times New Roman" w:cs="Times New Roman"/>
        </w:rPr>
        <w:t>renters and home owners</w:t>
      </w:r>
      <w:r w:rsidR="00033E18" w:rsidRPr="00371A17">
        <w:rPr>
          <w:rFonts w:ascii="Times New Roman" w:hAnsi="Times New Roman" w:cs="Times New Roman"/>
        </w:rPr>
        <w:t xml:space="preserve"> in the area</w:t>
      </w:r>
      <w:r w:rsidR="009022FA" w:rsidRPr="00371A17">
        <w:rPr>
          <w:rFonts w:ascii="Times New Roman" w:hAnsi="Times New Roman" w:cs="Times New Roman"/>
        </w:rPr>
        <w:t>.</w:t>
      </w:r>
      <w:r w:rsidR="00033E18" w:rsidRPr="00371A17">
        <w:rPr>
          <w:rFonts w:ascii="Times New Roman" w:hAnsi="Times New Roman" w:cs="Times New Roman"/>
        </w:rPr>
        <w:t xml:space="preserve">  To support this effort, the report also proposes incentivizing a minimum standard of suite ready status in all new ground oriented housing (e.g. single family homes, medium-density housing) to make it easier for homeowners to add secondary suites.  The report also recommended that the work of the City’s </w:t>
      </w:r>
      <w:r w:rsidR="00AB22A2" w:rsidRPr="00371A17">
        <w:rPr>
          <w:rFonts w:ascii="Times New Roman" w:hAnsi="Times New Roman" w:cs="Times New Roman"/>
        </w:rPr>
        <w:t xml:space="preserve">Rental 100 - </w:t>
      </w:r>
      <w:r w:rsidR="00033E18" w:rsidRPr="00371A17">
        <w:rPr>
          <w:rFonts w:ascii="Times New Roman" w:hAnsi="Times New Roman" w:cs="Times New Roman"/>
        </w:rPr>
        <w:t>Secure Market Rental Housing Policy</w:t>
      </w:r>
      <w:r w:rsidR="00DF2359" w:rsidRPr="00371A17">
        <w:rPr>
          <w:rStyle w:val="EndnoteReference"/>
          <w:rFonts w:ascii="Times New Roman" w:hAnsi="Times New Roman" w:cs="Times New Roman"/>
        </w:rPr>
        <w:endnoteReference w:id="6"/>
      </w:r>
      <w:r w:rsidR="00AB22A2" w:rsidRPr="00371A17">
        <w:rPr>
          <w:rFonts w:ascii="Times New Roman" w:hAnsi="Times New Roman" w:cs="Times New Roman"/>
        </w:rPr>
        <w:t xml:space="preserve"> (2012)</w:t>
      </w:r>
      <w:r w:rsidR="00033E18" w:rsidRPr="00371A17">
        <w:rPr>
          <w:rFonts w:ascii="Times New Roman" w:hAnsi="Times New Roman" w:cs="Times New Roman"/>
        </w:rPr>
        <w:t xml:space="preserve"> - incentivizing  construction of purpose built rental units through a density bonus, </w:t>
      </w:r>
      <w:r w:rsidR="00AB22A2" w:rsidRPr="00371A17">
        <w:rPr>
          <w:rFonts w:ascii="Times New Roman" w:hAnsi="Times New Roman" w:cs="Times New Roman"/>
        </w:rPr>
        <w:t xml:space="preserve"> waiver of Development Cost Levies (DCLs)</w:t>
      </w:r>
      <w:r w:rsidR="00033E18" w:rsidRPr="00371A17">
        <w:rPr>
          <w:rFonts w:ascii="Times New Roman" w:hAnsi="Times New Roman" w:cs="Times New Roman"/>
        </w:rPr>
        <w:t xml:space="preserve">, parking relaxations and other regulatory tools – should continue, while also being open to expanding opportunities for where new housing supply could be situated (e.g. </w:t>
      </w:r>
      <w:r w:rsidR="00F82F65" w:rsidRPr="00371A17">
        <w:rPr>
          <w:rFonts w:ascii="Times New Roman" w:hAnsi="Times New Roman" w:cs="Times New Roman"/>
        </w:rPr>
        <w:t xml:space="preserve">built </w:t>
      </w:r>
      <w:r w:rsidR="00033E18" w:rsidRPr="00371A17">
        <w:rPr>
          <w:rFonts w:ascii="Times New Roman" w:hAnsi="Times New Roman" w:cs="Times New Roman"/>
        </w:rPr>
        <w:t>on top of existing buildings (including civic facilities)</w:t>
      </w:r>
      <w:r w:rsidR="00F82F65" w:rsidRPr="00371A17">
        <w:rPr>
          <w:rFonts w:ascii="Times New Roman" w:hAnsi="Times New Roman" w:cs="Times New Roman"/>
        </w:rPr>
        <w:t xml:space="preserve">, by converting </w:t>
      </w:r>
      <w:r w:rsidR="00033E18" w:rsidRPr="00371A17">
        <w:rPr>
          <w:rFonts w:ascii="Times New Roman" w:hAnsi="Times New Roman" w:cs="Times New Roman"/>
        </w:rPr>
        <w:t>underused parking lots</w:t>
      </w:r>
      <w:r w:rsidR="00F82F65" w:rsidRPr="00371A17">
        <w:rPr>
          <w:rFonts w:ascii="Times New Roman" w:hAnsi="Times New Roman" w:cs="Times New Roman"/>
        </w:rPr>
        <w:t xml:space="preserve"> or industrial areas,</w:t>
      </w:r>
      <w:r w:rsidR="00033E18" w:rsidRPr="00371A17">
        <w:rPr>
          <w:rFonts w:ascii="Times New Roman" w:hAnsi="Times New Roman" w:cs="Times New Roman"/>
        </w:rPr>
        <w:t xml:space="preserve"> or the development of secondary suites from ancillary and storage space in existing housing stock</w:t>
      </w:r>
      <w:r w:rsidR="00F82F65" w:rsidRPr="00371A17">
        <w:rPr>
          <w:rFonts w:ascii="Times New Roman" w:hAnsi="Times New Roman" w:cs="Times New Roman"/>
        </w:rPr>
        <w:t>)</w:t>
      </w:r>
      <w:r w:rsidR="00033E18" w:rsidRPr="00371A17">
        <w:rPr>
          <w:rFonts w:ascii="Times New Roman" w:hAnsi="Times New Roman" w:cs="Times New Roman"/>
        </w:rPr>
        <w:t xml:space="preserve">. </w:t>
      </w:r>
      <w:r w:rsidR="00DF2359" w:rsidRPr="00371A17">
        <w:rPr>
          <w:rFonts w:ascii="Times New Roman" w:hAnsi="Times New Roman" w:cs="Times New Roman"/>
        </w:rPr>
        <w:t xml:space="preserve"> The Vancouver Charter authorizes DCL waivers for developments that meet the criteria under the definition of “for-profit affordable rental housing.” </w:t>
      </w:r>
      <w:r w:rsidR="00F82F65" w:rsidRPr="00371A17">
        <w:rPr>
          <w:rFonts w:ascii="Times New Roman" w:hAnsi="Times New Roman" w:cs="Times New Roman"/>
        </w:rPr>
        <w:t xml:space="preserve">Furthermore, the Task Force offered ideas to expand housing partnership opportunities, and recommended focusing on entities that have potential or underused land (e.g. churches, health care facilities, post-secondary institutions, </w:t>
      </w:r>
      <w:r w:rsidR="00EE7D34" w:rsidRPr="00371A17">
        <w:rPr>
          <w:rFonts w:ascii="Times New Roman" w:hAnsi="Times New Roman" w:cs="Times New Roman"/>
        </w:rPr>
        <w:t>etc.</w:t>
      </w:r>
      <w:r w:rsidR="00F82F65" w:rsidRPr="00371A17">
        <w:rPr>
          <w:rFonts w:ascii="Times New Roman" w:hAnsi="Times New Roman" w:cs="Times New Roman"/>
        </w:rPr>
        <w:t>) (Vancouver, 2012</w:t>
      </w:r>
      <w:r w:rsidR="00DF2359" w:rsidRPr="00371A17">
        <w:rPr>
          <w:rFonts w:ascii="Times New Roman" w:hAnsi="Times New Roman" w:cs="Times New Roman"/>
        </w:rPr>
        <w:t>; 2015</w:t>
      </w:r>
      <w:r w:rsidR="00F82F65" w:rsidRPr="00371A17">
        <w:rPr>
          <w:rFonts w:ascii="Times New Roman" w:hAnsi="Times New Roman" w:cs="Times New Roman"/>
        </w:rPr>
        <w:t>).</w:t>
      </w:r>
    </w:p>
    <w:p w:rsidR="00B51AF7" w:rsidRPr="00371A17" w:rsidRDefault="00BC0DC5" w:rsidP="00AD4FA3">
      <w:pPr>
        <w:spacing w:line="240" w:lineRule="auto"/>
        <w:jc w:val="both"/>
        <w:rPr>
          <w:rFonts w:ascii="Times New Roman" w:hAnsi="Times New Roman" w:cs="Times New Roman"/>
          <w:color w:val="5B9BD5" w:themeColor="accent1"/>
        </w:rPr>
      </w:pPr>
      <w:r w:rsidRPr="00371A17">
        <w:rPr>
          <w:rFonts w:ascii="Times New Roman" w:hAnsi="Times New Roman" w:cs="Times New Roman"/>
        </w:rPr>
        <w:t>Numerous</w:t>
      </w:r>
      <w:r w:rsidR="00A92511" w:rsidRPr="00371A17">
        <w:rPr>
          <w:rFonts w:ascii="Times New Roman" w:hAnsi="Times New Roman" w:cs="Times New Roman"/>
        </w:rPr>
        <w:t xml:space="preserve"> other</w:t>
      </w:r>
      <w:r w:rsidRPr="00371A17">
        <w:rPr>
          <w:rFonts w:ascii="Times New Roman" w:hAnsi="Times New Roman" w:cs="Times New Roman"/>
        </w:rPr>
        <w:t xml:space="preserve"> cities have also made substantial efforts to encourage </w:t>
      </w:r>
      <w:r w:rsidR="00B51AF7" w:rsidRPr="00371A17">
        <w:rPr>
          <w:rFonts w:ascii="Times New Roman" w:hAnsi="Times New Roman" w:cs="Times New Roman"/>
        </w:rPr>
        <w:t>ADUs</w:t>
      </w:r>
      <w:r w:rsidRPr="00371A17">
        <w:rPr>
          <w:rFonts w:ascii="Times New Roman" w:hAnsi="Times New Roman" w:cs="Times New Roman"/>
        </w:rPr>
        <w:t xml:space="preserve">, including Santa Cruz, San Diego, Boston, Austin, Stapleton, Denver, Seattle, and Washington D.C. </w:t>
      </w:r>
      <w:r w:rsidR="00B51AF7" w:rsidRPr="00371A17">
        <w:rPr>
          <w:rFonts w:ascii="Times New Roman" w:hAnsi="Times New Roman" w:cs="Times New Roman"/>
        </w:rPr>
        <w:t xml:space="preserve">While </w:t>
      </w:r>
      <w:r w:rsidR="009D2426" w:rsidRPr="00371A17">
        <w:rPr>
          <w:rFonts w:ascii="Times New Roman" w:hAnsi="Times New Roman" w:cs="Times New Roman"/>
        </w:rPr>
        <w:t>the type of ADU development allowed by local ordinance (internal, attached or external)</w:t>
      </w:r>
      <w:r w:rsidR="009D2426" w:rsidRPr="00371A17">
        <w:rPr>
          <w:rStyle w:val="EndnoteReference"/>
          <w:rFonts w:ascii="Times New Roman" w:hAnsi="Times New Roman" w:cs="Times New Roman"/>
        </w:rPr>
        <w:endnoteReference w:id="7"/>
      </w:r>
      <w:r w:rsidR="009D2426" w:rsidRPr="00371A17">
        <w:rPr>
          <w:rFonts w:ascii="Times New Roman" w:hAnsi="Times New Roman" w:cs="Times New Roman"/>
        </w:rPr>
        <w:t xml:space="preserve"> varies by city, </w:t>
      </w:r>
      <w:r w:rsidR="00B51AF7" w:rsidRPr="00371A17">
        <w:rPr>
          <w:rFonts w:ascii="Times New Roman" w:hAnsi="Times New Roman" w:cs="Times New Roman"/>
        </w:rPr>
        <w:t xml:space="preserve">each city considers </w:t>
      </w:r>
      <w:r w:rsidR="009D2426" w:rsidRPr="00371A17">
        <w:rPr>
          <w:rFonts w:ascii="Times New Roman" w:hAnsi="Times New Roman" w:cs="Times New Roman"/>
        </w:rPr>
        <w:t xml:space="preserve">ADUs </w:t>
      </w:r>
      <w:r w:rsidR="00B51AF7" w:rsidRPr="00371A17">
        <w:rPr>
          <w:rFonts w:ascii="Times New Roman" w:hAnsi="Times New Roman" w:cs="Times New Roman"/>
        </w:rPr>
        <w:t xml:space="preserve">as </w:t>
      </w:r>
      <w:r w:rsidR="009D2426" w:rsidRPr="00371A17">
        <w:rPr>
          <w:rFonts w:ascii="Times New Roman" w:hAnsi="Times New Roman" w:cs="Times New Roman"/>
        </w:rPr>
        <w:t xml:space="preserve">essential component of their affordable housing strategy.  </w:t>
      </w:r>
      <w:r w:rsidR="00B51AF7" w:rsidRPr="00371A17">
        <w:rPr>
          <w:rFonts w:ascii="Times New Roman" w:hAnsi="Times New Roman" w:cs="Times New Roman"/>
        </w:rPr>
        <w:t xml:space="preserve">For Sydney, and many other Australian cities, this will require an amendment to </w:t>
      </w:r>
      <w:r w:rsidR="009D2426" w:rsidRPr="00371A17">
        <w:rPr>
          <w:rFonts w:ascii="Times New Roman" w:hAnsi="Times New Roman" w:cs="Times New Roman"/>
        </w:rPr>
        <w:t xml:space="preserve">zoning </w:t>
      </w:r>
      <w:r w:rsidR="00B51AF7" w:rsidRPr="00371A17">
        <w:rPr>
          <w:rFonts w:ascii="Times New Roman" w:hAnsi="Times New Roman" w:cs="Times New Roman"/>
        </w:rPr>
        <w:t>regulations.</w:t>
      </w:r>
    </w:p>
    <w:p w:rsidR="00520E52" w:rsidRPr="00371A17" w:rsidRDefault="00520E52" w:rsidP="00F654D9">
      <w:pPr>
        <w:spacing w:after="0" w:line="240" w:lineRule="auto"/>
        <w:jc w:val="both"/>
        <w:rPr>
          <w:rFonts w:ascii="Times New Roman" w:hAnsi="Times New Roman" w:cs="Times New Roman"/>
          <w:b/>
          <w:sz w:val="24"/>
          <w:szCs w:val="24"/>
        </w:rPr>
      </w:pPr>
      <w:r w:rsidRPr="00371A17">
        <w:rPr>
          <w:rFonts w:ascii="Times New Roman" w:hAnsi="Times New Roman" w:cs="Times New Roman"/>
          <w:b/>
          <w:sz w:val="24"/>
          <w:szCs w:val="24"/>
        </w:rPr>
        <w:t>Application of Strategies in Sydney: What</w:t>
      </w:r>
      <w:r w:rsidR="00B05A3C" w:rsidRPr="00371A17">
        <w:rPr>
          <w:rFonts w:ascii="Times New Roman" w:hAnsi="Times New Roman" w:cs="Times New Roman"/>
          <w:b/>
          <w:sz w:val="24"/>
          <w:szCs w:val="24"/>
        </w:rPr>
        <w:t xml:space="preserve"> strategies can be </w:t>
      </w:r>
      <w:r w:rsidR="00EE7D34" w:rsidRPr="00371A17">
        <w:rPr>
          <w:rFonts w:ascii="Times New Roman" w:hAnsi="Times New Roman" w:cs="Times New Roman"/>
          <w:b/>
          <w:sz w:val="24"/>
          <w:szCs w:val="24"/>
        </w:rPr>
        <w:t>implemented</w:t>
      </w:r>
      <w:r w:rsidR="00B05A3C" w:rsidRPr="00371A17">
        <w:rPr>
          <w:rFonts w:ascii="Times New Roman" w:hAnsi="Times New Roman" w:cs="Times New Roman"/>
          <w:b/>
          <w:sz w:val="24"/>
          <w:szCs w:val="24"/>
        </w:rPr>
        <w:t xml:space="preserve"> </w:t>
      </w:r>
      <w:r w:rsidRPr="00371A17">
        <w:rPr>
          <w:rFonts w:ascii="Times New Roman" w:hAnsi="Times New Roman" w:cs="Times New Roman"/>
          <w:b/>
          <w:sz w:val="24"/>
          <w:szCs w:val="24"/>
        </w:rPr>
        <w:t xml:space="preserve">to </w:t>
      </w:r>
      <w:r w:rsidR="00B05A3C" w:rsidRPr="00371A17">
        <w:rPr>
          <w:rFonts w:ascii="Times New Roman" w:hAnsi="Times New Roman" w:cs="Times New Roman"/>
          <w:b/>
          <w:sz w:val="24"/>
          <w:szCs w:val="24"/>
        </w:rPr>
        <w:t>meet demand</w:t>
      </w:r>
      <w:r w:rsidRPr="00371A17">
        <w:rPr>
          <w:rFonts w:ascii="Times New Roman" w:hAnsi="Times New Roman" w:cs="Times New Roman"/>
          <w:b/>
          <w:sz w:val="24"/>
          <w:szCs w:val="24"/>
        </w:rPr>
        <w:t>?</w:t>
      </w:r>
    </w:p>
    <w:p w:rsidR="0032139C" w:rsidRPr="00371A17" w:rsidRDefault="0063075C" w:rsidP="00F654D9">
      <w:pPr>
        <w:spacing w:line="240" w:lineRule="auto"/>
        <w:jc w:val="both"/>
        <w:rPr>
          <w:rFonts w:ascii="Times New Roman" w:hAnsi="Times New Roman" w:cs="Times New Roman"/>
        </w:rPr>
      </w:pPr>
      <w:r w:rsidRPr="00371A17">
        <w:rPr>
          <w:rFonts w:ascii="Times New Roman" w:hAnsi="Times New Roman" w:cs="Times New Roman"/>
        </w:rPr>
        <w:t xml:space="preserve">Zoning regulations, building and housing codes, and other municipal ordinances </w:t>
      </w:r>
      <w:r w:rsidR="0032139C" w:rsidRPr="00371A17">
        <w:rPr>
          <w:rFonts w:ascii="Times New Roman" w:hAnsi="Times New Roman" w:cs="Times New Roman"/>
        </w:rPr>
        <w:t xml:space="preserve">have been developed to </w:t>
      </w:r>
      <w:r w:rsidRPr="00371A17">
        <w:rPr>
          <w:rFonts w:ascii="Times New Roman" w:hAnsi="Times New Roman" w:cs="Times New Roman"/>
        </w:rPr>
        <w:t>serve important interests</w:t>
      </w:r>
      <w:r w:rsidR="0032139C" w:rsidRPr="00371A17">
        <w:rPr>
          <w:rFonts w:ascii="Times New Roman" w:hAnsi="Times New Roman" w:cs="Times New Roman"/>
        </w:rPr>
        <w:t>, h</w:t>
      </w:r>
      <w:r w:rsidRPr="00371A17">
        <w:rPr>
          <w:rFonts w:ascii="Times New Roman" w:hAnsi="Times New Roman" w:cs="Times New Roman"/>
        </w:rPr>
        <w:t xml:space="preserve">owever, cities must be willing to </w:t>
      </w:r>
      <w:r w:rsidR="0032139C" w:rsidRPr="00371A17">
        <w:rPr>
          <w:rFonts w:ascii="Times New Roman" w:hAnsi="Times New Roman" w:cs="Times New Roman"/>
        </w:rPr>
        <w:t>re-</w:t>
      </w:r>
      <w:r w:rsidRPr="00371A17">
        <w:rPr>
          <w:rFonts w:ascii="Times New Roman" w:hAnsi="Times New Roman" w:cs="Times New Roman"/>
        </w:rPr>
        <w:t xml:space="preserve">evaluate these regulations </w:t>
      </w:r>
      <w:r w:rsidR="0032139C" w:rsidRPr="00371A17">
        <w:rPr>
          <w:rFonts w:ascii="Times New Roman" w:hAnsi="Times New Roman" w:cs="Times New Roman"/>
        </w:rPr>
        <w:t xml:space="preserve">in light of urban environment change and new developments in building technologies.  With 54% of the global population </w:t>
      </w:r>
      <w:r w:rsidR="0032139C" w:rsidRPr="00371A17">
        <w:rPr>
          <w:rFonts w:ascii="Times New Roman" w:hAnsi="Times New Roman" w:cs="Times New Roman"/>
        </w:rPr>
        <w:lastRenderedPageBreak/>
        <w:t xml:space="preserve">living in urban areas and expected to exceed two-thirds of the total global population by 2050 (UN, 2014), the world’s urban areas are all struggling to find solutions for the lack of supply of affordable housing.  </w:t>
      </w:r>
    </w:p>
    <w:p w:rsidR="0032139C" w:rsidRPr="00371A17" w:rsidRDefault="00520E52" w:rsidP="006E0DCB">
      <w:pPr>
        <w:spacing w:line="240" w:lineRule="auto"/>
        <w:jc w:val="both"/>
        <w:rPr>
          <w:rFonts w:ascii="Times New Roman" w:hAnsi="Times New Roman" w:cs="Times New Roman"/>
        </w:rPr>
      </w:pPr>
      <w:r w:rsidRPr="00371A17">
        <w:rPr>
          <w:rFonts w:ascii="Times New Roman" w:hAnsi="Times New Roman" w:cs="Times New Roman"/>
        </w:rPr>
        <w:t>In contrast to programs currently utilised in Sydney</w:t>
      </w:r>
      <w:r w:rsidR="0032139C" w:rsidRPr="00371A17">
        <w:rPr>
          <w:rFonts w:ascii="Times New Roman" w:hAnsi="Times New Roman" w:cs="Times New Roman"/>
        </w:rPr>
        <w:t>,</w:t>
      </w:r>
      <w:r w:rsidRPr="00371A17">
        <w:rPr>
          <w:rFonts w:ascii="Times New Roman" w:hAnsi="Times New Roman" w:cs="Times New Roman"/>
        </w:rPr>
        <w:t xml:space="preserve"> which predominately create housing of a single type, in a single location with only one ownership model, the </w:t>
      </w:r>
      <w:r w:rsidR="0032139C" w:rsidRPr="00371A17">
        <w:rPr>
          <w:rFonts w:ascii="Times New Roman" w:hAnsi="Times New Roman" w:cs="Times New Roman"/>
        </w:rPr>
        <w:t xml:space="preserve">strategies presented have demonstrated that they can </w:t>
      </w:r>
      <w:r w:rsidRPr="00371A17">
        <w:rPr>
          <w:rFonts w:ascii="Times New Roman" w:hAnsi="Times New Roman" w:cs="Times New Roman"/>
        </w:rPr>
        <w:t>offer a diversity of housing type, location and ownership.</w:t>
      </w:r>
      <w:r w:rsidR="0032139C" w:rsidRPr="00371A17">
        <w:rPr>
          <w:rFonts w:ascii="Times New Roman" w:hAnsi="Times New Roman" w:cs="Times New Roman"/>
        </w:rPr>
        <w:t xml:space="preserve"> </w:t>
      </w:r>
      <w:r w:rsidR="006E0DCB" w:rsidRPr="00371A17">
        <w:rPr>
          <w:rFonts w:ascii="Times New Roman" w:hAnsi="Times New Roman" w:cs="Times New Roman"/>
        </w:rPr>
        <w:t xml:space="preserve">Regulatory barriers have been identified as a key barrier for both micro-unit and ADU development.  Regulators should </w:t>
      </w:r>
      <w:r w:rsidR="0032139C" w:rsidRPr="00371A17">
        <w:rPr>
          <w:rFonts w:ascii="Times New Roman" w:hAnsi="Times New Roman" w:cs="Times New Roman"/>
        </w:rPr>
        <w:t xml:space="preserve">consider the </w:t>
      </w:r>
      <w:r w:rsidR="006E0DCB" w:rsidRPr="00371A17">
        <w:rPr>
          <w:rFonts w:ascii="Times New Roman" w:hAnsi="Times New Roman" w:cs="Times New Roman"/>
        </w:rPr>
        <w:t xml:space="preserve">whether the purpose of the regulations are really in conflict with these alternative affordable </w:t>
      </w:r>
      <w:r w:rsidR="00EE7D34" w:rsidRPr="00371A17">
        <w:rPr>
          <w:rFonts w:ascii="Times New Roman" w:hAnsi="Times New Roman" w:cs="Times New Roman"/>
        </w:rPr>
        <w:t>housing</w:t>
      </w:r>
      <w:r w:rsidR="006E0DCB" w:rsidRPr="00371A17">
        <w:rPr>
          <w:rFonts w:ascii="Times New Roman" w:hAnsi="Times New Roman" w:cs="Times New Roman"/>
        </w:rPr>
        <w:t xml:space="preserve"> typologies, and whether </w:t>
      </w:r>
      <w:r w:rsidR="0032139C" w:rsidRPr="00371A17">
        <w:rPr>
          <w:rFonts w:ascii="Times New Roman" w:hAnsi="Times New Roman" w:cs="Times New Roman"/>
        </w:rPr>
        <w:t>prevent</w:t>
      </w:r>
      <w:r w:rsidR="006E0DCB" w:rsidRPr="00371A17">
        <w:rPr>
          <w:rFonts w:ascii="Times New Roman" w:hAnsi="Times New Roman" w:cs="Times New Roman"/>
        </w:rPr>
        <w:t xml:space="preserve">ing - </w:t>
      </w:r>
      <w:r w:rsidR="0032139C" w:rsidRPr="00371A17">
        <w:rPr>
          <w:rFonts w:ascii="Times New Roman" w:hAnsi="Times New Roman" w:cs="Times New Roman"/>
        </w:rPr>
        <w:t>or limit</w:t>
      </w:r>
      <w:r w:rsidR="006E0DCB" w:rsidRPr="00371A17">
        <w:rPr>
          <w:rFonts w:ascii="Times New Roman" w:hAnsi="Times New Roman" w:cs="Times New Roman"/>
        </w:rPr>
        <w:t>ing -</w:t>
      </w:r>
      <w:r w:rsidR="0032139C" w:rsidRPr="00371A17">
        <w:rPr>
          <w:rFonts w:ascii="Times New Roman" w:hAnsi="Times New Roman" w:cs="Times New Roman"/>
        </w:rPr>
        <w:t xml:space="preserve"> micro-units</w:t>
      </w:r>
      <w:r w:rsidR="006E0DCB" w:rsidRPr="00371A17">
        <w:rPr>
          <w:rFonts w:ascii="Times New Roman" w:hAnsi="Times New Roman" w:cs="Times New Roman"/>
        </w:rPr>
        <w:t xml:space="preserve"> and/or ADUs and thereby potentially driving up housing costs, reducing</w:t>
      </w:r>
      <w:r w:rsidR="0032139C" w:rsidRPr="00371A17">
        <w:rPr>
          <w:rFonts w:ascii="Times New Roman" w:hAnsi="Times New Roman" w:cs="Times New Roman"/>
        </w:rPr>
        <w:t xml:space="preserve"> housing optio</w:t>
      </w:r>
      <w:r w:rsidR="006E0DCB" w:rsidRPr="00371A17">
        <w:rPr>
          <w:rFonts w:ascii="Times New Roman" w:hAnsi="Times New Roman" w:cs="Times New Roman"/>
        </w:rPr>
        <w:t>ns for new households, encouraging sprawl, and excluding</w:t>
      </w:r>
      <w:r w:rsidR="0032139C" w:rsidRPr="00371A17">
        <w:rPr>
          <w:rFonts w:ascii="Times New Roman" w:hAnsi="Times New Roman" w:cs="Times New Roman"/>
        </w:rPr>
        <w:t xml:space="preserve"> new residents</w:t>
      </w:r>
      <w:r w:rsidR="006E0DCB" w:rsidRPr="00371A17">
        <w:rPr>
          <w:rFonts w:ascii="Times New Roman" w:hAnsi="Times New Roman" w:cs="Times New Roman"/>
        </w:rPr>
        <w:t xml:space="preserve"> is really in the best interest of their communities.</w:t>
      </w:r>
    </w:p>
    <w:p w:rsidR="006E0DCB" w:rsidRPr="00371A17" w:rsidRDefault="006E0DCB" w:rsidP="00F654D9">
      <w:pPr>
        <w:spacing w:line="240" w:lineRule="auto"/>
        <w:jc w:val="both"/>
        <w:rPr>
          <w:rFonts w:ascii="Times New Roman" w:hAnsi="Times New Roman" w:cs="Times New Roman"/>
        </w:rPr>
      </w:pPr>
      <w:r w:rsidRPr="00371A17">
        <w:rPr>
          <w:rFonts w:ascii="Times New Roman" w:hAnsi="Times New Roman" w:cs="Times New Roman"/>
        </w:rPr>
        <w:t>Throughout the literature, m</w:t>
      </w:r>
      <w:r w:rsidR="005B7B47" w:rsidRPr="00371A17">
        <w:rPr>
          <w:rFonts w:ascii="Times New Roman" w:hAnsi="Times New Roman" w:cs="Times New Roman"/>
        </w:rPr>
        <w:t>icro-units and ADUs have been championed as a means of attracting and retaining young professionals in expensive urban areas</w:t>
      </w:r>
      <w:r w:rsidRPr="00371A17">
        <w:rPr>
          <w:rFonts w:ascii="Times New Roman" w:hAnsi="Times New Roman" w:cs="Times New Roman"/>
        </w:rPr>
        <w:t xml:space="preserve"> as well as being valuable selling points for attracting larger employers (e.g. Been et all, 2014)</w:t>
      </w:r>
      <w:r w:rsidR="005B7B47" w:rsidRPr="00371A17">
        <w:rPr>
          <w:rFonts w:ascii="Times New Roman" w:hAnsi="Times New Roman" w:cs="Times New Roman"/>
        </w:rPr>
        <w:t>.</w:t>
      </w:r>
      <w:r w:rsidRPr="00371A17">
        <w:rPr>
          <w:rFonts w:ascii="Times New Roman" w:hAnsi="Times New Roman" w:cs="Times New Roman"/>
        </w:rPr>
        <w:t xml:space="preserve">  As demonstrated in the case examples, both micro-units and ADUs can help cities adjust to demographic changes by providing a diversity of housing options for different types of households for people of all ages.</w:t>
      </w:r>
    </w:p>
    <w:p w:rsidR="001D4B0E" w:rsidRPr="00371A17" w:rsidRDefault="006E0DCB" w:rsidP="00F654D9">
      <w:pPr>
        <w:spacing w:line="240" w:lineRule="auto"/>
        <w:jc w:val="both"/>
        <w:rPr>
          <w:rFonts w:ascii="Times New Roman" w:hAnsi="Times New Roman" w:cs="Times New Roman"/>
        </w:rPr>
      </w:pPr>
      <w:r w:rsidRPr="00371A17">
        <w:rPr>
          <w:rFonts w:ascii="Times New Roman" w:hAnsi="Times New Roman" w:cs="Times New Roman"/>
        </w:rPr>
        <w:t xml:space="preserve">From social sustainability and urban resilience perspective, </w:t>
      </w:r>
      <w:r w:rsidR="001D4B0E" w:rsidRPr="00371A17">
        <w:rPr>
          <w:rFonts w:ascii="Times New Roman" w:hAnsi="Times New Roman" w:cs="Times New Roman"/>
        </w:rPr>
        <w:t xml:space="preserve">ADUs allow multiple generations to live close to each other building strong bonds among family and/or </w:t>
      </w:r>
      <w:r w:rsidR="00EE7D34" w:rsidRPr="00371A17">
        <w:rPr>
          <w:rFonts w:ascii="Times New Roman" w:hAnsi="Times New Roman" w:cs="Times New Roman"/>
        </w:rPr>
        <w:t>neighbours</w:t>
      </w:r>
      <w:r w:rsidR="001D4B0E" w:rsidRPr="00371A17">
        <w:rPr>
          <w:rFonts w:ascii="Times New Roman" w:hAnsi="Times New Roman" w:cs="Times New Roman"/>
        </w:rPr>
        <w:t xml:space="preserve"> while </w:t>
      </w:r>
      <w:r w:rsidRPr="00371A17">
        <w:rPr>
          <w:rFonts w:ascii="Times New Roman" w:hAnsi="Times New Roman" w:cs="Times New Roman"/>
        </w:rPr>
        <w:t xml:space="preserve">the common space provided by micro-unit developments are reported to fosters relationships among </w:t>
      </w:r>
      <w:r w:rsidR="00EE7D34" w:rsidRPr="00371A17">
        <w:rPr>
          <w:rFonts w:ascii="Times New Roman" w:hAnsi="Times New Roman" w:cs="Times New Roman"/>
        </w:rPr>
        <w:t>neighbours</w:t>
      </w:r>
      <w:r w:rsidRPr="00371A17">
        <w:rPr>
          <w:rFonts w:ascii="Times New Roman" w:hAnsi="Times New Roman" w:cs="Times New Roman"/>
        </w:rPr>
        <w:t xml:space="preserve"> – a factor identified as important for retaining global talent</w:t>
      </w:r>
      <w:r w:rsidR="001D4B0E" w:rsidRPr="00371A17">
        <w:rPr>
          <w:rFonts w:ascii="Times New Roman" w:hAnsi="Times New Roman" w:cs="Times New Roman"/>
        </w:rPr>
        <w:t>.</w:t>
      </w:r>
    </w:p>
    <w:p w:rsidR="00012920" w:rsidRPr="00371A17" w:rsidRDefault="00205A44" w:rsidP="00F654D9">
      <w:pPr>
        <w:spacing w:line="240" w:lineRule="auto"/>
        <w:jc w:val="both"/>
        <w:rPr>
          <w:rFonts w:ascii="Times New Roman" w:hAnsi="Times New Roman" w:cs="Times New Roman"/>
        </w:rPr>
      </w:pPr>
      <w:r w:rsidRPr="00371A17">
        <w:rPr>
          <w:rFonts w:ascii="Times New Roman" w:hAnsi="Times New Roman" w:cs="Times New Roman"/>
        </w:rPr>
        <w:t xml:space="preserve">To address the housing affordability in Sydney, the Council should </w:t>
      </w:r>
      <w:r w:rsidR="00012920" w:rsidRPr="00371A17">
        <w:rPr>
          <w:rFonts w:ascii="Times New Roman" w:hAnsi="Times New Roman" w:cs="Times New Roman"/>
        </w:rPr>
        <w:t>encourage the development of innovative forms of housing</w:t>
      </w:r>
      <w:r w:rsidRPr="00371A17">
        <w:rPr>
          <w:rFonts w:ascii="Times New Roman" w:hAnsi="Times New Roman" w:cs="Times New Roman"/>
        </w:rPr>
        <w:t xml:space="preserve">, such as </w:t>
      </w:r>
      <w:r w:rsidR="00012920" w:rsidRPr="00371A17">
        <w:rPr>
          <w:rFonts w:ascii="Times New Roman" w:hAnsi="Times New Roman" w:cs="Times New Roman"/>
        </w:rPr>
        <w:t>micro-units and ADUs</w:t>
      </w:r>
      <w:r w:rsidRPr="00371A17">
        <w:rPr>
          <w:rFonts w:ascii="Times New Roman" w:hAnsi="Times New Roman" w:cs="Times New Roman"/>
        </w:rPr>
        <w:t xml:space="preserve">, </w:t>
      </w:r>
      <w:r w:rsidR="00012920" w:rsidRPr="00371A17">
        <w:rPr>
          <w:rFonts w:ascii="Times New Roman" w:hAnsi="Times New Roman" w:cs="Times New Roman"/>
        </w:rPr>
        <w:t>in conjunction</w:t>
      </w:r>
      <w:r w:rsidRPr="00371A17">
        <w:rPr>
          <w:rFonts w:ascii="Times New Roman" w:hAnsi="Times New Roman" w:cs="Times New Roman"/>
        </w:rPr>
        <w:t xml:space="preserve"> with current strategies</w:t>
      </w:r>
      <w:r w:rsidR="00012920" w:rsidRPr="00371A17">
        <w:rPr>
          <w:rFonts w:ascii="Times New Roman" w:hAnsi="Times New Roman" w:cs="Times New Roman"/>
        </w:rPr>
        <w:t xml:space="preserve">. Although </w:t>
      </w:r>
      <w:r w:rsidRPr="00371A17">
        <w:rPr>
          <w:rFonts w:ascii="Times New Roman" w:hAnsi="Times New Roman" w:cs="Times New Roman"/>
        </w:rPr>
        <w:t xml:space="preserve">these alternative </w:t>
      </w:r>
      <w:r w:rsidR="00EE7D34" w:rsidRPr="00371A17">
        <w:rPr>
          <w:rFonts w:ascii="Times New Roman" w:hAnsi="Times New Roman" w:cs="Times New Roman"/>
        </w:rPr>
        <w:t>typologies</w:t>
      </w:r>
      <w:r w:rsidRPr="00371A17">
        <w:rPr>
          <w:rFonts w:ascii="Times New Roman" w:hAnsi="Times New Roman" w:cs="Times New Roman"/>
        </w:rPr>
        <w:t xml:space="preserve"> are </w:t>
      </w:r>
      <w:r w:rsidR="00012920" w:rsidRPr="00371A17">
        <w:rPr>
          <w:rFonts w:ascii="Times New Roman" w:hAnsi="Times New Roman" w:cs="Times New Roman"/>
        </w:rPr>
        <w:t xml:space="preserve">often considered in isolation, </w:t>
      </w:r>
      <w:r w:rsidRPr="00371A17">
        <w:rPr>
          <w:rFonts w:ascii="Times New Roman" w:hAnsi="Times New Roman" w:cs="Times New Roman"/>
        </w:rPr>
        <w:t xml:space="preserve">San Francisco and Vancouver demonstrate how these </w:t>
      </w:r>
      <w:r w:rsidR="00012920" w:rsidRPr="00371A17">
        <w:rPr>
          <w:rFonts w:ascii="Times New Roman" w:hAnsi="Times New Roman" w:cs="Times New Roman"/>
        </w:rPr>
        <w:t xml:space="preserve">unit types </w:t>
      </w:r>
      <w:r w:rsidRPr="00371A17">
        <w:rPr>
          <w:rFonts w:ascii="Times New Roman" w:hAnsi="Times New Roman" w:cs="Times New Roman"/>
        </w:rPr>
        <w:t xml:space="preserve">can </w:t>
      </w:r>
      <w:r w:rsidR="00012920" w:rsidRPr="00371A17">
        <w:rPr>
          <w:rFonts w:ascii="Times New Roman" w:hAnsi="Times New Roman" w:cs="Times New Roman"/>
        </w:rPr>
        <w:t xml:space="preserve">provide </w:t>
      </w:r>
      <w:r w:rsidRPr="00371A17">
        <w:rPr>
          <w:rFonts w:ascii="Times New Roman" w:hAnsi="Times New Roman" w:cs="Times New Roman"/>
        </w:rPr>
        <w:t xml:space="preserve">alternative </w:t>
      </w:r>
      <w:r w:rsidR="00012920" w:rsidRPr="00371A17">
        <w:rPr>
          <w:rFonts w:ascii="Times New Roman" w:hAnsi="Times New Roman" w:cs="Times New Roman"/>
        </w:rPr>
        <w:t xml:space="preserve">housing </w:t>
      </w:r>
      <w:r w:rsidRPr="00371A17">
        <w:rPr>
          <w:rFonts w:ascii="Times New Roman" w:hAnsi="Times New Roman" w:cs="Times New Roman"/>
        </w:rPr>
        <w:t xml:space="preserve">solutions which may be </w:t>
      </w:r>
      <w:r w:rsidR="00012920" w:rsidRPr="00371A17">
        <w:rPr>
          <w:rFonts w:ascii="Times New Roman" w:hAnsi="Times New Roman" w:cs="Times New Roman"/>
        </w:rPr>
        <w:t>more appropriate for changing household compositions, deliver new sources of affordable housing</w:t>
      </w:r>
      <w:r w:rsidRPr="00371A17">
        <w:rPr>
          <w:rFonts w:ascii="Times New Roman" w:hAnsi="Times New Roman" w:cs="Times New Roman"/>
        </w:rPr>
        <w:t>, and reduce individual energy consumption</w:t>
      </w:r>
      <w:r w:rsidR="00012920" w:rsidRPr="00371A17">
        <w:rPr>
          <w:rFonts w:ascii="Times New Roman" w:hAnsi="Times New Roman" w:cs="Times New Roman"/>
        </w:rPr>
        <w:t xml:space="preserve">. While </w:t>
      </w:r>
      <w:r w:rsidRPr="00371A17">
        <w:rPr>
          <w:rFonts w:ascii="Times New Roman" w:hAnsi="Times New Roman" w:cs="Times New Roman"/>
        </w:rPr>
        <w:t xml:space="preserve">these solutions should </w:t>
      </w:r>
      <w:r w:rsidR="00012920" w:rsidRPr="00371A17">
        <w:rPr>
          <w:rFonts w:ascii="Times New Roman" w:hAnsi="Times New Roman" w:cs="Times New Roman"/>
        </w:rPr>
        <w:t xml:space="preserve">not </w:t>
      </w:r>
      <w:r w:rsidRPr="00371A17">
        <w:rPr>
          <w:rFonts w:ascii="Times New Roman" w:hAnsi="Times New Roman" w:cs="Times New Roman"/>
        </w:rPr>
        <w:t>be considered as ‘silver bullet’ solutions</w:t>
      </w:r>
      <w:r w:rsidR="00012920" w:rsidRPr="00371A17">
        <w:rPr>
          <w:rFonts w:ascii="Times New Roman" w:hAnsi="Times New Roman" w:cs="Times New Roman"/>
        </w:rPr>
        <w:t xml:space="preserve">, with careful analysis and implementation these more compact housing units </w:t>
      </w:r>
      <w:r w:rsidRPr="00371A17">
        <w:rPr>
          <w:rFonts w:ascii="Times New Roman" w:hAnsi="Times New Roman" w:cs="Times New Roman"/>
        </w:rPr>
        <w:t xml:space="preserve">could become </w:t>
      </w:r>
      <w:r w:rsidR="00012920" w:rsidRPr="00371A17">
        <w:rPr>
          <w:rFonts w:ascii="Times New Roman" w:hAnsi="Times New Roman" w:cs="Times New Roman"/>
        </w:rPr>
        <w:t xml:space="preserve">important </w:t>
      </w:r>
      <w:r w:rsidRPr="00371A17">
        <w:rPr>
          <w:rFonts w:ascii="Times New Roman" w:hAnsi="Times New Roman" w:cs="Times New Roman"/>
        </w:rPr>
        <w:t xml:space="preserve">components </w:t>
      </w:r>
      <w:r w:rsidR="00012920" w:rsidRPr="00371A17">
        <w:rPr>
          <w:rFonts w:ascii="Times New Roman" w:hAnsi="Times New Roman" w:cs="Times New Roman"/>
        </w:rPr>
        <w:t xml:space="preserve">of </w:t>
      </w:r>
      <w:r w:rsidRPr="00371A17">
        <w:rPr>
          <w:rFonts w:ascii="Times New Roman" w:hAnsi="Times New Roman" w:cs="Times New Roman"/>
        </w:rPr>
        <w:t xml:space="preserve">our </w:t>
      </w:r>
      <w:r w:rsidR="00012920" w:rsidRPr="00371A17">
        <w:rPr>
          <w:rFonts w:ascii="Times New Roman" w:hAnsi="Times New Roman" w:cs="Times New Roman"/>
        </w:rPr>
        <w:t>future housing policy.</w:t>
      </w:r>
    </w:p>
    <w:p w:rsidR="00B97204" w:rsidRPr="00371A17" w:rsidRDefault="00B97204" w:rsidP="00BB71FE">
      <w:pPr>
        <w:spacing w:after="0" w:line="240" w:lineRule="auto"/>
        <w:jc w:val="both"/>
        <w:rPr>
          <w:rFonts w:ascii="Times New Roman" w:hAnsi="Times New Roman" w:cs="Times New Roman"/>
          <w:b/>
        </w:rPr>
      </w:pPr>
    </w:p>
    <w:p w:rsidR="00BB71FE" w:rsidRPr="00371A17" w:rsidRDefault="00BB71FE" w:rsidP="00B20438">
      <w:pPr>
        <w:spacing w:after="0" w:line="240" w:lineRule="auto"/>
        <w:rPr>
          <w:rFonts w:ascii="Times New Roman" w:hAnsi="Times New Roman" w:cs="Times New Roman"/>
          <w:sz w:val="24"/>
          <w:szCs w:val="24"/>
        </w:rPr>
      </w:pPr>
      <w:r w:rsidRPr="00371A17">
        <w:rPr>
          <w:rFonts w:ascii="Times New Roman" w:hAnsi="Times New Roman" w:cs="Times New Roman"/>
          <w:b/>
          <w:sz w:val="24"/>
          <w:szCs w:val="24"/>
        </w:rPr>
        <w:t>References</w:t>
      </w:r>
    </w:p>
    <w:p w:rsidR="00416C77" w:rsidRPr="00371A17" w:rsidRDefault="00416C77" w:rsidP="00B20438">
      <w:pPr>
        <w:spacing w:line="240" w:lineRule="auto"/>
        <w:rPr>
          <w:rFonts w:ascii="Times New Roman" w:hAnsi="Times New Roman" w:cs="Times New Roman"/>
        </w:rPr>
      </w:pPr>
      <w:r w:rsidRPr="00371A17">
        <w:rPr>
          <w:rFonts w:ascii="Times New Roman" w:hAnsi="Times New Roman" w:cs="Times New Roman"/>
        </w:rPr>
        <w:t xml:space="preserve">Advisory </w:t>
      </w:r>
      <w:r w:rsidR="000B30E2" w:rsidRPr="00371A17">
        <w:rPr>
          <w:rFonts w:ascii="Times New Roman" w:hAnsi="Times New Roman" w:cs="Times New Roman"/>
        </w:rPr>
        <w:t>C</w:t>
      </w:r>
      <w:r w:rsidRPr="00371A17">
        <w:rPr>
          <w:rFonts w:ascii="Times New Roman" w:hAnsi="Times New Roman" w:cs="Times New Roman"/>
        </w:rPr>
        <w:t>ommission on Regulatory Barriers to Affordable Housing</w:t>
      </w:r>
      <w:r w:rsidR="00E4450A" w:rsidRPr="00371A17">
        <w:rPr>
          <w:rFonts w:ascii="Times New Roman" w:hAnsi="Times New Roman" w:cs="Times New Roman"/>
        </w:rPr>
        <w:t xml:space="preserve"> (AC)</w:t>
      </w:r>
      <w:r w:rsidRPr="00371A17">
        <w:rPr>
          <w:rFonts w:ascii="Times New Roman" w:hAnsi="Times New Roman" w:cs="Times New Roman"/>
        </w:rPr>
        <w:t xml:space="preserve">.  1991.  </w:t>
      </w:r>
      <w:r w:rsidR="0007013D" w:rsidRPr="00371A17">
        <w:rPr>
          <w:rFonts w:ascii="Times New Roman" w:hAnsi="Times New Roman" w:cs="Times New Roman"/>
          <w:i/>
        </w:rPr>
        <w:t>“Not in My Back Yard”: Removing barriers to affordable housing</w:t>
      </w:r>
      <w:r w:rsidR="000B30E2" w:rsidRPr="00371A17">
        <w:rPr>
          <w:rFonts w:ascii="Times New Roman" w:hAnsi="Times New Roman" w:cs="Times New Roman"/>
          <w:i/>
        </w:rPr>
        <w:t>.</w:t>
      </w:r>
      <w:r w:rsidR="000B30E2" w:rsidRPr="00371A17">
        <w:rPr>
          <w:rFonts w:ascii="Times New Roman" w:hAnsi="Times New Roman" w:cs="Times New Roman"/>
        </w:rPr>
        <w:t xml:space="preserve"> Report to President Bush and Secretary Kemp.  HUD-5806.  Available from: </w:t>
      </w:r>
      <w:hyperlink w:history="1">
        <w:r w:rsidR="009850DD" w:rsidRPr="00371A17">
          <w:rPr>
            <w:rStyle w:val="Hyperlink"/>
            <w:rFonts w:ascii="Times New Roman" w:hAnsi="Times New Roman" w:cs="Times New Roman"/>
          </w:rPr>
          <w:t>http:// www.huduser.gov/Publications/pdf/NotInMyBackyard.pdf</w:t>
        </w:r>
      </w:hyperlink>
      <w:r w:rsidR="000B30E2" w:rsidRPr="00371A17">
        <w:rPr>
          <w:rFonts w:ascii="Times New Roman" w:hAnsi="Times New Roman" w:cs="Times New Roman"/>
        </w:rPr>
        <w:t xml:space="preserve"> [Accessed 10 July 2015] </w:t>
      </w:r>
    </w:p>
    <w:p w:rsidR="009850DD" w:rsidRPr="00371A17" w:rsidRDefault="009850DD" w:rsidP="00B20438">
      <w:pPr>
        <w:spacing w:line="240" w:lineRule="auto"/>
        <w:rPr>
          <w:rFonts w:ascii="Times New Roman" w:hAnsi="Times New Roman" w:cs="Times New Roman"/>
        </w:rPr>
      </w:pPr>
      <w:r w:rsidRPr="00371A17">
        <w:rPr>
          <w:rFonts w:ascii="Times New Roman" w:hAnsi="Times New Roman" w:cs="Times New Roman"/>
        </w:rPr>
        <w:t xml:space="preserve">(Province </w:t>
      </w:r>
      <w:r w:rsidR="00EE7D34" w:rsidRPr="00371A17">
        <w:rPr>
          <w:rFonts w:ascii="Times New Roman" w:hAnsi="Times New Roman" w:cs="Times New Roman"/>
        </w:rPr>
        <w:t>of)</w:t>
      </w:r>
      <w:r w:rsidRPr="00371A17">
        <w:rPr>
          <w:rFonts w:ascii="Times New Roman" w:hAnsi="Times New Roman" w:cs="Times New Roman"/>
        </w:rPr>
        <w:t xml:space="preserve"> British Columbia, Ministry of Housing, Recreation and Consumer Services (BCMHRCS).  2005.  </w:t>
      </w:r>
      <w:r w:rsidRPr="00371A17">
        <w:rPr>
          <w:rFonts w:ascii="Times New Roman" w:hAnsi="Times New Roman" w:cs="Times New Roman"/>
          <w:i/>
        </w:rPr>
        <w:t xml:space="preserve">Secondary Suites, An Affordable Housing Choice for British Columbians: A summary of local government practices.  </w:t>
      </w:r>
      <w:r w:rsidRPr="00371A17">
        <w:rPr>
          <w:rFonts w:ascii="Times New Roman" w:hAnsi="Times New Roman" w:cs="Times New Roman"/>
        </w:rPr>
        <w:t>Vancouver: Ministry of Housing, Recreation and Consumer Services</w:t>
      </w:r>
    </w:p>
    <w:p w:rsidR="00B97204" w:rsidRPr="00371A17" w:rsidRDefault="00EE7D34" w:rsidP="00B20438">
      <w:pPr>
        <w:spacing w:line="240" w:lineRule="auto"/>
        <w:rPr>
          <w:rFonts w:ascii="Times New Roman" w:hAnsi="Times New Roman" w:cs="Times New Roman"/>
        </w:rPr>
      </w:pPr>
      <w:r>
        <w:rPr>
          <w:rFonts w:ascii="Times New Roman" w:hAnsi="Times New Roman" w:cs="Times New Roman"/>
        </w:rPr>
        <w:t>Been, V., Gross, B. and Infranca</w:t>
      </w:r>
      <w:r w:rsidR="00B97204" w:rsidRPr="00371A17">
        <w:rPr>
          <w:rFonts w:ascii="Times New Roman" w:hAnsi="Times New Roman" w:cs="Times New Roman"/>
        </w:rPr>
        <w:t xml:space="preserve">, J. 2014.  </w:t>
      </w:r>
      <w:r w:rsidR="00B97204" w:rsidRPr="00371A17">
        <w:rPr>
          <w:rFonts w:ascii="Times New Roman" w:hAnsi="Times New Roman" w:cs="Times New Roman"/>
          <w:i/>
        </w:rPr>
        <w:t xml:space="preserve">Responding to Changing Households: Regulatory </w:t>
      </w:r>
      <w:r w:rsidR="0007013D" w:rsidRPr="00371A17">
        <w:rPr>
          <w:rFonts w:ascii="Times New Roman" w:hAnsi="Times New Roman" w:cs="Times New Roman"/>
          <w:i/>
        </w:rPr>
        <w:t>c</w:t>
      </w:r>
      <w:r w:rsidR="00B97204" w:rsidRPr="00371A17">
        <w:rPr>
          <w:rFonts w:ascii="Times New Roman" w:hAnsi="Times New Roman" w:cs="Times New Roman"/>
          <w:i/>
        </w:rPr>
        <w:t xml:space="preserve">hallenges for </w:t>
      </w:r>
      <w:r w:rsidR="0007013D" w:rsidRPr="00371A17">
        <w:rPr>
          <w:rFonts w:ascii="Times New Roman" w:hAnsi="Times New Roman" w:cs="Times New Roman"/>
          <w:i/>
        </w:rPr>
        <w:t>m</w:t>
      </w:r>
      <w:r w:rsidR="00B97204" w:rsidRPr="00371A17">
        <w:rPr>
          <w:rFonts w:ascii="Times New Roman" w:hAnsi="Times New Roman" w:cs="Times New Roman"/>
          <w:i/>
        </w:rPr>
        <w:t>icro-</w:t>
      </w:r>
      <w:r w:rsidR="0007013D" w:rsidRPr="00371A17">
        <w:rPr>
          <w:rFonts w:ascii="Times New Roman" w:hAnsi="Times New Roman" w:cs="Times New Roman"/>
          <w:i/>
        </w:rPr>
        <w:t>u</w:t>
      </w:r>
      <w:r w:rsidR="00B97204" w:rsidRPr="00371A17">
        <w:rPr>
          <w:rFonts w:ascii="Times New Roman" w:hAnsi="Times New Roman" w:cs="Times New Roman"/>
          <w:i/>
        </w:rPr>
        <w:t xml:space="preserve">nits and </w:t>
      </w:r>
      <w:r w:rsidR="0007013D" w:rsidRPr="00371A17">
        <w:rPr>
          <w:rFonts w:ascii="Times New Roman" w:hAnsi="Times New Roman" w:cs="Times New Roman"/>
          <w:i/>
        </w:rPr>
        <w:t>a</w:t>
      </w:r>
      <w:r w:rsidR="00B97204" w:rsidRPr="00371A17">
        <w:rPr>
          <w:rFonts w:ascii="Times New Roman" w:hAnsi="Times New Roman" w:cs="Times New Roman"/>
          <w:i/>
        </w:rPr>
        <w:t xml:space="preserve">ccessory </w:t>
      </w:r>
      <w:r w:rsidR="0007013D" w:rsidRPr="00371A17">
        <w:rPr>
          <w:rFonts w:ascii="Times New Roman" w:hAnsi="Times New Roman" w:cs="Times New Roman"/>
          <w:i/>
        </w:rPr>
        <w:t>d</w:t>
      </w:r>
      <w:r w:rsidR="00B97204" w:rsidRPr="00371A17">
        <w:rPr>
          <w:rFonts w:ascii="Times New Roman" w:hAnsi="Times New Roman" w:cs="Times New Roman"/>
          <w:i/>
        </w:rPr>
        <w:t xml:space="preserve">welling </w:t>
      </w:r>
      <w:r w:rsidR="0007013D" w:rsidRPr="00371A17">
        <w:rPr>
          <w:rFonts w:ascii="Times New Roman" w:hAnsi="Times New Roman" w:cs="Times New Roman"/>
          <w:i/>
        </w:rPr>
        <w:t>u</w:t>
      </w:r>
      <w:r w:rsidR="00B97204" w:rsidRPr="00371A17">
        <w:rPr>
          <w:rFonts w:ascii="Times New Roman" w:hAnsi="Times New Roman" w:cs="Times New Roman"/>
          <w:i/>
        </w:rPr>
        <w:t>nits. Working Paper.</w:t>
      </w:r>
      <w:r w:rsidR="00B97204" w:rsidRPr="00371A17">
        <w:rPr>
          <w:rFonts w:ascii="Times New Roman" w:hAnsi="Times New Roman" w:cs="Times New Roman"/>
        </w:rPr>
        <w:t xml:space="preserve">  New York Furman Center.  Available from: </w:t>
      </w:r>
      <w:hyperlink r:id="rId9" w:history="1">
        <w:r w:rsidR="00B97204" w:rsidRPr="00371A17">
          <w:rPr>
            <w:rStyle w:val="Hyperlink"/>
            <w:rFonts w:ascii="Times New Roman" w:hAnsi="Times New Roman" w:cs="Times New Roman"/>
          </w:rPr>
          <w:t>http://furmancenter.org/files/NYUFurmanCenter_RespondingtoChangingHouseholds_2014.pdf</w:t>
        </w:r>
      </w:hyperlink>
      <w:r w:rsidR="00B97204" w:rsidRPr="00371A17">
        <w:rPr>
          <w:rFonts w:ascii="Times New Roman" w:hAnsi="Times New Roman" w:cs="Times New Roman"/>
        </w:rPr>
        <w:t xml:space="preserve"> [Accessed 20. July</w:t>
      </w:r>
      <w:r w:rsidR="006220B1" w:rsidRPr="00371A17">
        <w:rPr>
          <w:rFonts w:ascii="Times New Roman" w:hAnsi="Times New Roman" w:cs="Times New Roman"/>
        </w:rPr>
        <w:t xml:space="preserve"> 2015</w:t>
      </w:r>
      <w:r w:rsidR="00B97204" w:rsidRPr="00371A17">
        <w:rPr>
          <w:rFonts w:ascii="Times New Roman" w:hAnsi="Times New Roman" w:cs="Times New Roman"/>
        </w:rPr>
        <w:t>].</w:t>
      </w:r>
    </w:p>
    <w:p w:rsidR="00F97C16" w:rsidRPr="00371A17" w:rsidRDefault="00F97C16" w:rsidP="00B20438">
      <w:pPr>
        <w:spacing w:line="240" w:lineRule="auto"/>
        <w:rPr>
          <w:rFonts w:ascii="Times New Roman" w:hAnsi="Times New Roman" w:cs="Times New Roman"/>
        </w:rPr>
      </w:pPr>
      <w:r w:rsidRPr="00371A17">
        <w:rPr>
          <w:rFonts w:ascii="Times New Roman" w:hAnsi="Times New Roman" w:cs="Times New Roman"/>
        </w:rPr>
        <w:t xml:space="preserve">Beim, A. &amp; Sánchez Vibæk, K. 2013.  The construction of affordable low-energy prefabricated housing in Denmark.  In F. Trubiano (ed.), </w:t>
      </w:r>
      <w:r w:rsidRPr="00371A17">
        <w:rPr>
          <w:rFonts w:ascii="Times New Roman" w:hAnsi="Times New Roman" w:cs="Times New Roman"/>
          <w:i/>
        </w:rPr>
        <w:t xml:space="preserve">Design and </w:t>
      </w:r>
      <w:r w:rsidR="0007013D" w:rsidRPr="00371A17">
        <w:rPr>
          <w:rFonts w:ascii="Times New Roman" w:hAnsi="Times New Roman" w:cs="Times New Roman"/>
          <w:i/>
        </w:rPr>
        <w:t>C</w:t>
      </w:r>
      <w:r w:rsidRPr="00371A17">
        <w:rPr>
          <w:rFonts w:ascii="Times New Roman" w:hAnsi="Times New Roman" w:cs="Times New Roman"/>
          <w:i/>
        </w:rPr>
        <w:t xml:space="preserve">onstruction of </w:t>
      </w:r>
      <w:r w:rsidR="0007013D" w:rsidRPr="00371A17">
        <w:rPr>
          <w:rFonts w:ascii="Times New Roman" w:hAnsi="Times New Roman" w:cs="Times New Roman"/>
          <w:i/>
        </w:rPr>
        <w:t>H</w:t>
      </w:r>
      <w:r w:rsidRPr="00371A17">
        <w:rPr>
          <w:rFonts w:ascii="Times New Roman" w:hAnsi="Times New Roman" w:cs="Times New Roman"/>
          <w:i/>
        </w:rPr>
        <w:t>igh-</w:t>
      </w:r>
      <w:r w:rsidR="0007013D" w:rsidRPr="00371A17">
        <w:rPr>
          <w:rFonts w:ascii="Times New Roman" w:hAnsi="Times New Roman" w:cs="Times New Roman"/>
          <w:i/>
        </w:rPr>
        <w:t>P</w:t>
      </w:r>
      <w:r w:rsidRPr="00371A17">
        <w:rPr>
          <w:rFonts w:ascii="Times New Roman" w:hAnsi="Times New Roman" w:cs="Times New Roman"/>
          <w:i/>
        </w:rPr>
        <w:t xml:space="preserve">erformance </w:t>
      </w:r>
      <w:r w:rsidR="0007013D" w:rsidRPr="00371A17">
        <w:rPr>
          <w:rFonts w:ascii="Times New Roman" w:hAnsi="Times New Roman" w:cs="Times New Roman"/>
          <w:i/>
        </w:rPr>
        <w:t>H</w:t>
      </w:r>
      <w:r w:rsidRPr="00371A17">
        <w:rPr>
          <w:rFonts w:ascii="Times New Roman" w:hAnsi="Times New Roman" w:cs="Times New Roman"/>
          <w:i/>
        </w:rPr>
        <w:t xml:space="preserve">omes: </w:t>
      </w:r>
      <w:r w:rsidR="0007013D" w:rsidRPr="00371A17">
        <w:rPr>
          <w:rFonts w:ascii="Times New Roman" w:hAnsi="Times New Roman" w:cs="Times New Roman"/>
          <w:i/>
        </w:rPr>
        <w:t>B</w:t>
      </w:r>
      <w:r w:rsidRPr="00371A17">
        <w:rPr>
          <w:rFonts w:ascii="Times New Roman" w:hAnsi="Times New Roman" w:cs="Times New Roman"/>
          <w:i/>
        </w:rPr>
        <w:t xml:space="preserve">uilding envelopes, renewable energies and integrated practice. </w:t>
      </w:r>
      <w:r w:rsidRPr="00371A17">
        <w:rPr>
          <w:rFonts w:ascii="Times New Roman" w:hAnsi="Times New Roman" w:cs="Times New Roman"/>
        </w:rPr>
        <w:t xml:space="preserve">Abingdon: Routledge, pp. 203-216.  Available from:  </w:t>
      </w:r>
      <w:hyperlink r:id="rId10" w:history="1">
        <w:r w:rsidRPr="00371A17">
          <w:rPr>
            <w:rStyle w:val="Hyperlink"/>
            <w:rFonts w:ascii="Times New Roman" w:hAnsi="Times New Roman" w:cs="Times New Roman"/>
          </w:rPr>
          <w:t>https://books.google.com.au/books?id=xhuTxK6EuJIC&amp;printsec=frontcover&amp;source=gbs_ge_summary_r&amp;cad=0</w:t>
        </w:r>
      </w:hyperlink>
      <w:r w:rsidRPr="00371A17">
        <w:rPr>
          <w:rFonts w:ascii="Times New Roman" w:hAnsi="Times New Roman" w:cs="Times New Roman"/>
        </w:rPr>
        <w:t xml:space="preserve"> [Accessed 8. February</w:t>
      </w:r>
      <w:r w:rsidR="006220B1" w:rsidRPr="00371A17">
        <w:rPr>
          <w:rFonts w:ascii="Times New Roman" w:hAnsi="Times New Roman" w:cs="Times New Roman"/>
        </w:rPr>
        <w:t xml:space="preserve"> 2015</w:t>
      </w:r>
      <w:r w:rsidRPr="00371A17">
        <w:rPr>
          <w:rFonts w:ascii="Times New Roman" w:hAnsi="Times New Roman" w:cs="Times New Roman"/>
        </w:rPr>
        <w:t>].</w:t>
      </w:r>
    </w:p>
    <w:p w:rsidR="00FA7F1B" w:rsidRPr="00371A17" w:rsidRDefault="00FA7F1B" w:rsidP="00B20438">
      <w:pPr>
        <w:spacing w:line="240" w:lineRule="auto"/>
        <w:rPr>
          <w:rFonts w:ascii="Times New Roman" w:hAnsi="Times New Roman" w:cs="Times New Roman"/>
        </w:rPr>
      </w:pPr>
      <w:r w:rsidRPr="00371A17">
        <w:rPr>
          <w:rFonts w:ascii="Times New Roman" w:hAnsi="Times New Roman" w:cs="Times New Roman"/>
        </w:rPr>
        <w:lastRenderedPageBreak/>
        <w:t xml:space="preserve">Bipartisan Policy Center (BPC).  2013.  </w:t>
      </w:r>
      <w:r w:rsidRPr="00371A17">
        <w:rPr>
          <w:rFonts w:ascii="Times New Roman" w:hAnsi="Times New Roman" w:cs="Times New Roman"/>
          <w:i/>
        </w:rPr>
        <w:t>Housing America’s Future: New directions for National Policy.</w:t>
      </w:r>
      <w:r w:rsidRPr="00371A17">
        <w:rPr>
          <w:rFonts w:ascii="Times New Roman" w:hAnsi="Times New Roman" w:cs="Times New Roman"/>
        </w:rPr>
        <w:t xml:space="preserve">  </w:t>
      </w:r>
      <w:r w:rsidR="007441F9" w:rsidRPr="00371A17">
        <w:rPr>
          <w:rFonts w:ascii="Times New Roman" w:hAnsi="Times New Roman" w:cs="Times New Roman"/>
        </w:rPr>
        <w:t xml:space="preserve">Available from: </w:t>
      </w:r>
      <w:hyperlink r:id="rId11" w:history="1">
        <w:r w:rsidR="007441F9" w:rsidRPr="00371A17">
          <w:rPr>
            <w:rStyle w:val="Hyperlink"/>
            <w:rFonts w:ascii="Times New Roman" w:hAnsi="Times New Roman" w:cs="Times New Roman"/>
          </w:rPr>
          <w:t>http://bipartisanpolicy.org/wp-content/uploads/sites/default/files/BPC_Housing%20Report_web_0.pdf</w:t>
        </w:r>
      </w:hyperlink>
      <w:r w:rsidR="007441F9" w:rsidRPr="00371A17">
        <w:rPr>
          <w:rFonts w:ascii="Times New Roman" w:hAnsi="Times New Roman" w:cs="Times New Roman"/>
        </w:rPr>
        <w:t xml:space="preserve"> [Accessed 11. August 2015].</w:t>
      </w:r>
    </w:p>
    <w:p w:rsidR="00312891" w:rsidRPr="00371A17" w:rsidRDefault="00312891" w:rsidP="00B20438">
      <w:pPr>
        <w:spacing w:line="240" w:lineRule="auto"/>
        <w:rPr>
          <w:rFonts w:ascii="Times New Roman" w:hAnsi="Times New Roman" w:cs="Times New Roman"/>
        </w:rPr>
      </w:pPr>
      <w:r w:rsidRPr="00371A17">
        <w:rPr>
          <w:rFonts w:ascii="Times New Roman" w:hAnsi="Times New Roman" w:cs="Times New Roman"/>
        </w:rPr>
        <w:t xml:space="preserve">BIS Shrapnel.  2013.  </w:t>
      </w:r>
      <w:r w:rsidR="0007013D" w:rsidRPr="00371A17">
        <w:rPr>
          <w:rFonts w:ascii="Times New Roman" w:hAnsi="Times New Roman" w:cs="Times New Roman"/>
          <w:i/>
        </w:rPr>
        <w:t>Australian H</w:t>
      </w:r>
      <w:r w:rsidRPr="00371A17">
        <w:rPr>
          <w:rFonts w:ascii="Times New Roman" w:hAnsi="Times New Roman" w:cs="Times New Roman"/>
          <w:i/>
        </w:rPr>
        <w:t xml:space="preserve">ousing </w:t>
      </w:r>
      <w:r w:rsidR="0007013D" w:rsidRPr="00371A17">
        <w:rPr>
          <w:rFonts w:ascii="Times New Roman" w:hAnsi="Times New Roman" w:cs="Times New Roman"/>
          <w:i/>
        </w:rPr>
        <w:t>O</w:t>
      </w:r>
      <w:r w:rsidRPr="00371A17">
        <w:rPr>
          <w:rFonts w:ascii="Times New Roman" w:hAnsi="Times New Roman" w:cs="Times New Roman"/>
          <w:i/>
        </w:rPr>
        <w:t>utlook 2013–2016.</w:t>
      </w:r>
      <w:r w:rsidRPr="00371A17">
        <w:rPr>
          <w:rFonts w:ascii="Times New Roman" w:hAnsi="Times New Roman" w:cs="Times New Roman"/>
        </w:rPr>
        <w:t xml:space="preserve"> Sydney: BIS Shrapnel for QBELMI. Available from: </w:t>
      </w:r>
      <w:hyperlink r:id="rId12" w:history="1">
        <w:r w:rsidRPr="00371A17">
          <w:rPr>
            <w:rStyle w:val="Hyperlink"/>
            <w:rFonts w:ascii="Times New Roman" w:hAnsi="Times New Roman" w:cs="Times New Roman"/>
          </w:rPr>
          <w:t>http://www.qbelmi.com/Uploads/Documents/82c65c49-d7b0-47f1-8c7e-1db1845f7703.pdf</w:t>
        </w:r>
      </w:hyperlink>
      <w:r w:rsidRPr="00371A17">
        <w:rPr>
          <w:rFonts w:ascii="Times New Roman" w:hAnsi="Times New Roman" w:cs="Times New Roman"/>
        </w:rPr>
        <w:t xml:space="preserve"> [Accessed 10. July</w:t>
      </w:r>
      <w:r w:rsidR="006220B1" w:rsidRPr="00371A17">
        <w:rPr>
          <w:rFonts w:ascii="Times New Roman" w:hAnsi="Times New Roman" w:cs="Times New Roman"/>
        </w:rPr>
        <w:t xml:space="preserve"> 2015</w:t>
      </w:r>
      <w:r w:rsidRPr="00371A17">
        <w:rPr>
          <w:rFonts w:ascii="Times New Roman" w:hAnsi="Times New Roman" w:cs="Times New Roman"/>
        </w:rPr>
        <w:t>]</w:t>
      </w:r>
    </w:p>
    <w:p w:rsidR="000B6040" w:rsidRPr="00371A17" w:rsidRDefault="000B6040" w:rsidP="00B20438">
      <w:pPr>
        <w:spacing w:line="240" w:lineRule="auto"/>
        <w:rPr>
          <w:rFonts w:ascii="Times New Roman" w:hAnsi="Times New Roman" w:cs="Times New Roman"/>
        </w:rPr>
      </w:pPr>
      <w:r w:rsidRPr="00371A17">
        <w:rPr>
          <w:rFonts w:ascii="Times New Roman" w:hAnsi="Times New Roman" w:cs="Times New Roman"/>
        </w:rPr>
        <w:t>Cassells, R., Duncan, A., Gao, G., James, A., Leong, K., Markkanen, S. and Rowley, S. 2014</w:t>
      </w:r>
      <w:r w:rsidR="00361474" w:rsidRPr="00371A17">
        <w:rPr>
          <w:rFonts w:ascii="Times New Roman" w:hAnsi="Times New Roman" w:cs="Times New Roman"/>
        </w:rPr>
        <w:t>.</w:t>
      </w:r>
      <w:r w:rsidRPr="00371A17">
        <w:rPr>
          <w:rFonts w:ascii="Times New Roman" w:hAnsi="Times New Roman" w:cs="Times New Roman"/>
        </w:rPr>
        <w:t xml:space="preserve"> </w:t>
      </w:r>
      <w:r w:rsidRPr="00371A17">
        <w:rPr>
          <w:rFonts w:ascii="Times New Roman" w:hAnsi="Times New Roman" w:cs="Times New Roman"/>
          <w:i/>
        </w:rPr>
        <w:t>Housing Affordability: The real costs of housing in WA</w:t>
      </w:r>
      <w:r w:rsidR="00361474" w:rsidRPr="00371A17">
        <w:rPr>
          <w:rFonts w:ascii="Times New Roman" w:hAnsi="Times New Roman" w:cs="Times New Roman"/>
        </w:rPr>
        <w:t>.</w:t>
      </w:r>
      <w:r w:rsidRPr="00371A17">
        <w:rPr>
          <w:rFonts w:ascii="Times New Roman" w:hAnsi="Times New Roman" w:cs="Times New Roman"/>
        </w:rPr>
        <w:t xml:space="preserve"> Bankwest Curtin Economics Centre, Focus on Western Australia Series, Issue 14/2, April 2014</w:t>
      </w:r>
      <w:r w:rsidR="00361474" w:rsidRPr="00371A17">
        <w:rPr>
          <w:rFonts w:ascii="Times New Roman" w:hAnsi="Times New Roman" w:cs="Times New Roman"/>
        </w:rPr>
        <w:t xml:space="preserve">.  Available from: </w:t>
      </w:r>
      <w:hyperlink r:id="rId13" w:history="1">
        <w:r w:rsidR="00361474" w:rsidRPr="00371A17">
          <w:rPr>
            <w:rStyle w:val="Hyperlink"/>
            <w:rFonts w:ascii="Times New Roman" w:hAnsi="Times New Roman" w:cs="Times New Roman"/>
          </w:rPr>
          <w:t>http://business.curtin.edu.au/local/docs/ 067742_Bankwest_Curtin_Economics_Centre_Housing_Affordability_Report_WEB.pdf</w:t>
        </w:r>
      </w:hyperlink>
      <w:r w:rsidR="00361474" w:rsidRPr="00371A17">
        <w:rPr>
          <w:rFonts w:ascii="Times New Roman" w:hAnsi="Times New Roman" w:cs="Times New Roman"/>
        </w:rPr>
        <w:t xml:space="preserve">  [Accessed 20. July</w:t>
      </w:r>
      <w:r w:rsidR="006220B1" w:rsidRPr="00371A17">
        <w:rPr>
          <w:rFonts w:ascii="Times New Roman" w:hAnsi="Times New Roman" w:cs="Times New Roman"/>
        </w:rPr>
        <w:t xml:space="preserve"> 2015</w:t>
      </w:r>
      <w:r w:rsidR="00361474" w:rsidRPr="00371A17">
        <w:rPr>
          <w:rFonts w:ascii="Times New Roman" w:hAnsi="Times New Roman" w:cs="Times New Roman"/>
        </w:rPr>
        <w:t>].</w:t>
      </w:r>
      <w:r w:rsidRPr="00371A17">
        <w:rPr>
          <w:rFonts w:ascii="Times New Roman" w:hAnsi="Times New Roman" w:cs="Times New Roman"/>
        </w:rPr>
        <w:t xml:space="preserve"> </w:t>
      </w:r>
    </w:p>
    <w:p w:rsidR="00D9183B" w:rsidRPr="00371A17" w:rsidRDefault="00D9183B" w:rsidP="00B20438">
      <w:pPr>
        <w:spacing w:line="240" w:lineRule="auto"/>
        <w:rPr>
          <w:rFonts w:ascii="Times New Roman" w:hAnsi="Times New Roman" w:cs="Times New Roman"/>
        </w:rPr>
      </w:pPr>
      <w:r w:rsidRPr="00371A17">
        <w:rPr>
          <w:rFonts w:ascii="Times New Roman" w:hAnsi="Times New Roman" w:cs="Times New Roman"/>
        </w:rPr>
        <w:t>City of Sydney (CoS).  2015a</w:t>
      </w:r>
      <w:r w:rsidR="002F6CAC" w:rsidRPr="00371A17">
        <w:rPr>
          <w:rFonts w:ascii="Times New Roman" w:hAnsi="Times New Roman" w:cs="Times New Roman"/>
        </w:rPr>
        <w:t>. Presentation</w:t>
      </w:r>
      <w:r w:rsidRPr="00371A17">
        <w:rPr>
          <w:rFonts w:ascii="Times New Roman" w:hAnsi="Times New Roman" w:cs="Times New Roman"/>
        </w:rPr>
        <w:t xml:space="preserve"> at University of </w:t>
      </w:r>
      <w:r w:rsidR="002F6CAC" w:rsidRPr="00371A17">
        <w:rPr>
          <w:rFonts w:ascii="Times New Roman" w:hAnsi="Times New Roman" w:cs="Times New Roman"/>
        </w:rPr>
        <w:t>Technology</w:t>
      </w:r>
      <w:r w:rsidRPr="00371A17">
        <w:rPr>
          <w:rFonts w:ascii="Times New Roman" w:hAnsi="Times New Roman" w:cs="Times New Roman"/>
        </w:rPr>
        <w:t xml:space="preserve"> Sydney. </w:t>
      </w:r>
      <w:r w:rsidR="002F6CAC">
        <w:rPr>
          <w:rFonts w:ascii="Times New Roman" w:hAnsi="Times New Roman" w:cs="Times New Roman"/>
        </w:rPr>
        <w:t>[</w:t>
      </w:r>
      <w:r w:rsidRPr="00371A17">
        <w:rPr>
          <w:rFonts w:ascii="Times New Roman" w:hAnsi="Times New Roman" w:cs="Times New Roman"/>
        </w:rPr>
        <w:t>26. February</w:t>
      </w:r>
      <w:r w:rsidR="002F6CAC">
        <w:rPr>
          <w:rFonts w:ascii="Times New Roman" w:hAnsi="Times New Roman" w:cs="Times New Roman"/>
        </w:rPr>
        <w:t xml:space="preserve"> 2015]</w:t>
      </w:r>
      <w:r w:rsidRPr="00371A17">
        <w:rPr>
          <w:rFonts w:ascii="Times New Roman" w:hAnsi="Times New Roman" w:cs="Times New Roman"/>
        </w:rPr>
        <w:t xml:space="preserve">.  </w:t>
      </w:r>
    </w:p>
    <w:p w:rsidR="00985142" w:rsidRPr="00371A17" w:rsidRDefault="00985142" w:rsidP="00B20438">
      <w:pPr>
        <w:spacing w:line="240" w:lineRule="auto"/>
        <w:rPr>
          <w:rFonts w:ascii="Times New Roman" w:hAnsi="Times New Roman" w:cs="Times New Roman"/>
        </w:rPr>
      </w:pPr>
      <w:r w:rsidRPr="00371A17">
        <w:rPr>
          <w:rFonts w:ascii="Times New Roman" w:hAnsi="Times New Roman" w:cs="Times New Roman"/>
        </w:rPr>
        <w:t>City of Sydney</w:t>
      </w:r>
      <w:r w:rsidR="00D9183B" w:rsidRPr="00371A17">
        <w:rPr>
          <w:rFonts w:ascii="Times New Roman" w:hAnsi="Times New Roman" w:cs="Times New Roman"/>
        </w:rPr>
        <w:t xml:space="preserve"> (CoS)</w:t>
      </w:r>
      <w:r w:rsidRPr="00371A17">
        <w:rPr>
          <w:rFonts w:ascii="Times New Roman" w:hAnsi="Times New Roman" w:cs="Times New Roman"/>
        </w:rPr>
        <w:t>.  2015</w:t>
      </w:r>
      <w:r w:rsidR="00D9183B" w:rsidRPr="00371A17">
        <w:rPr>
          <w:rFonts w:ascii="Times New Roman" w:hAnsi="Times New Roman" w:cs="Times New Roman"/>
        </w:rPr>
        <w:t>b</w:t>
      </w:r>
      <w:r w:rsidR="002F6CAC" w:rsidRPr="00371A17">
        <w:rPr>
          <w:rFonts w:ascii="Times New Roman" w:hAnsi="Times New Roman" w:cs="Times New Roman"/>
        </w:rPr>
        <w:t xml:space="preserve">. </w:t>
      </w:r>
      <w:r w:rsidR="002F6CAC" w:rsidRPr="002F6CAC">
        <w:rPr>
          <w:rFonts w:ascii="Times New Roman" w:hAnsi="Times New Roman" w:cs="Times New Roman"/>
          <w:i/>
        </w:rPr>
        <w:t>Response</w:t>
      </w:r>
      <w:r w:rsidRPr="00371A17">
        <w:rPr>
          <w:rFonts w:ascii="Times New Roman" w:hAnsi="Times New Roman" w:cs="Times New Roman"/>
          <w:i/>
        </w:rPr>
        <w:t xml:space="preserve"> to the NSW Social Housing Discussion Paper</w:t>
      </w:r>
      <w:r w:rsidRPr="00371A17">
        <w:rPr>
          <w:rFonts w:ascii="Times New Roman" w:hAnsi="Times New Roman" w:cs="Times New Roman"/>
        </w:rPr>
        <w:t xml:space="preserve">.  Available from: </w:t>
      </w:r>
      <w:hyperlink r:id="rId14" w:history="1">
        <w:r w:rsidRPr="00371A17">
          <w:rPr>
            <w:rStyle w:val="Hyperlink"/>
            <w:rFonts w:ascii="Times New Roman" w:hAnsi="Times New Roman" w:cs="Times New Roman"/>
          </w:rPr>
          <w:t>http://www.facs.nsw.gov.au/__data/assets/pdf_file/0019/317026/City-of-Sydney.pdf</w:t>
        </w:r>
      </w:hyperlink>
      <w:r w:rsidRPr="00371A17">
        <w:rPr>
          <w:rFonts w:ascii="Times New Roman" w:hAnsi="Times New Roman" w:cs="Times New Roman"/>
        </w:rPr>
        <w:t xml:space="preserve"> [Accessed 5. June</w:t>
      </w:r>
      <w:r w:rsidR="006220B1" w:rsidRPr="00371A17">
        <w:rPr>
          <w:rFonts w:ascii="Times New Roman" w:hAnsi="Times New Roman" w:cs="Times New Roman"/>
        </w:rPr>
        <w:t xml:space="preserve"> 2015</w:t>
      </w:r>
      <w:r w:rsidRPr="00371A17">
        <w:rPr>
          <w:rFonts w:ascii="Times New Roman" w:hAnsi="Times New Roman" w:cs="Times New Roman"/>
        </w:rPr>
        <w:t>].</w:t>
      </w:r>
    </w:p>
    <w:p w:rsidR="00BB71FE" w:rsidRPr="00371A17" w:rsidRDefault="00BB71FE" w:rsidP="00B20438">
      <w:pPr>
        <w:spacing w:line="240" w:lineRule="auto"/>
        <w:rPr>
          <w:rFonts w:ascii="Times New Roman" w:hAnsi="Times New Roman" w:cs="Times New Roman"/>
        </w:rPr>
      </w:pPr>
      <w:r w:rsidRPr="00371A17">
        <w:rPr>
          <w:rFonts w:ascii="Times New Roman" w:hAnsi="Times New Roman" w:cs="Times New Roman"/>
        </w:rPr>
        <w:t xml:space="preserve">Chapple, K., Wegmann, J., Nemirow, A. and Dentel-Post, C.  2011.  </w:t>
      </w:r>
      <w:r w:rsidR="003D43E2" w:rsidRPr="00371A17">
        <w:rPr>
          <w:rFonts w:ascii="Times New Roman" w:hAnsi="Times New Roman" w:cs="Times New Roman"/>
          <w:i/>
        </w:rPr>
        <w:t xml:space="preserve">Yes </w:t>
      </w:r>
      <w:r w:rsidR="0072274E" w:rsidRPr="00371A17">
        <w:rPr>
          <w:rFonts w:ascii="Times New Roman" w:hAnsi="Times New Roman" w:cs="Times New Roman"/>
          <w:i/>
        </w:rPr>
        <w:t>in</w:t>
      </w:r>
      <w:r w:rsidR="003D43E2" w:rsidRPr="00371A17">
        <w:rPr>
          <w:rFonts w:ascii="Times New Roman" w:hAnsi="Times New Roman" w:cs="Times New Roman"/>
          <w:i/>
        </w:rPr>
        <w:t xml:space="preserve"> My Backyard: Mobilizing </w:t>
      </w:r>
      <w:r w:rsidR="0072274E" w:rsidRPr="00371A17">
        <w:rPr>
          <w:rFonts w:ascii="Times New Roman" w:hAnsi="Times New Roman" w:cs="Times New Roman"/>
          <w:i/>
        </w:rPr>
        <w:t>the</w:t>
      </w:r>
      <w:r w:rsidR="003D43E2" w:rsidRPr="00371A17">
        <w:rPr>
          <w:rFonts w:ascii="Times New Roman" w:hAnsi="Times New Roman" w:cs="Times New Roman"/>
          <w:i/>
        </w:rPr>
        <w:t xml:space="preserve"> Market </w:t>
      </w:r>
      <w:r w:rsidR="0072274E" w:rsidRPr="00371A17">
        <w:rPr>
          <w:rFonts w:ascii="Times New Roman" w:hAnsi="Times New Roman" w:cs="Times New Roman"/>
          <w:i/>
        </w:rPr>
        <w:t>for</w:t>
      </w:r>
      <w:r w:rsidR="003D43E2" w:rsidRPr="00371A17">
        <w:rPr>
          <w:rFonts w:ascii="Times New Roman" w:hAnsi="Times New Roman" w:cs="Times New Roman"/>
          <w:i/>
        </w:rPr>
        <w:t xml:space="preserve"> Secondary Units</w:t>
      </w:r>
      <w:r w:rsidRPr="00371A17">
        <w:rPr>
          <w:rFonts w:ascii="Times New Roman" w:hAnsi="Times New Roman" w:cs="Times New Roman"/>
          <w:i/>
        </w:rPr>
        <w:t xml:space="preserve">, </w:t>
      </w:r>
      <w:r w:rsidRPr="00371A17">
        <w:rPr>
          <w:rFonts w:ascii="Times New Roman" w:hAnsi="Times New Roman" w:cs="Times New Roman"/>
        </w:rPr>
        <w:t xml:space="preserve">Center </w:t>
      </w:r>
      <w:r w:rsidR="0072274E" w:rsidRPr="00371A17">
        <w:rPr>
          <w:rFonts w:ascii="Times New Roman" w:hAnsi="Times New Roman" w:cs="Times New Roman"/>
        </w:rPr>
        <w:t>for</w:t>
      </w:r>
      <w:r w:rsidRPr="00371A17">
        <w:rPr>
          <w:rFonts w:ascii="Times New Roman" w:hAnsi="Times New Roman" w:cs="Times New Roman"/>
        </w:rPr>
        <w:t xml:space="preserve"> Community Innovation </w:t>
      </w:r>
      <w:r w:rsidR="0072274E" w:rsidRPr="00371A17">
        <w:rPr>
          <w:rFonts w:ascii="Times New Roman" w:hAnsi="Times New Roman" w:cs="Times New Roman"/>
        </w:rPr>
        <w:t>at</w:t>
      </w:r>
      <w:r w:rsidRPr="00371A17">
        <w:rPr>
          <w:rFonts w:ascii="Times New Roman" w:hAnsi="Times New Roman" w:cs="Times New Roman"/>
        </w:rPr>
        <w:t xml:space="preserve"> </w:t>
      </w:r>
      <w:r w:rsidR="0072274E" w:rsidRPr="00371A17">
        <w:rPr>
          <w:rFonts w:ascii="Times New Roman" w:hAnsi="Times New Roman" w:cs="Times New Roman"/>
        </w:rPr>
        <w:t>the</w:t>
      </w:r>
      <w:r w:rsidRPr="00371A17">
        <w:rPr>
          <w:rFonts w:ascii="Times New Roman" w:hAnsi="Times New Roman" w:cs="Times New Roman"/>
        </w:rPr>
        <w:t xml:space="preserve"> Institute </w:t>
      </w:r>
      <w:r w:rsidR="0072274E" w:rsidRPr="00371A17">
        <w:rPr>
          <w:rFonts w:ascii="Times New Roman" w:hAnsi="Times New Roman" w:cs="Times New Roman"/>
        </w:rPr>
        <w:t>of</w:t>
      </w:r>
      <w:r w:rsidRPr="00371A17">
        <w:rPr>
          <w:rFonts w:ascii="Times New Roman" w:hAnsi="Times New Roman" w:cs="Times New Roman"/>
        </w:rPr>
        <w:t xml:space="preserve"> Urban</w:t>
      </w:r>
      <w:r w:rsidR="003D43E2" w:rsidRPr="00371A17">
        <w:rPr>
          <w:rFonts w:ascii="Times New Roman" w:hAnsi="Times New Roman" w:cs="Times New Roman"/>
        </w:rPr>
        <w:t xml:space="preserve"> </w:t>
      </w:r>
      <w:r w:rsidR="0072274E" w:rsidRPr="00371A17">
        <w:rPr>
          <w:rFonts w:ascii="Times New Roman" w:hAnsi="Times New Roman" w:cs="Times New Roman"/>
        </w:rPr>
        <w:t>and</w:t>
      </w:r>
      <w:r w:rsidR="003D43E2" w:rsidRPr="00371A17">
        <w:rPr>
          <w:rFonts w:ascii="Times New Roman" w:hAnsi="Times New Roman" w:cs="Times New Roman"/>
        </w:rPr>
        <w:t xml:space="preserve"> Regional Development at UC-</w:t>
      </w:r>
      <w:r w:rsidR="0072274E" w:rsidRPr="00371A17">
        <w:rPr>
          <w:rFonts w:ascii="Times New Roman" w:hAnsi="Times New Roman" w:cs="Times New Roman"/>
        </w:rPr>
        <w:t>Berkeley</w:t>
      </w:r>
      <w:r w:rsidR="003D43E2" w:rsidRPr="00371A17">
        <w:rPr>
          <w:rFonts w:ascii="Times New Roman" w:hAnsi="Times New Roman" w:cs="Times New Roman"/>
        </w:rPr>
        <w:t xml:space="preserve">. Available </w:t>
      </w:r>
      <w:r w:rsidRPr="00371A17">
        <w:rPr>
          <w:rFonts w:ascii="Times New Roman" w:hAnsi="Times New Roman" w:cs="Times New Roman"/>
        </w:rPr>
        <w:t xml:space="preserve">from: </w:t>
      </w:r>
      <w:hyperlink r:id="rId15" w:history="1">
        <w:r w:rsidRPr="00371A17">
          <w:rPr>
            <w:rStyle w:val="Hyperlink"/>
            <w:rFonts w:ascii="Times New Roman" w:hAnsi="Times New Roman" w:cs="Times New Roman"/>
          </w:rPr>
          <w:t>http://communityinnovation.berkeley.edu/reports/secondary-units.pdf</w:t>
        </w:r>
      </w:hyperlink>
      <w:r w:rsidRPr="00371A17">
        <w:rPr>
          <w:rFonts w:ascii="Times New Roman" w:hAnsi="Times New Roman" w:cs="Times New Roman"/>
        </w:rPr>
        <w:t xml:space="preserve"> </w:t>
      </w:r>
      <w:r w:rsidR="003D43E2" w:rsidRPr="00371A17">
        <w:rPr>
          <w:rFonts w:ascii="Times New Roman" w:hAnsi="Times New Roman" w:cs="Times New Roman"/>
        </w:rPr>
        <w:t>[Accessed 20. July</w:t>
      </w:r>
      <w:r w:rsidR="006220B1" w:rsidRPr="00371A17">
        <w:rPr>
          <w:rFonts w:ascii="Times New Roman" w:hAnsi="Times New Roman" w:cs="Times New Roman"/>
        </w:rPr>
        <w:t xml:space="preserve"> 2015</w:t>
      </w:r>
      <w:r w:rsidR="003D43E2" w:rsidRPr="00371A17">
        <w:rPr>
          <w:rFonts w:ascii="Times New Roman" w:hAnsi="Times New Roman" w:cs="Times New Roman"/>
        </w:rPr>
        <w:t>].</w:t>
      </w:r>
    </w:p>
    <w:p w:rsidR="00136334" w:rsidRPr="00371A17" w:rsidRDefault="00136334" w:rsidP="00B20438">
      <w:pPr>
        <w:spacing w:line="240" w:lineRule="auto"/>
        <w:rPr>
          <w:rFonts w:ascii="Times New Roman" w:hAnsi="Times New Roman" w:cs="Times New Roman"/>
        </w:rPr>
      </w:pPr>
      <w:r w:rsidRPr="00371A17">
        <w:rPr>
          <w:rFonts w:ascii="Times New Roman" w:hAnsi="Times New Roman" w:cs="Times New Roman"/>
        </w:rPr>
        <w:t xml:space="preserve">City of Seattle.  2010.  </w:t>
      </w:r>
      <w:r w:rsidRPr="00371A17">
        <w:rPr>
          <w:rFonts w:ascii="Times New Roman" w:hAnsi="Times New Roman" w:cs="Times New Roman"/>
          <w:i/>
        </w:rPr>
        <w:t>A Guide to Building a Backyard Cottage.</w:t>
      </w:r>
      <w:r w:rsidRPr="00371A17">
        <w:rPr>
          <w:rFonts w:ascii="Times New Roman" w:hAnsi="Times New Roman" w:cs="Times New Roman"/>
        </w:rPr>
        <w:t xml:space="preserve">  Available from: </w:t>
      </w:r>
      <w:hyperlink r:id="rId16" w:history="1">
        <w:r w:rsidRPr="00371A17">
          <w:rPr>
            <w:rStyle w:val="Hyperlink"/>
            <w:rFonts w:ascii="Times New Roman" w:hAnsi="Times New Roman" w:cs="Times New Roman"/>
          </w:rPr>
          <w:t>file:///C:/Users/Pernille/Downloads/backyardcottagesguide-final.pdf</w:t>
        </w:r>
      </w:hyperlink>
      <w:r w:rsidRPr="00371A17">
        <w:rPr>
          <w:rFonts w:ascii="Times New Roman" w:hAnsi="Times New Roman" w:cs="Times New Roman"/>
        </w:rPr>
        <w:t xml:space="preserve"> [Accessed 25. August 2015].</w:t>
      </w:r>
    </w:p>
    <w:p w:rsidR="00CF26CE" w:rsidRPr="00371A17" w:rsidRDefault="00CF26CE" w:rsidP="00B20438">
      <w:pPr>
        <w:spacing w:line="240" w:lineRule="auto"/>
        <w:rPr>
          <w:rFonts w:ascii="Times New Roman" w:hAnsi="Times New Roman" w:cs="Times New Roman"/>
        </w:rPr>
      </w:pPr>
      <w:r w:rsidRPr="00371A17">
        <w:rPr>
          <w:rFonts w:ascii="Times New Roman" w:hAnsi="Times New Roman" w:cs="Times New Roman"/>
        </w:rPr>
        <w:t xml:space="preserve">Cobb, R.L. and Dvorak, S.  2000.  </w:t>
      </w:r>
      <w:r w:rsidRPr="00371A17">
        <w:rPr>
          <w:rFonts w:ascii="Times New Roman" w:hAnsi="Times New Roman" w:cs="Times New Roman"/>
          <w:i/>
        </w:rPr>
        <w:t>Accessory Dwelling Units: Model State Act and Local Ordinance.</w:t>
      </w:r>
      <w:r w:rsidRPr="00371A17">
        <w:rPr>
          <w:rFonts w:ascii="Times New Roman" w:hAnsi="Times New Roman" w:cs="Times New Roman"/>
        </w:rPr>
        <w:t xml:space="preserve">  Public Policy Institute, AARP.  Available from: </w:t>
      </w:r>
      <w:hyperlink r:id="rId17" w:history="1">
        <w:r w:rsidRPr="00371A17">
          <w:rPr>
            <w:rStyle w:val="Hyperlink"/>
            <w:rFonts w:ascii="Times New Roman" w:hAnsi="Times New Roman" w:cs="Times New Roman"/>
          </w:rPr>
          <w:t>http://assets.aarp.org/rgcenter/consume/d17158_dwell.pdf</w:t>
        </w:r>
      </w:hyperlink>
      <w:r w:rsidRPr="00371A17">
        <w:rPr>
          <w:rFonts w:ascii="Times New Roman" w:hAnsi="Times New Roman" w:cs="Times New Roman"/>
        </w:rPr>
        <w:t xml:space="preserve"> [Accessed 25. August 2015].</w:t>
      </w:r>
    </w:p>
    <w:p w:rsidR="00654488" w:rsidRPr="00371A17" w:rsidRDefault="00654488" w:rsidP="00B20438">
      <w:pPr>
        <w:spacing w:line="240" w:lineRule="auto"/>
        <w:rPr>
          <w:rFonts w:ascii="Times New Roman" w:hAnsi="Times New Roman" w:cs="Times New Roman"/>
        </w:rPr>
      </w:pPr>
      <w:r w:rsidRPr="00371A17">
        <w:rPr>
          <w:rFonts w:ascii="Times New Roman" w:hAnsi="Times New Roman" w:cs="Times New Roman"/>
        </w:rPr>
        <w:t>CPH City and Port Development</w:t>
      </w:r>
      <w:r w:rsidR="001C12CB" w:rsidRPr="00371A17">
        <w:rPr>
          <w:rFonts w:ascii="Times New Roman" w:hAnsi="Times New Roman" w:cs="Times New Roman"/>
        </w:rPr>
        <w:t>.</w:t>
      </w:r>
      <w:r w:rsidRPr="00371A17">
        <w:rPr>
          <w:rFonts w:ascii="Times New Roman" w:hAnsi="Times New Roman" w:cs="Times New Roman"/>
        </w:rPr>
        <w:t xml:space="preserve"> 2012</w:t>
      </w:r>
      <w:r w:rsidR="001C12CB" w:rsidRPr="00371A17">
        <w:rPr>
          <w:rFonts w:ascii="Times New Roman" w:hAnsi="Times New Roman" w:cs="Times New Roman"/>
        </w:rPr>
        <w:t>.</w:t>
      </w:r>
      <w:r w:rsidRPr="00371A17">
        <w:rPr>
          <w:rFonts w:ascii="Times New Roman" w:hAnsi="Times New Roman" w:cs="Times New Roman"/>
        </w:rPr>
        <w:t xml:space="preserve"> </w:t>
      </w:r>
      <w:r w:rsidRPr="00371A17">
        <w:rPr>
          <w:rFonts w:ascii="Times New Roman" w:hAnsi="Times New Roman" w:cs="Times New Roman"/>
          <w:i/>
        </w:rPr>
        <w:t>Nordhavnen: from idea to project</w:t>
      </w:r>
      <w:r w:rsidR="00AD6813" w:rsidRPr="00371A17">
        <w:rPr>
          <w:rFonts w:ascii="Times New Roman" w:hAnsi="Times New Roman" w:cs="Times New Roman"/>
          <w:i/>
        </w:rPr>
        <w:t>.</w:t>
      </w:r>
      <w:r w:rsidR="00AD6813" w:rsidRPr="00371A17">
        <w:rPr>
          <w:rFonts w:ascii="Times New Roman" w:hAnsi="Times New Roman" w:cs="Times New Roman"/>
        </w:rPr>
        <w:t xml:space="preserve"> [</w:t>
      </w:r>
      <w:r w:rsidR="0072274E" w:rsidRPr="00371A17">
        <w:rPr>
          <w:rFonts w:ascii="Times New Roman" w:hAnsi="Times New Roman" w:cs="Times New Roman"/>
        </w:rPr>
        <w:t>Electronic</w:t>
      </w:r>
      <w:r w:rsidR="001C12CB" w:rsidRPr="00371A17">
        <w:rPr>
          <w:rFonts w:ascii="Times New Roman" w:hAnsi="Times New Roman" w:cs="Times New Roman"/>
        </w:rPr>
        <w:t xml:space="preserve"> book</w:t>
      </w:r>
      <w:r w:rsidR="00AD6813" w:rsidRPr="00371A17">
        <w:rPr>
          <w:rFonts w:ascii="Times New Roman" w:hAnsi="Times New Roman" w:cs="Times New Roman"/>
        </w:rPr>
        <w:t>]</w:t>
      </w:r>
      <w:r w:rsidR="001C12CB" w:rsidRPr="00371A17">
        <w:rPr>
          <w:rFonts w:ascii="Times New Roman" w:hAnsi="Times New Roman" w:cs="Times New Roman"/>
        </w:rPr>
        <w:t xml:space="preserve">  Available from: </w:t>
      </w:r>
      <w:hyperlink r:id="rId18" w:history="1">
        <w:r w:rsidRPr="00371A17">
          <w:rPr>
            <w:rStyle w:val="Hyperlink"/>
            <w:rFonts w:ascii="Times New Roman" w:hAnsi="Times New Roman" w:cs="Times New Roman"/>
          </w:rPr>
          <w:t>http://www.nordhavnen.dk/~/media/_newnordhavnen/arhusgade_170912_low.pdf%3E</w:t>
        </w:r>
      </w:hyperlink>
      <w:r w:rsidR="001C12CB" w:rsidRPr="00371A17">
        <w:rPr>
          <w:rFonts w:ascii="Times New Roman" w:hAnsi="Times New Roman" w:cs="Times New Roman"/>
        </w:rPr>
        <w:t xml:space="preserve">  [Accessed 8 Feb</w:t>
      </w:r>
      <w:r w:rsidR="006220B1" w:rsidRPr="00371A17">
        <w:rPr>
          <w:rFonts w:ascii="Times New Roman" w:hAnsi="Times New Roman" w:cs="Times New Roman"/>
        </w:rPr>
        <w:t>ruary 2015</w:t>
      </w:r>
      <w:r w:rsidR="001C12CB" w:rsidRPr="00371A17">
        <w:rPr>
          <w:rFonts w:ascii="Times New Roman" w:hAnsi="Times New Roman" w:cs="Times New Roman"/>
        </w:rPr>
        <w:t>].</w:t>
      </w:r>
    </w:p>
    <w:p w:rsidR="000E1D56" w:rsidRPr="00371A17" w:rsidRDefault="000E1D56" w:rsidP="00B20438">
      <w:pPr>
        <w:spacing w:line="240" w:lineRule="auto"/>
        <w:rPr>
          <w:rFonts w:ascii="Times New Roman" w:hAnsi="Times New Roman" w:cs="Times New Roman"/>
        </w:rPr>
      </w:pPr>
      <w:r w:rsidRPr="00371A17">
        <w:rPr>
          <w:rFonts w:ascii="Times New Roman" w:hAnsi="Times New Roman" w:cs="Times New Roman"/>
        </w:rPr>
        <w:t xml:space="preserve">Crawford, T. 2011. </w:t>
      </w:r>
      <w:r w:rsidRPr="00371A17">
        <w:rPr>
          <w:rFonts w:ascii="Times New Roman" w:hAnsi="Times New Roman" w:cs="Times New Roman"/>
          <w:i/>
        </w:rPr>
        <w:t>3rd Key Worker Housing Affordability Report</w:t>
      </w:r>
      <w:r w:rsidRPr="00371A17">
        <w:rPr>
          <w:rFonts w:ascii="Times New Roman" w:hAnsi="Times New Roman" w:cs="Times New Roman"/>
        </w:rPr>
        <w:t xml:space="preserve">. Bankwest Financial Indicator Series. Sydney: Bankwest. </w:t>
      </w:r>
    </w:p>
    <w:p w:rsidR="00E02332" w:rsidRPr="00371A17" w:rsidRDefault="00E02332" w:rsidP="00B20438">
      <w:pPr>
        <w:spacing w:line="240" w:lineRule="auto"/>
        <w:rPr>
          <w:rFonts w:ascii="Times New Roman" w:hAnsi="Times New Roman" w:cs="Times New Roman"/>
        </w:rPr>
      </w:pPr>
      <w:bookmarkStart w:id="1" w:name="_ENREF_30"/>
      <w:r w:rsidRPr="00371A17">
        <w:rPr>
          <w:rFonts w:ascii="Times New Roman" w:hAnsi="Times New Roman" w:cs="Times New Roman"/>
        </w:rPr>
        <w:t xml:space="preserve">de Vaus, D. &amp; Qu, L. 2011. </w:t>
      </w:r>
      <w:r w:rsidRPr="00371A17">
        <w:rPr>
          <w:rFonts w:ascii="Times New Roman" w:hAnsi="Times New Roman" w:cs="Times New Roman"/>
          <w:i/>
        </w:rPr>
        <w:t xml:space="preserve">Understanding the rise of solo living in Australia.  </w:t>
      </w:r>
      <w:r w:rsidRPr="00371A17">
        <w:rPr>
          <w:rFonts w:ascii="Times New Roman" w:hAnsi="Times New Roman" w:cs="Times New Roman"/>
        </w:rPr>
        <w:t>Canberra: Australian Institute of Family Studies.</w:t>
      </w:r>
      <w:bookmarkEnd w:id="1"/>
    </w:p>
    <w:p w:rsidR="00416C77" w:rsidRPr="00371A17" w:rsidRDefault="00416C77" w:rsidP="00B20438">
      <w:pPr>
        <w:spacing w:line="240" w:lineRule="auto"/>
        <w:rPr>
          <w:rFonts w:ascii="Times New Roman" w:hAnsi="Times New Roman" w:cs="Times New Roman"/>
        </w:rPr>
      </w:pPr>
      <w:r w:rsidRPr="00371A17">
        <w:rPr>
          <w:rFonts w:ascii="Times New Roman" w:hAnsi="Times New Roman" w:cs="Times New Roman"/>
        </w:rPr>
        <w:t xml:space="preserve">Delaware State Housing Authority.  2010.  </w:t>
      </w:r>
      <w:r w:rsidR="0072274E" w:rsidRPr="00371A17">
        <w:rPr>
          <w:rFonts w:ascii="Times New Roman" w:hAnsi="Times New Roman" w:cs="Times New Roman"/>
          <w:i/>
        </w:rPr>
        <w:t>Accessory</w:t>
      </w:r>
      <w:r w:rsidRPr="00371A17">
        <w:rPr>
          <w:rFonts w:ascii="Times New Roman" w:hAnsi="Times New Roman" w:cs="Times New Roman"/>
          <w:i/>
        </w:rPr>
        <w:t xml:space="preserve"> Dwelling Units: A Practical Option to Promote Affordability.</w:t>
      </w:r>
      <w:r w:rsidRPr="00371A17">
        <w:rPr>
          <w:rFonts w:ascii="Times New Roman" w:hAnsi="Times New Roman" w:cs="Times New Roman"/>
        </w:rPr>
        <w:t xml:space="preserve">  Available from: </w:t>
      </w:r>
      <w:hyperlink r:id="rId19" w:history="1">
        <w:r w:rsidRPr="00371A17">
          <w:rPr>
            <w:rStyle w:val="Hyperlink"/>
            <w:rFonts w:ascii="Times New Roman" w:hAnsi="Times New Roman" w:cs="Times New Roman"/>
          </w:rPr>
          <w:t>http://www.destatehousing.com/AffordableHousingResourceCenter/tb_shell_adu.pdf</w:t>
        </w:r>
      </w:hyperlink>
      <w:r w:rsidRPr="00371A17">
        <w:rPr>
          <w:rFonts w:ascii="Times New Roman" w:hAnsi="Times New Roman" w:cs="Times New Roman"/>
        </w:rPr>
        <w:t xml:space="preserve">  [Accessed 15. September 2015].</w:t>
      </w:r>
    </w:p>
    <w:p w:rsidR="003C71D7" w:rsidRPr="00371A17" w:rsidRDefault="003C71D7" w:rsidP="00B20438">
      <w:pPr>
        <w:spacing w:line="240" w:lineRule="auto"/>
        <w:rPr>
          <w:rFonts w:ascii="Times New Roman" w:hAnsi="Times New Roman" w:cs="Times New Roman"/>
        </w:rPr>
      </w:pPr>
      <w:r w:rsidRPr="00371A17">
        <w:rPr>
          <w:rFonts w:ascii="Times New Roman" w:hAnsi="Times New Roman" w:cs="Times New Roman"/>
        </w:rPr>
        <w:t xml:space="preserve">Djukic, J.  2015.  </w:t>
      </w:r>
      <w:r w:rsidRPr="00371A17">
        <w:rPr>
          <w:rFonts w:ascii="Times New Roman" w:hAnsi="Times New Roman" w:cs="Times New Roman"/>
          <w:bCs/>
        </w:rPr>
        <w:t xml:space="preserve">The Suitability of Micro Units for Metropolises: The Built Environment’s Adaptation to a Demographically Changing Urban Population.  </w:t>
      </w:r>
      <w:r w:rsidRPr="00371A17">
        <w:rPr>
          <w:rFonts w:ascii="Times New Roman" w:hAnsi="Times New Roman" w:cs="Times New Roman"/>
        </w:rPr>
        <w:t>Thesis (PhD). University of Technology Sydney.</w:t>
      </w:r>
    </w:p>
    <w:p w:rsidR="00E05571" w:rsidRPr="00371A17" w:rsidRDefault="00E05571" w:rsidP="00B20438">
      <w:pPr>
        <w:spacing w:line="240" w:lineRule="auto"/>
        <w:rPr>
          <w:rFonts w:ascii="Times New Roman" w:hAnsi="Times New Roman" w:cs="Times New Roman"/>
          <w:bCs/>
        </w:rPr>
      </w:pPr>
      <w:r w:rsidRPr="00371A17">
        <w:rPr>
          <w:rFonts w:ascii="Times New Roman" w:hAnsi="Times New Roman" w:cs="Times New Roman"/>
        </w:rPr>
        <w:t xml:space="preserve">Domain News. 2015. </w:t>
      </w:r>
      <w:r w:rsidRPr="00371A17">
        <w:rPr>
          <w:rFonts w:ascii="Times New Roman" w:hAnsi="Times New Roman" w:cs="Times New Roman"/>
          <w:bCs/>
          <w:i/>
        </w:rPr>
        <w:t>How Sydney house prices compare with other global cities.</w:t>
      </w:r>
      <w:r w:rsidRPr="00371A17">
        <w:rPr>
          <w:rFonts w:ascii="Times New Roman" w:hAnsi="Times New Roman" w:cs="Times New Roman"/>
          <w:bCs/>
        </w:rPr>
        <w:t xml:space="preserve">  Domain G</w:t>
      </w:r>
      <w:r w:rsidR="006A2824" w:rsidRPr="00371A17">
        <w:rPr>
          <w:rFonts w:ascii="Times New Roman" w:hAnsi="Times New Roman" w:cs="Times New Roman"/>
          <w:bCs/>
        </w:rPr>
        <w:t>roup. 27. July 2015. Available from</w:t>
      </w:r>
      <w:r w:rsidRPr="00371A17">
        <w:rPr>
          <w:rFonts w:ascii="Times New Roman" w:hAnsi="Times New Roman" w:cs="Times New Roman"/>
          <w:bCs/>
        </w:rPr>
        <w:t xml:space="preserve">: </w:t>
      </w:r>
      <w:hyperlink r:id="rId20" w:history="1">
        <w:r w:rsidR="006A2824" w:rsidRPr="00371A17">
          <w:rPr>
            <w:rStyle w:val="Hyperlink"/>
            <w:rFonts w:ascii="Times New Roman" w:hAnsi="Times New Roman" w:cs="Times New Roman"/>
            <w:bCs/>
          </w:rPr>
          <w:t>http://www.propertyinvesting.net/cgi-script/csNews/csNews.cgi?database=default. db&amp;command=viewone&amp;id=31814&amp;op=t</w:t>
        </w:r>
      </w:hyperlink>
      <w:r w:rsidRPr="00371A17">
        <w:rPr>
          <w:rFonts w:ascii="Times New Roman" w:hAnsi="Times New Roman" w:cs="Times New Roman"/>
          <w:bCs/>
        </w:rPr>
        <w:t xml:space="preserve">  [Accessed 29</w:t>
      </w:r>
      <w:r w:rsidR="00416C77" w:rsidRPr="00371A17">
        <w:rPr>
          <w:rFonts w:ascii="Times New Roman" w:hAnsi="Times New Roman" w:cs="Times New Roman"/>
          <w:bCs/>
        </w:rPr>
        <w:t>.</w:t>
      </w:r>
      <w:r w:rsidRPr="00371A17">
        <w:rPr>
          <w:rFonts w:ascii="Times New Roman" w:hAnsi="Times New Roman" w:cs="Times New Roman"/>
          <w:bCs/>
        </w:rPr>
        <w:t xml:space="preserve"> July</w:t>
      </w:r>
      <w:r w:rsidR="006220B1" w:rsidRPr="00371A17">
        <w:rPr>
          <w:rFonts w:ascii="Times New Roman" w:hAnsi="Times New Roman" w:cs="Times New Roman"/>
        </w:rPr>
        <w:t xml:space="preserve"> 2015</w:t>
      </w:r>
      <w:r w:rsidRPr="00371A17">
        <w:rPr>
          <w:rFonts w:ascii="Times New Roman" w:hAnsi="Times New Roman" w:cs="Times New Roman"/>
          <w:bCs/>
        </w:rPr>
        <w:t xml:space="preserve">]. </w:t>
      </w:r>
    </w:p>
    <w:p w:rsidR="006026F3" w:rsidRPr="00371A17" w:rsidRDefault="006026F3" w:rsidP="00424E37">
      <w:pPr>
        <w:pStyle w:val="EndNoteBibliography"/>
        <w:spacing w:after="160"/>
        <w:rPr>
          <w:rFonts w:ascii="Times New Roman" w:hAnsi="Times New Roman" w:cs="Times New Roman"/>
          <w:sz w:val="22"/>
          <w:lang w:val="en-AU"/>
        </w:rPr>
      </w:pPr>
      <w:bookmarkStart w:id="2" w:name="_ENREF_63"/>
      <w:r w:rsidRPr="00371A17">
        <w:rPr>
          <w:rFonts w:ascii="Times New Roman" w:hAnsi="Times New Roman" w:cs="Times New Roman"/>
          <w:sz w:val="22"/>
          <w:lang w:val="en-AU"/>
        </w:rPr>
        <w:t xml:space="preserve">El Nassar, H.  2004.  ‘Granny Flats’ Finding a Home in Tight Market.  </w:t>
      </w:r>
      <w:r w:rsidRPr="00371A17">
        <w:rPr>
          <w:rFonts w:ascii="Times New Roman" w:hAnsi="Times New Roman" w:cs="Times New Roman"/>
          <w:i/>
          <w:sz w:val="22"/>
          <w:lang w:val="en-AU"/>
        </w:rPr>
        <w:t xml:space="preserve">USA Today. </w:t>
      </w:r>
      <w:r w:rsidRPr="00371A17">
        <w:rPr>
          <w:rFonts w:ascii="Times New Roman" w:hAnsi="Times New Roman" w:cs="Times New Roman"/>
          <w:sz w:val="22"/>
          <w:lang w:val="en-AU"/>
        </w:rPr>
        <w:t xml:space="preserve">Last updated 1. May 2004.  Available from: </w:t>
      </w:r>
      <w:hyperlink r:id="rId21" w:history="1">
        <w:r w:rsidRPr="00371A17">
          <w:rPr>
            <w:rStyle w:val="Hyperlink"/>
            <w:rFonts w:ascii="Times New Roman" w:hAnsi="Times New Roman" w:cs="Times New Roman"/>
            <w:sz w:val="22"/>
            <w:lang w:val="en-AU"/>
          </w:rPr>
          <w:t>http://usatoday30.usatoday.com/news/nation/2004-01-05-granny-flats_x.htm</w:t>
        </w:r>
      </w:hyperlink>
      <w:r w:rsidRPr="00371A17">
        <w:rPr>
          <w:rFonts w:ascii="Times New Roman" w:hAnsi="Times New Roman" w:cs="Times New Roman"/>
          <w:sz w:val="22"/>
          <w:lang w:val="en-AU"/>
        </w:rPr>
        <w:t xml:space="preserve"> [Accessed 25. September 2015].</w:t>
      </w:r>
    </w:p>
    <w:p w:rsidR="00424E37" w:rsidRPr="00371A17" w:rsidRDefault="00424E37" w:rsidP="00424E37">
      <w:pPr>
        <w:pStyle w:val="EndNoteBibliography"/>
        <w:spacing w:after="160"/>
        <w:rPr>
          <w:rFonts w:ascii="Times New Roman" w:hAnsi="Times New Roman" w:cs="Times New Roman"/>
          <w:sz w:val="22"/>
          <w:lang w:val="en-AU"/>
        </w:rPr>
      </w:pPr>
      <w:r w:rsidRPr="00371A17">
        <w:rPr>
          <w:rFonts w:ascii="Times New Roman" w:hAnsi="Times New Roman" w:cs="Times New Roman"/>
          <w:sz w:val="22"/>
          <w:lang w:val="en-AU"/>
        </w:rPr>
        <w:lastRenderedPageBreak/>
        <w:t xml:space="preserve">Farneth, L.  2012.  Amendment will allow Accessory Dwelling </w:t>
      </w:r>
      <w:r w:rsidR="0072274E" w:rsidRPr="00371A17">
        <w:rPr>
          <w:rFonts w:ascii="Times New Roman" w:hAnsi="Times New Roman" w:cs="Times New Roman"/>
          <w:sz w:val="22"/>
          <w:lang w:val="en-AU"/>
        </w:rPr>
        <w:t>Units.</w:t>
      </w:r>
      <w:r w:rsidR="0072274E" w:rsidRPr="00371A17">
        <w:rPr>
          <w:rFonts w:ascii="Times New Roman" w:hAnsi="Times New Roman" w:cs="Times New Roman"/>
          <w:i/>
          <w:sz w:val="22"/>
          <w:lang w:val="en-AU"/>
        </w:rPr>
        <w:t xml:space="preserve"> The</w:t>
      </w:r>
      <w:r w:rsidRPr="00371A17">
        <w:rPr>
          <w:rFonts w:ascii="Times New Roman" w:hAnsi="Times New Roman" w:cs="Times New Roman"/>
          <w:i/>
          <w:sz w:val="22"/>
          <w:lang w:val="en-AU"/>
        </w:rPr>
        <w:t xml:space="preserve"> Journal, </w:t>
      </w:r>
      <w:r w:rsidRPr="00371A17">
        <w:rPr>
          <w:rFonts w:ascii="Times New Roman" w:hAnsi="Times New Roman" w:cs="Times New Roman"/>
          <w:sz w:val="22"/>
          <w:lang w:val="en-AU"/>
        </w:rPr>
        <w:t>Last updated 12. December 2012.</w:t>
      </w:r>
      <w:r w:rsidRPr="00371A17">
        <w:rPr>
          <w:rFonts w:ascii="Times New Roman" w:hAnsi="Times New Roman" w:cs="Times New Roman"/>
          <w:i/>
          <w:sz w:val="22"/>
          <w:lang w:val="en-AU"/>
        </w:rPr>
        <w:t xml:space="preserve">  </w:t>
      </w:r>
      <w:r w:rsidRPr="00371A17">
        <w:rPr>
          <w:rFonts w:ascii="Times New Roman" w:hAnsi="Times New Roman" w:cs="Times New Roman"/>
          <w:sz w:val="22"/>
          <w:lang w:val="en-AU"/>
        </w:rPr>
        <w:t xml:space="preserve">Available from:  </w:t>
      </w:r>
      <w:hyperlink r:id="rId22" w:history="1">
        <w:r w:rsidRPr="00371A17">
          <w:rPr>
            <w:rStyle w:val="Hyperlink"/>
            <w:rFonts w:ascii="Times New Roman" w:hAnsi="Times New Roman" w:cs="Times New Roman"/>
            <w:sz w:val="22"/>
            <w:lang w:val="en-AU"/>
          </w:rPr>
          <w:t>http://journalpress.com/index.php/colonial-beach/beach-news/649-amendment-will-allowaccessory-dwelling-units</w:t>
        </w:r>
      </w:hyperlink>
      <w:r w:rsidRPr="00371A17">
        <w:rPr>
          <w:rFonts w:ascii="Times New Roman" w:hAnsi="Times New Roman" w:cs="Times New Roman"/>
          <w:sz w:val="22"/>
          <w:lang w:val="en-AU"/>
        </w:rPr>
        <w:t xml:space="preserve"> [Accessed 25. August 2015].  </w:t>
      </w:r>
    </w:p>
    <w:p w:rsidR="001D2908" w:rsidRPr="00371A17" w:rsidRDefault="001D2908" w:rsidP="00424E37">
      <w:pPr>
        <w:pStyle w:val="EndNoteBibliography"/>
        <w:spacing w:after="160"/>
        <w:rPr>
          <w:rFonts w:ascii="Times New Roman" w:hAnsi="Times New Roman" w:cs="Times New Roman"/>
          <w:sz w:val="22"/>
          <w:lang w:val="en-AU"/>
        </w:rPr>
      </w:pPr>
      <w:r w:rsidRPr="00371A17">
        <w:rPr>
          <w:rFonts w:ascii="Times New Roman" w:hAnsi="Times New Roman" w:cs="Times New Roman"/>
          <w:sz w:val="22"/>
          <w:lang w:val="en-AU"/>
        </w:rPr>
        <w:t>Hammermann, K. 2012, 'Immer mehr Single-Haushalte: Druck auf Wohnungsmarkt steigt'.</w:t>
      </w:r>
      <w:bookmarkEnd w:id="2"/>
    </w:p>
    <w:p w:rsidR="00101827" w:rsidRPr="00371A17" w:rsidRDefault="00101827" w:rsidP="00B20438">
      <w:pPr>
        <w:pStyle w:val="EndNoteBibliography"/>
        <w:spacing w:after="160"/>
        <w:rPr>
          <w:rFonts w:ascii="Times New Roman" w:hAnsi="Times New Roman" w:cs="Times New Roman"/>
          <w:sz w:val="22"/>
          <w:lang w:val="en-AU"/>
        </w:rPr>
      </w:pPr>
      <w:bookmarkStart w:id="3" w:name="_ENREF_64"/>
      <w:bookmarkStart w:id="4" w:name="_ENREF_117"/>
      <w:r w:rsidRPr="00371A17">
        <w:rPr>
          <w:rFonts w:ascii="Times New Roman" w:hAnsi="Times New Roman" w:cs="Times New Roman"/>
          <w:sz w:val="22"/>
          <w:lang w:val="en-AU"/>
        </w:rPr>
        <w:t xml:space="preserve">Hayden, D. 2002, </w:t>
      </w:r>
      <w:r w:rsidRPr="00371A17">
        <w:rPr>
          <w:rFonts w:ascii="Times New Roman" w:hAnsi="Times New Roman" w:cs="Times New Roman"/>
          <w:i/>
          <w:sz w:val="22"/>
          <w:lang w:val="en-AU"/>
        </w:rPr>
        <w:t xml:space="preserve">Redesigning the American Dream: Gender, </w:t>
      </w:r>
      <w:r w:rsidR="0072274E" w:rsidRPr="00371A17">
        <w:rPr>
          <w:rFonts w:ascii="Times New Roman" w:hAnsi="Times New Roman" w:cs="Times New Roman"/>
          <w:i/>
          <w:sz w:val="22"/>
          <w:lang w:val="en-AU"/>
        </w:rPr>
        <w:t>Housing</w:t>
      </w:r>
      <w:r w:rsidRPr="00371A17">
        <w:rPr>
          <w:rFonts w:ascii="Times New Roman" w:hAnsi="Times New Roman" w:cs="Times New Roman"/>
          <w:i/>
          <w:sz w:val="22"/>
          <w:lang w:val="en-AU"/>
        </w:rPr>
        <w:t>, and Family Life</w:t>
      </w:r>
      <w:r w:rsidR="0072274E">
        <w:rPr>
          <w:rFonts w:ascii="Times New Roman" w:hAnsi="Times New Roman" w:cs="Times New Roman"/>
          <w:sz w:val="22"/>
          <w:lang w:val="en-AU"/>
        </w:rPr>
        <w:t>, 2nd edition</w:t>
      </w:r>
      <w:r w:rsidRPr="00371A17">
        <w:rPr>
          <w:rFonts w:ascii="Times New Roman" w:hAnsi="Times New Roman" w:cs="Times New Roman"/>
          <w:sz w:val="22"/>
          <w:lang w:val="en-AU"/>
        </w:rPr>
        <w:t>, Norton, New York.</w:t>
      </w:r>
      <w:bookmarkEnd w:id="3"/>
    </w:p>
    <w:p w:rsidR="0070026F" w:rsidRPr="00371A17" w:rsidRDefault="0070026F" w:rsidP="0070026F">
      <w:pPr>
        <w:pStyle w:val="EndNoteBibliography"/>
        <w:spacing w:after="160"/>
        <w:rPr>
          <w:rFonts w:ascii="Times New Roman" w:hAnsi="Times New Roman" w:cs="Times New Roman"/>
          <w:sz w:val="22"/>
          <w:lang w:val="en-AU"/>
        </w:rPr>
      </w:pPr>
      <w:bookmarkStart w:id="5" w:name="_ENREF_82"/>
      <w:r w:rsidRPr="00371A17">
        <w:rPr>
          <w:rFonts w:ascii="Times New Roman" w:hAnsi="Times New Roman" w:cs="Times New Roman"/>
          <w:sz w:val="22"/>
          <w:lang w:val="en-AU"/>
        </w:rPr>
        <w:t xml:space="preserve">Infranca, J.  2014.  Housing Changing Households: Regulatory Challenges for Micro-Units and Accessory Dwelling Units.  </w:t>
      </w:r>
      <w:r w:rsidR="00FE7E42" w:rsidRPr="00371A17">
        <w:rPr>
          <w:rFonts w:ascii="Times New Roman" w:hAnsi="Times New Roman" w:cs="Times New Roman"/>
          <w:i/>
          <w:sz w:val="22"/>
          <w:lang w:val="en-AU"/>
        </w:rPr>
        <w:t>Stanford</w:t>
      </w:r>
      <w:r w:rsidRPr="00371A17">
        <w:rPr>
          <w:rFonts w:ascii="Times New Roman" w:hAnsi="Times New Roman" w:cs="Times New Roman"/>
          <w:i/>
          <w:sz w:val="22"/>
          <w:lang w:val="en-AU"/>
        </w:rPr>
        <w:t xml:space="preserve"> Law and Policy Review, </w:t>
      </w:r>
      <w:r w:rsidR="00FE7E42">
        <w:rPr>
          <w:rFonts w:ascii="Times New Roman" w:hAnsi="Times New Roman" w:cs="Times New Roman"/>
          <w:sz w:val="22"/>
          <w:lang w:val="en-AU"/>
        </w:rPr>
        <w:t xml:space="preserve">vol. </w:t>
      </w:r>
      <w:r w:rsidRPr="00371A17">
        <w:rPr>
          <w:rFonts w:ascii="Times New Roman" w:hAnsi="Times New Roman" w:cs="Times New Roman"/>
          <w:sz w:val="22"/>
          <w:lang w:val="en-AU"/>
        </w:rPr>
        <w:t>25: 53, p. 53-90.</w:t>
      </w:r>
    </w:p>
    <w:p w:rsidR="00101827" w:rsidRPr="00371A17" w:rsidRDefault="00101827" w:rsidP="00B20438">
      <w:pPr>
        <w:pStyle w:val="EndNoteBibliography"/>
        <w:spacing w:after="160"/>
        <w:ind w:left="720" w:hanging="720"/>
        <w:rPr>
          <w:rFonts w:ascii="Times New Roman" w:hAnsi="Times New Roman" w:cs="Times New Roman"/>
          <w:sz w:val="22"/>
          <w:lang w:val="en-AU"/>
        </w:rPr>
      </w:pPr>
      <w:r w:rsidRPr="00371A17">
        <w:rPr>
          <w:rFonts w:ascii="Times New Roman" w:hAnsi="Times New Roman" w:cs="Times New Roman"/>
          <w:sz w:val="22"/>
          <w:lang w:val="en-AU"/>
        </w:rPr>
        <w:t xml:space="preserve">Klinenberg, E.  2012.  </w:t>
      </w:r>
      <w:r w:rsidRPr="00371A17">
        <w:rPr>
          <w:rFonts w:ascii="Times New Roman" w:hAnsi="Times New Roman" w:cs="Times New Roman"/>
          <w:i/>
          <w:sz w:val="22"/>
          <w:lang w:val="en-AU"/>
        </w:rPr>
        <w:t>Going Solo</w:t>
      </w:r>
      <w:r w:rsidRPr="00371A17">
        <w:rPr>
          <w:rFonts w:ascii="Times New Roman" w:hAnsi="Times New Roman" w:cs="Times New Roman"/>
          <w:sz w:val="22"/>
          <w:lang w:val="en-AU"/>
        </w:rPr>
        <w:t>.  New York: Penguin Books.</w:t>
      </w:r>
      <w:bookmarkEnd w:id="5"/>
    </w:p>
    <w:p w:rsidR="00617E5F" w:rsidRPr="00371A17" w:rsidRDefault="00617E5F" w:rsidP="00B20438">
      <w:pPr>
        <w:pStyle w:val="EndNoteBibliography"/>
        <w:spacing w:after="160"/>
        <w:rPr>
          <w:rFonts w:ascii="Times New Roman" w:hAnsi="Times New Roman" w:cs="Times New Roman"/>
          <w:bCs/>
          <w:sz w:val="22"/>
          <w:lang w:val="en-AU"/>
        </w:rPr>
      </w:pPr>
      <w:r w:rsidRPr="00371A17">
        <w:rPr>
          <w:rFonts w:ascii="Times New Roman" w:hAnsi="Times New Roman" w:cs="Times New Roman"/>
          <w:bCs/>
          <w:sz w:val="22"/>
          <w:lang w:val="en-AU"/>
        </w:rPr>
        <w:t xml:space="preserve">NSW Department of Housing.  </w:t>
      </w:r>
      <w:r w:rsidRPr="00371A17">
        <w:rPr>
          <w:rFonts w:ascii="Times New Roman" w:hAnsi="Times New Roman" w:cs="Times New Roman"/>
          <w:bCs/>
          <w:i/>
          <w:sz w:val="22"/>
          <w:lang w:val="en-AU"/>
        </w:rPr>
        <w:t>Local Government Housing Kit Database</w:t>
      </w:r>
      <w:r w:rsidRPr="00371A17">
        <w:rPr>
          <w:rFonts w:ascii="Times New Roman" w:hAnsi="Times New Roman" w:cs="Times New Roman"/>
          <w:bCs/>
          <w:sz w:val="22"/>
          <w:lang w:val="en-AU"/>
        </w:rPr>
        <w:t xml:space="preserve">.  Available from:  </w:t>
      </w:r>
      <w:hyperlink r:id="rId23" w:history="1">
        <w:r w:rsidR="0070026F" w:rsidRPr="00371A17">
          <w:rPr>
            <w:rStyle w:val="Hyperlink"/>
            <w:rFonts w:ascii="Times New Roman" w:hAnsi="Times New Roman" w:cs="Times New Roman"/>
            <w:bCs/>
            <w:sz w:val="22"/>
            <w:lang w:val="en-AU"/>
          </w:rPr>
          <w:t>http://www.housing.nsw.gov.au/Centre+For+Affordable+Housing/NSW+Local+Governol 25: 53ent+Housing+Kit/Local+Government+Housing+Kit+Database/</w:t>
        </w:r>
      </w:hyperlink>
      <w:r w:rsidRPr="00371A17">
        <w:rPr>
          <w:rFonts w:ascii="Times New Roman" w:hAnsi="Times New Roman" w:cs="Times New Roman"/>
          <w:bCs/>
          <w:sz w:val="22"/>
          <w:lang w:val="en-AU"/>
        </w:rPr>
        <w:t xml:space="preserve">   </w:t>
      </w:r>
      <w:r w:rsidR="006220B1" w:rsidRPr="00371A17">
        <w:rPr>
          <w:rFonts w:ascii="Times New Roman" w:hAnsi="Times New Roman" w:cs="Times New Roman"/>
          <w:bCs/>
          <w:sz w:val="22"/>
          <w:lang w:val="en-AU"/>
        </w:rPr>
        <w:t xml:space="preserve">[Accessed 30. </w:t>
      </w:r>
      <w:r w:rsidR="00FE7E42" w:rsidRPr="00371A17">
        <w:rPr>
          <w:rFonts w:ascii="Times New Roman" w:hAnsi="Times New Roman" w:cs="Times New Roman"/>
          <w:bCs/>
          <w:sz w:val="22"/>
          <w:lang w:val="en-AU"/>
        </w:rPr>
        <w:t xml:space="preserve">August </w:t>
      </w:r>
      <w:r w:rsidR="00FE7E42" w:rsidRPr="00371A17">
        <w:rPr>
          <w:rFonts w:ascii="Times New Roman" w:hAnsi="Times New Roman" w:cs="Times New Roman"/>
          <w:sz w:val="22"/>
          <w:lang w:val="en-AU"/>
        </w:rPr>
        <w:t>2015</w:t>
      </w:r>
      <w:r w:rsidR="006220B1" w:rsidRPr="00371A17">
        <w:rPr>
          <w:rFonts w:ascii="Times New Roman" w:hAnsi="Times New Roman" w:cs="Times New Roman"/>
          <w:sz w:val="22"/>
          <w:lang w:val="en-AU"/>
        </w:rPr>
        <w:t>].</w:t>
      </w:r>
    </w:p>
    <w:p w:rsidR="00E7471A" w:rsidRPr="00371A17" w:rsidRDefault="00E7471A" w:rsidP="00B20438">
      <w:pPr>
        <w:pStyle w:val="EndNoteBibliography"/>
        <w:spacing w:after="160"/>
        <w:rPr>
          <w:rFonts w:ascii="Times New Roman" w:hAnsi="Times New Roman" w:cs="Times New Roman"/>
          <w:sz w:val="22"/>
          <w:lang w:val="en-AU"/>
        </w:rPr>
      </w:pPr>
      <w:r w:rsidRPr="00371A17">
        <w:rPr>
          <w:rFonts w:ascii="Times New Roman" w:hAnsi="Times New Roman" w:cs="Times New Roman"/>
          <w:sz w:val="22"/>
          <w:lang w:val="en-AU"/>
        </w:rPr>
        <w:t xml:space="preserve">NSW Department of Family and Community Services (NSW DFCS).  2015.  </w:t>
      </w:r>
      <w:r w:rsidRPr="00371A17">
        <w:rPr>
          <w:rFonts w:ascii="Times New Roman" w:hAnsi="Times New Roman" w:cs="Times New Roman"/>
          <w:i/>
          <w:sz w:val="22"/>
          <w:lang w:val="en-AU"/>
        </w:rPr>
        <w:t>Rent and Sales Report: No.</w:t>
      </w:r>
      <w:r w:rsidR="00FE7E42">
        <w:rPr>
          <w:rFonts w:ascii="Times New Roman" w:hAnsi="Times New Roman" w:cs="Times New Roman"/>
          <w:i/>
          <w:sz w:val="22"/>
          <w:lang w:val="en-AU"/>
        </w:rPr>
        <w:t xml:space="preserve"> </w:t>
      </w:r>
      <w:r w:rsidRPr="00371A17">
        <w:rPr>
          <w:rFonts w:ascii="Times New Roman" w:hAnsi="Times New Roman" w:cs="Times New Roman"/>
          <w:i/>
          <w:sz w:val="22"/>
          <w:lang w:val="en-AU"/>
        </w:rPr>
        <w:t>112</w:t>
      </w:r>
      <w:r w:rsidRPr="00371A17">
        <w:rPr>
          <w:rFonts w:ascii="Times New Roman" w:hAnsi="Times New Roman" w:cs="Times New Roman"/>
          <w:sz w:val="22"/>
          <w:lang w:val="en-AU"/>
        </w:rPr>
        <w:t xml:space="preserve">. Available from: </w:t>
      </w:r>
      <w:hyperlink r:id="rId24" w:history="1">
        <w:r w:rsidRPr="00371A17">
          <w:rPr>
            <w:rStyle w:val="Hyperlink"/>
            <w:rFonts w:ascii="Times New Roman" w:hAnsi="Times New Roman" w:cs="Times New Roman"/>
            <w:sz w:val="22"/>
            <w:lang w:val="en-AU"/>
          </w:rPr>
          <w:t>http://www.housing.nsw.gov.au/NR/rdonlyres/55E8FA9D-A50D-475F-B303-2616CF144573/0/1Report112.pdf</w:t>
        </w:r>
      </w:hyperlink>
      <w:r w:rsidRPr="00371A17">
        <w:rPr>
          <w:rFonts w:ascii="Times New Roman" w:hAnsi="Times New Roman" w:cs="Times New Roman"/>
          <w:sz w:val="22"/>
          <w:lang w:val="en-AU"/>
        </w:rPr>
        <w:t xml:space="preserve"> [Accessed 23 September</w:t>
      </w:r>
      <w:r w:rsidR="006220B1" w:rsidRPr="00371A17">
        <w:rPr>
          <w:rFonts w:ascii="Times New Roman" w:hAnsi="Times New Roman" w:cs="Times New Roman"/>
          <w:sz w:val="22"/>
          <w:lang w:val="en-AU"/>
        </w:rPr>
        <w:t xml:space="preserve"> 2015</w:t>
      </w:r>
      <w:r w:rsidRPr="00371A17">
        <w:rPr>
          <w:rFonts w:ascii="Times New Roman" w:hAnsi="Times New Roman" w:cs="Times New Roman"/>
          <w:sz w:val="22"/>
          <w:lang w:val="en-AU"/>
        </w:rPr>
        <w:t>].</w:t>
      </w:r>
    </w:p>
    <w:p w:rsidR="001D2908" w:rsidRPr="00371A17" w:rsidRDefault="001D2908" w:rsidP="00B20438">
      <w:pPr>
        <w:pStyle w:val="EndNoteBibliography"/>
        <w:spacing w:after="160"/>
        <w:rPr>
          <w:rFonts w:ascii="Times New Roman" w:hAnsi="Times New Roman" w:cs="Times New Roman"/>
          <w:sz w:val="22"/>
          <w:lang w:val="en-AU"/>
        </w:rPr>
      </w:pPr>
      <w:r w:rsidRPr="00371A17">
        <w:rPr>
          <w:rFonts w:ascii="Times New Roman" w:hAnsi="Times New Roman" w:cs="Times New Roman"/>
          <w:sz w:val="22"/>
          <w:lang w:val="en-AU"/>
        </w:rPr>
        <w:t xml:space="preserve">Palmer, G. 2006. </w:t>
      </w:r>
      <w:r w:rsidRPr="00371A17">
        <w:rPr>
          <w:rFonts w:ascii="Times New Roman" w:hAnsi="Times New Roman" w:cs="Times New Roman"/>
          <w:i/>
          <w:sz w:val="22"/>
          <w:lang w:val="en-AU"/>
        </w:rPr>
        <w:t>Single Person Households</w:t>
      </w:r>
      <w:r w:rsidRPr="00371A17">
        <w:rPr>
          <w:rFonts w:ascii="Times New Roman" w:hAnsi="Times New Roman" w:cs="Times New Roman"/>
          <w:sz w:val="22"/>
          <w:lang w:val="en-AU"/>
        </w:rPr>
        <w:t>.  York: Joseph Rowntree Foundation - New Policy Institute</w:t>
      </w:r>
      <w:bookmarkEnd w:id="4"/>
      <w:r w:rsidRPr="00371A17">
        <w:rPr>
          <w:rFonts w:ascii="Times New Roman" w:hAnsi="Times New Roman" w:cs="Times New Roman"/>
          <w:sz w:val="22"/>
          <w:lang w:val="en-AU"/>
        </w:rPr>
        <w:t xml:space="preserve">. </w:t>
      </w:r>
    </w:p>
    <w:p w:rsidR="006A2824" w:rsidRPr="00371A17" w:rsidRDefault="006A2824" w:rsidP="00B20438">
      <w:pPr>
        <w:spacing w:line="240" w:lineRule="auto"/>
        <w:rPr>
          <w:rFonts w:ascii="Times New Roman" w:hAnsi="Times New Roman" w:cs="Times New Roman"/>
          <w:bCs/>
        </w:rPr>
      </w:pPr>
      <w:r w:rsidRPr="00371A17">
        <w:rPr>
          <w:rFonts w:ascii="Times New Roman" w:hAnsi="Times New Roman" w:cs="Times New Roman"/>
          <w:bCs/>
        </w:rPr>
        <w:t xml:space="preserve">Robb, K.  2015.  </w:t>
      </w:r>
      <w:r w:rsidRPr="00371A17">
        <w:rPr>
          <w:rFonts w:ascii="Times New Roman" w:hAnsi="Times New Roman" w:cs="Times New Roman"/>
          <w:bCs/>
          <w:i/>
        </w:rPr>
        <w:t>Biggest Jump in Sydney Rents in Five Years: Domain Group.</w:t>
      </w:r>
      <w:r w:rsidRPr="00371A17">
        <w:rPr>
          <w:rFonts w:ascii="Times New Roman" w:hAnsi="Times New Roman" w:cs="Times New Roman"/>
          <w:bCs/>
        </w:rPr>
        <w:t xml:space="preserve">  Domain Group. 9. July 2015.  Available from: </w:t>
      </w:r>
      <w:hyperlink r:id="rId25" w:history="1">
        <w:r w:rsidRPr="00371A17">
          <w:rPr>
            <w:rStyle w:val="Hyperlink"/>
            <w:rFonts w:ascii="Times New Roman" w:hAnsi="Times New Roman" w:cs="Times New Roman"/>
            <w:bCs/>
          </w:rPr>
          <w:t>http://news.domain.com.au/domain/real-estate-news/biggest-jump-in-sydney-rents-in-five-years-domain-group-20150708-gi7q92.html</w:t>
        </w:r>
      </w:hyperlink>
      <w:r w:rsidRPr="00371A17">
        <w:rPr>
          <w:rFonts w:ascii="Times New Roman" w:hAnsi="Times New Roman" w:cs="Times New Roman"/>
          <w:bCs/>
        </w:rPr>
        <w:t xml:space="preserve"> [Accessed 30 July</w:t>
      </w:r>
      <w:r w:rsidR="006220B1" w:rsidRPr="00371A17">
        <w:rPr>
          <w:rFonts w:ascii="Times New Roman" w:hAnsi="Times New Roman" w:cs="Times New Roman"/>
        </w:rPr>
        <w:t xml:space="preserve"> 2015</w:t>
      </w:r>
      <w:r w:rsidRPr="00371A17">
        <w:rPr>
          <w:rFonts w:ascii="Times New Roman" w:hAnsi="Times New Roman" w:cs="Times New Roman"/>
          <w:bCs/>
        </w:rPr>
        <w:t xml:space="preserve">]. </w:t>
      </w:r>
    </w:p>
    <w:p w:rsidR="007915C9" w:rsidRPr="00371A17" w:rsidRDefault="007915C9" w:rsidP="00B20438">
      <w:pPr>
        <w:spacing w:line="240" w:lineRule="auto"/>
        <w:rPr>
          <w:rFonts w:ascii="Times New Roman" w:hAnsi="Times New Roman" w:cs="Times New Roman"/>
          <w:bCs/>
        </w:rPr>
      </w:pPr>
      <w:r w:rsidRPr="00371A17">
        <w:rPr>
          <w:rFonts w:ascii="Times New Roman" w:hAnsi="Times New Roman" w:cs="Times New Roman"/>
          <w:bCs/>
        </w:rPr>
        <w:t xml:space="preserve">NSW Affordable Taskforce. 2012.  </w:t>
      </w:r>
      <w:r w:rsidRPr="00371A17">
        <w:rPr>
          <w:rFonts w:ascii="Times New Roman" w:hAnsi="Times New Roman" w:cs="Times New Roman"/>
          <w:bCs/>
          <w:i/>
        </w:rPr>
        <w:t>Interim Report: March 2012</w:t>
      </w:r>
      <w:r w:rsidRPr="00371A17">
        <w:rPr>
          <w:rFonts w:ascii="Times New Roman" w:hAnsi="Times New Roman" w:cs="Times New Roman"/>
          <w:bCs/>
        </w:rPr>
        <w:t xml:space="preserve">.  Available from: </w:t>
      </w:r>
      <w:hyperlink r:id="rId26" w:history="1">
        <w:r w:rsidRPr="00371A17">
          <w:rPr>
            <w:rStyle w:val="Hyperlink"/>
            <w:rFonts w:ascii="Times New Roman" w:hAnsi="Times New Roman" w:cs="Times New Roman"/>
            <w:bCs/>
          </w:rPr>
          <w:t>http://www.planning.nsw.gov.au/Portals/0/DeliveringHomes/Affordable%20housing/Affordable_Housing_Taskforce_Interim_Report.pdf</w:t>
        </w:r>
      </w:hyperlink>
      <w:r w:rsidRPr="00371A17">
        <w:rPr>
          <w:rFonts w:ascii="Times New Roman" w:hAnsi="Times New Roman" w:cs="Times New Roman"/>
          <w:bCs/>
        </w:rPr>
        <w:t xml:space="preserve"> [Accessed 18. July</w:t>
      </w:r>
      <w:r w:rsidR="006220B1" w:rsidRPr="00371A17">
        <w:rPr>
          <w:rFonts w:ascii="Times New Roman" w:hAnsi="Times New Roman" w:cs="Times New Roman"/>
        </w:rPr>
        <w:t xml:space="preserve"> 2015</w:t>
      </w:r>
      <w:r w:rsidRPr="00371A17">
        <w:rPr>
          <w:rFonts w:ascii="Times New Roman" w:hAnsi="Times New Roman" w:cs="Times New Roman"/>
          <w:bCs/>
        </w:rPr>
        <w:t xml:space="preserve">].  </w:t>
      </w:r>
    </w:p>
    <w:p w:rsidR="00A177D9" w:rsidRPr="00371A17" w:rsidRDefault="00A177D9" w:rsidP="00B20438">
      <w:pPr>
        <w:spacing w:line="240" w:lineRule="auto"/>
        <w:rPr>
          <w:rFonts w:ascii="Times New Roman" w:hAnsi="Times New Roman" w:cs="Times New Roman"/>
        </w:rPr>
      </w:pPr>
      <w:bookmarkStart w:id="6" w:name="_ENREF_177"/>
      <w:r w:rsidRPr="00371A17">
        <w:rPr>
          <w:rFonts w:ascii="Times New Roman" w:hAnsi="Times New Roman" w:cs="Times New Roman"/>
        </w:rPr>
        <w:t xml:space="preserve">Kalloch, A.L.  2012. </w:t>
      </w:r>
      <w:r w:rsidRPr="00371A17">
        <w:rPr>
          <w:rFonts w:ascii="Times New Roman" w:hAnsi="Times New Roman" w:cs="Times New Roman"/>
          <w:i/>
        </w:rPr>
        <w:t xml:space="preserve">Start-Up City: Growing New York City’s Entrepreneurial Ecosystem </w:t>
      </w:r>
      <w:r w:rsidR="00FE7E42" w:rsidRPr="00371A17">
        <w:rPr>
          <w:rFonts w:ascii="Times New Roman" w:hAnsi="Times New Roman" w:cs="Times New Roman"/>
          <w:i/>
        </w:rPr>
        <w:t>for</w:t>
      </w:r>
      <w:r w:rsidRPr="00371A17">
        <w:rPr>
          <w:rFonts w:ascii="Times New Roman" w:hAnsi="Times New Roman" w:cs="Times New Roman"/>
          <w:i/>
        </w:rPr>
        <w:t xml:space="preserve"> All.  </w:t>
      </w:r>
      <w:r w:rsidRPr="00371A17">
        <w:rPr>
          <w:rFonts w:ascii="Times New Roman" w:hAnsi="Times New Roman" w:cs="Times New Roman"/>
        </w:rPr>
        <w:t xml:space="preserve">Office </w:t>
      </w:r>
      <w:r w:rsidR="00FE7E42" w:rsidRPr="00371A17">
        <w:rPr>
          <w:rFonts w:ascii="Times New Roman" w:hAnsi="Times New Roman" w:cs="Times New Roman"/>
        </w:rPr>
        <w:t>of</w:t>
      </w:r>
      <w:r w:rsidRPr="00371A17">
        <w:rPr>
          <w:rFonts w:ascii="Times New Roman" w:hAnsi="Times New Roman" w:cs="Times New Roman"/>
        </w:rPr>
        <w:t xml:space="preserve"> </w:t>
      </w:r>
      <w:r w:rsidR="00FE7E42" w:rsidRPr="00371A17">
        <w:rPr>
          <w:rFonts w:ascii="Times New Roman" w:hAnsi="Times New Roman" w:cs="Times New Roman"/>
        </w:rPr>
        <w:t>the</w:t>
      </w:r>
      <w:r w:rsidRPr="00371A17">
        <w:rPr>
          <w:rFonts w:ascii="Times New Roman" w:hAnsi="Times New Roman" w:cs="Times New Roman"/>
        </w:rPr>
        <w:t xml:space="preserve"> Manhattan Borough President. Available from: </w:t>
      </w:r>
      <w:hyperlink r:id="rId27" w:history="1">
        <w:r w:rsidRPr="00371A17">
          <w:rPr>
            <w:rStyle w:val="Hyperlink"/>
            <w:rFonts w:ascii="Times New Roman" w:hAnsi="Times New Roman" w:cs="Times New Roman"/>
          </w:rPr>
          <w:t>https://basecampaign.files.wordpress.com/2013/06/startupcity-report-stringers-office.pdf</w:t>
        </w:r>
      </w:hyperlink>
      <w:r w:rsidRPr="00371A17">
        <w:rPr>
          <w:rFonts w:ascii="Times New Roman" w:hAnsi="Times New Roman" w:cs="Times New Roman"/>
        </w:rPr>
        <w:t xml:space="preserve">. </w:t>
      </w:r>
    </w:p>
    <w:p w:rsidR="008C6116" w:rsidRPr="00371A17" w:rsidRDefault="008C6116" w:rsidP="00DB7CEE">
      <w:pPr>
        <w:spacing w:line="240" w:lineRule="auto"/>
        <w:rPr>
          <w:rFonts w:ascii="Times New Roman" w:hAnsi="Times New Roman" w:cs="Times New Roman"/>
        </w:rPr>
      </w:pPr>
      <w:r w:rsidRPr="00371A17">
        <w:rPr>
          <w:rFonts w:ascii="Times New Roman" w:hAnsi="Times New Roman" w:cs="Times New Roman"/>
        </w:rPr>
        <w:t>Municipal Research &amp; Services Center of Washington</w:t>
      </w:r>
      <w:r w:rsidR="00626051" w:rsidRPr="00371A17">
        <w:rPr>
          <w:rFonts w:ascii="Times New Roman" w:hAnsi="Times New Roman" w:cs="Times New Roman"/>
        </w:rPr>
        <w:t xml:space="preserve"> (MRSC)</w:t>
      </w:r>
      <w:r w:rsidRPr="00371A17">
        <w:rPr>
          <w:rFonts w:ascii="Times New Roman" w:hAnsi="Times New Roman" w:cs="Times New Roman"/>
        </w:rPr>
        <w:t xml:space="preserve">.  1995.  </w:t>
      </w:r>
      <w:r w:rsidRPr="00371A17">
        <w:rPr>
          <w:rFonts w:ascii="Times New Roman" w:hAnsi="Times New Roman" w:cs="Times New Roman"/>
          <w:i/>
        </w:rPr>
        <w:t>Accessory Dwelling Units: Issues &amp; Options.</w:t>
      </w:r>
      <w:r w:rsidRPr="00371A17">
        <w:rPr>
          <w:rFonts w:ascii="Times New Roman" w:hAnsi="Times New Roman" w:cs="Times New Roman"/>
        </w:rPr>
        <w:t xml:space="preserve">  </w:t>
      </w:r>
      <w:r w:rsidR="00626051" w:rsidRPr="00371A17">
        <w:rPr>
          <w:rFonts w:ascii="Times New Roman" w:hAnsi="Times New Roman" w:cs="Times New Roman"/>
        </w:rPr>
        <w:t xml:space="preserve">Report No. 33.  Available from: </w:t>
      </w:r>
      <w:hyperlink r:id="rId28" w:history="1">
        <w:r w:rsidR="00626051" w:rsidRPr="00371A17">
          <w:rPr>
            <w:rStyle w:val="Hyperlink"/>
            <w:rFonts w:ascii="Times New Roman" w:hAnsi="Times New Roman" w:cs="Times New Roman"/>
          </w:rPr>
          <w:t>http://mrsc.org/getmedia/54c058a5-4d57-4192-a214-15f2fa5ac123/ADU30.pdf.aspx?ext=.pdf</w:t>
        </w:r>
      </w:hyperlink>
      <w:r w:rsidR="00626051" w:rsidRPr="00371A17">
        <w:rPr>
          <w:rFonts w:ascii="Times New Roman" w:hAnsi="Times New Roman" w:cs="Times New Roman"/>
        </w:rPr>
        <w:t xml:space="preserve">  [Accessed 10. September, 2015].</w:t>
      </w:r>
    </w:p>
    <w:p w:rsidR="00343D2A" w:rsidRPr="00371A17" w:rsidRDefault="00343D2A" w:rsidP="00DB7CEE">
      <w:pPr>
        <w:spacing w:line="240" w:lineRule="auto"/>
        <w:rPr>
          <w:rFonts w:ascii="Times New Roman" w:hAnsi="Times New Roman" w:cs="Times New Roman"/>
        </w:rPr>
      </w:pPr>
      <w:r w:rsidRPr="00371A17">
        <w:rPr>
          <w:rFonts w:ascii="Times New Roman" w:hAnsi="Times New Roman" w:cs="Times New Roman"/>
        </w:rPr>
        <w:t xml:space="preserve">National Neighborhood Coalition (NNC).  2001.  </w:t>
      </w:r>
      <w:r w:rsidRPr="00371A17">
        <w:rPr>
          <w:rFonts w:ascii="Times New Roman" w:hAnsi="Times New Roman" w:cs="Times New Roman"/>
          <w:i/>
        </w:rPr>
        <w:t>Affordable Housing and Smart Growth Making the Connection</w:t>
      </w:r>
      <w:r w:rsidRPr="00371A17">
        <w:rPr>
          <w:rFonts w:ascii="Times New Roman" w:hAnsi="Times New Roman" w:cs="Times New Roman"/>
        </w:rPr>
        <w:t>.  Washington, DC.</w:t>
      </w:r>
    </w:p>
    <w:p w:rsidR="00975918" w:rsidRPr="00371A17" w:rsidRDefault="00975918" w:rsidP="00DB7CEE">
      <w:pPr>
        <w:spacing w:line="240" w:lineRule="auto"/>
        <w:rPr>
          <w:rFonts w:ascii="Times New Roman" w:hAnsi="Times New Roman" w:cs="Times New Roman"/>
        </w:rPr>
      </w:pPr>
      <w:r w:rsidRPr="00371A17">
        <w:rPr>
          <w:rFonts w:ascii="Times New Roman" w:hAnsi="Times New Roman" w:cs="Times New Roman"/>
        </w:rPr>
        <w:t>Pew Research Center.  2010</w:t>
      </w:r>
      <w:r w:rsidR="00117525" w:rsidRPr="00371A17">
        <w:rPr>
          <w:rFonts w:ascii="Times New Roman" w:hAnsi="Times New Roman" w:cs="Times New Roman"/>
        </w:rPr>
        <w:t>a</w:t>
      </w:r>
      <w:r w:rsidR="00FE7E42" w:rsidRPr="00371A17">
        <w:rPr>
          <w:rFonts w:ascii="Times New Roman" w:hAnsi="Times New Roman" w:cs="Times New Roman"/>
        </w:rPr>
        <w:t xml:space="preserve">. </w:t>
      </w:r>
      <w:r w:rsidR="00FE7E42" w:rsidRPr="00FE7E42">
        <w:rPr>
          <w:rFonts w:ascii="Times New Roman" w:hAnsi="Times New Roman" w:cs="Times New Roman"/>
          <w:i/>
        </w:rPr>
        <w:t>The</w:t>
      </w:r>
      <w:r w:rsidR="003B1384" w:rsidRPr="00FE7E42">
        <w:rPr>
          <w:rFonts w:ascii="Times New Roman" w:hAnsi="Times New Roman" w:cs="Times New Roman"/>
          <w:i/>
        </w:rPr>
        <w:t xml:space="preserve"> </w:t>
      </w:r>
      <w:r w:rsidR="003B1384" w:rsidRPr="00371A17">
        <w:rPr>
          <w:rFonts w:ascii="Times New Roman" w:hAnsi="Times New Roman" w:cs="Times New Roman"/>
          <w:i/>
        </w:rPr>
        <w:t>Return of the Multi-Ge</w:t>
      </w:r>
      <w:r w:rsidRPr="00371A17">
        <w:rPr>
          <w:rFonts w:ascii="Times New Roman" w:hAnsi="Times New Roman" w:cs="Times New Roman"/>
          <w:i/>
        </w:rPr>
        <w:t>nerational Family Household</w:t>
      </w:r>
      <w:r w:rsidRPr="00371A17">
        <w:rPr>
          <w:rFonts w:ascii="Times New Roman" w:hAnsi="Times New Roman" w:cs="Times New Roman"/>
        </w:rPr>
        <w:t xml:space="preserve">.  Available from: </w:t>
      </w:r>
      <w:hyperlink r:id="rId29" w:history="1">
        <w:r w:rsidRPr="00371A17">
          <w:rPr>
            <w:rStyle w:val="Hyperlink"/>
            <w:rFonts w:ascii="Times New Roman" w:hAnsi="Times New Roman" w:cs="Times New Roman"/>
          </w:rPr>
          <w:t>http://www.pewsocialtrends.org/2010/03/18/the-return-of-the-multi-generational-family-household/</w:t>
        </w:r>
      </w:hyperlink>
      <w:r w:rsidR="00117525" w:rsidRPr="00371A17">
        <w:rPr>
          <w:rFonts w:ascii="Times New Roman" w:hAnsi="Times New Roman" w:cs="Times New Roman"/>
        </w:rPr>
        <w:t xml:space="preserve"> [Accessed </w:t>
      </w:r>
      <w:r w:rsidRPr="00371A17">
        <w:rPr>
          <w:rFonts w:ascii="Times New Roman" w:hAnsi="Times New Roman" w:cs="Times New Roman"/>
        </w:rPr>
        <w:t>25. August 2015].</w:t>
      </w:r>
    </w:p>
    <w:p w:rsidR="00117525" w:rsidRPr="00371A17" w:rsidRDefault="00117525" w:rsidP="00DB7CEE">
      <w:pPr>
        <w:spacing w:line="240" w:lineRule="auto"/>
        <w:rPr>
          <w:rFonts w:ascii="Times New Roman" w:hAnsi="Times New Roman" w:cs="Times New Roman"/>
        </w:rPr>
      </w:pPr>
      <w:r w:rsidRPr="00371A17">
        <w:rPr>
          <w:rFonts w:ascii="Times New Roman" w:hAnsi="Times New Roman" w:cs="Times New Roman"/>
        </w:rPr>
        <w:t xml:space="preserve">Pew Research Center.  2010b.  </w:t>
      </w:r>
      <w:r w:rsidR="00FE7E42" w:rsidRPr="00371A17">
        <w:rPr>
          <w:rFonts w:ascii="Times New Roman" w:hAnsi="Times New Roman" w:cs="Times New Roman"/>
          <w:i/>
        </w:rPr>
        <w:t>Millennials</w:t>
      </w:r>
      <w:r w:rsidR="00FE7E42">
        <w:rPr>
          <w:rFonts w:ascii="Times New Roman" w:hAnsi="Times New Roman" w:cs="Times New Roman"/>
          <w:i/>
        </w:rPr>
        <w:t>: A p</w:t>
      </w:r>
      <w:r w:rsidRPr="00371A17">
        <w:rPr>
          <w:rFonts w:ascii="Times New Roman" w:hAnsi="Times New Roman" w:cs="Times New Roman"/>
          <w:i/>
        </w:rPr>
        <w:t xml:space="preserve">ortrait of the </w:t>
      </w:r>
      <w:r w:rsidR="00FE7E42">
        <w:rPr>
          <w:rFonts w:ascii="Times New Roman" w:hAnsi="Times New Roman" w:cs="Times New Roman"/>
          <w:i/>
        </w:rPr>
        <w:t>n</w:t>
      </w:r>
      <w:r w:rsidRPr="00371A17">
        <w:rPr>
          <w:rFonts w:ascii="Times New Roman" w:hAnsi="Times New Roman" w:cs="Times New Roman"/>
          <w:i/>
        </w:rPr>
        <w:t xml:space="preserve">ext </w:t>
      </w:r>
      <w:r w:rsidR="00FE7E42">
        <w:rPr>
          <w:rFonts w:ascii="Times New Roman" w:hAnsi="Times New Roman" w:cs="Times New Roman"/>
          <w:i/>
        </w:rPr>
        <w:t>g</w:t>
      </w:r>
      <w:r w:rsidRPr="00371A17">
        <w:rPr>
          <w:rFonts w:ascii="Times New Roman" w:hAnsi="Times New Roman" w:cs="Times New Roman"/>
          <w:i/>
        </w:rPr>
        <w:t>eneration</w:t>
      </w:r>
      <w:r w:rsidRPr="00371A17">
        <w:rPr>
          <w:rFonts w:ascii="Times New Roman" w:hAnsi="Times New Roman" w:cs="Times New Roman"/>
        </w:rPr>
        <w:t xml:space="preserve">.  Available from: </w:t>
      </w:r>
      <w:hyperlink r:id="rId30" w:history="1">
        <w:r w:rsidRPr="00371A17">
          <w:rPr>
            <w:rStyle w:val="Hyperlink"/>
            <w:rFonts w:ascii="Times New Roman" w:hAnsi="Times New Roman" w:cs="Times New Roman"/>
          </w:rPr>
          <w:t>http://www.pewsocialtrends.org/files/2010/10/millennials-confident-connected-open-to-change.pdf</w:t>
        </w:r>
      </w:hyperlink>
      <w:r w:rsidRPr="00371A17">
        <w:rPr>
          <w:rFonts w:ascii="Times New Roman" w:hAnsi="Times New Roman" w:cs="Times New Roman"/>
        </w:rPr>
        <w:t xml:space="preserve"> [Accessed 25. August 2015].</w:t>
      </w:r>
    </w:p>
    <w:p w:rsidR="00DB7CEE" w:rsidRPr="00371A17" w:rsidRDefault="00DB7CEE" w:rsidP="00DB7CEE">
      <w:pPr>
        <w:spacing w:line="240" w:lineRule="auto"/>
        <w:rPr>
          <w:rFonts w:ascii="Times New Roman" w:hAnsi="Times New Roman" w:cs="Times New Roman"/>
        </w:rPr>
      </w:pPr>
      <w:r w:rsidRPr="00371A17">
        <w:rPr>
          <w:rFonts w:ascii="Times New Roman" w:hAnsi="Times New Roman" w:cs="Times New Roman"/>
        </w:rPr>
        <w:t>San Francisco Department of Planning</w:t>
      </w:r>
      <w:r w:rsidR="00C74EA8" w:rsidRPr="00371A17">
        <w:rPr>
          <w:rFonts w:ascii="Times New Roman" w:hAnsi="Times New Roman" w:cs="Times New Roman"/>
        </w:rPr>
        <w:t xml:space="preserve"> (SFDP)</w:t>
      </w:r>
      <w:r w:rsidRPr="00371A17">
        <w:rPr>
          <w:rFonts w:ascii="Times New Roman" w:hAnsi="Times New Roman" w:cs="Times New Roman"/>
        </w:rPr>
        <w:t xml:space="preserve">.  2013.  </w:t>
      </w:r>
      <w:r w:rsidRPr="00371A17">
        <w:rPr>
          <w:rFonts w:ascii="Times New Roman" w:hAnsi="Times New Roman" w:cs="Times New Roman"/>
          <w:i/>
        </w:rPr>
        <w:t xml:space="preserve">Efficiency Dwelling Units:  Numerical cap and open </w:t>
      </w:r>
      <w:r w:rsidR="00FE7E42" w:rsidRPr="00371A17">
        <w:rPr>
          <w:rFonts w:ascii="Times New Roman" w:hAnsi="Times New Roman" w:cs="Times New Roman"/>
          <w:i/>
        </w:rPr>
        <w:t>&amp; common</w:t>
      </w:r>
      <w:r w:rsidRPr="00371A17">
        <w:rPr>
          <w:rFonts w:ascii="Times New Roman" w:hAnsi="Times New Roman" w:cs="Times New Roman"/>
          <w:i/>
        </w:rPr>
        <w:t xml:space="preserve"> space requirement.</w:t>
      </w:r>
      <w:r w:rsidRPr="00371A17">
        <w:rPr>
          <w:rFonts w:ascii="Times New Roman" w:hAnsi="Times New Roman" w:cs="Times New Roman"/>
        </w:rPr>
        <w:t xml:space="preserve">  New Planning Code Summary.  Case Number: Board File No. 12-0996, Ordinance No. 242-1.  Available from: </w:t>
      </w:r>
      <w:hyperlink r:id="rId31" w:history="1">
        <w:r w:rsidRPr="00371A17">
          <w:rPr>
            <w:rStyle w:val="Hyperlink"/>
            <w:rFonts w:ascii="Times New Roman" w:hAnsi="Times New Roman" w:cs="Times New Roman"/>
          </w:rPr>
          <w:t>http://www.sf-planning.org/ftp/files/legislative_changes/new_code_summaries/120996_Cap_on_Efficiency_Dwelling_Units.pdf</w:t>
        </w:r>
      </w:hyperlink>
      <w:r w:rsidRPr="00371A17">
        <w:rPr>
          <w:rFonts w:ascii="Times New Roman" w:hAnsi="Times New Roman" w:cs="Times New Roman"/>
        </w:rPr>
        <w:t xml:space="preserve">  [Accessed 15. September 2015].</w:t>
      </w:r>
    </w:p>
    <w:p w:rsidR="00D34097" w:rsidRPr="00371A17" w:rsidRDefault="00D34097" w:rsidP="00B20438">
      <w:pPr>
        <w:spacing w:line="240" w:lineRule="auto"/>
        <w:rPr>
          <w:rFonts w:ascii="Times New Roman" w:hAnsi="Times New Roman" w:cs="Times New Roman"/>
        </w:rPr>
      </w:pPr>
      <w:r w:rsidRPr="00371A17">
        <w:rPr>
          <w:rFonts w:ascii="Times New Roman" w:hAnsi="Times New Roman" w:cs="Times New Roman"/>
        </w:rPr>
        <w:lastRenderedPageBreak/>
        <w:t xml:space="preserve">San </w:t>
      </w:r>
      <w:r w:rsidR="00FE7E42" w:rsidRPr="00371A17">
        <w:rPr>
          <w:rFonts w:ascii="Times New Roman" w:hAnsi="Times New Roman" w:cs="Times New Roman"/>
        </w:rPr>
        <w:t>Francisco</w:t>
      </w:r>
      <w:r w:rsidRPr="00371A17">
        <w:rPr>
          <w:rFonts w:ascii="Times New Roman" w:hAnsi="Times New Roman" w:cs="Times New Roman"/>
        </w:rPr>
        <w:t xml:space="preserve"> Housing Action Coalition (SFHAC).   http://www.sfhac.org/policy-advocacy/micro-units/</w:t>
      </w:r>
    </w:p>
    <w:p w:rsidR="009977D6" w:rsidRPr="00371A17" w:rsidRDefault="009977D6" w:rsidP="00B20438">
      <w:pPr>
        <w:spacing w:line="240" w:lineRule="auto"/>
        <w:rPr>
          <w:rFonts w:ascii="Times New Roman" w:hAnsi="Times New Roman" w:cs="Times New Roman"/>
        </w:rPr>
      </w:pPr>
      <w:r w:rsidRPr="00371A17">
        <w:rPr>
          <w:rFonts w:ascii="Times New Roman" w:hAnsi="Times New Roman" w:cs="Times New Roman"/>
        </w:rPr>
        <w:t xml:space="preserve">San Francisco Planning and Urban Renewal Association (SPUR).  2007.  </w:t>
      </w:r>
      <w:r w:rsidRPr="00371A17">
        <w:rPr>
          <w:rFonts w:ascii="Times New Roman" w:hAnsi="Times New Roman" w:cs="Times New Roman"/>
          <w:i/>
        </w:rPr>
        <w:t xml:space="preserve">Affordable by Design.  </w:t>
      </w:r>
      <w:r w:rsidRPr="00371A17">
        <w:rPr>
          <w:rFonts w:ascii="Times New Roman" w:hAnsi="Times New Roman" w:cs="Times New Roman"/>
        </w:rPr>
        <w:t>Available from:</w:t>
      </w:r>
      <w:r w:rsidRPr="00371A17">
        <w:rPr>
          <w:rFonts w:ascii="Times New Roman" w:hAnsi="Times New Roman" w:cs="Times New Roman"/>
          <w:i/>
        </w:rPr>
        <w:t xml:space="preserve"> </w:t>
      </w:r>
      <w:hyperlink r:id="rId32" w:history="1">
        <w:r w:rsidRPr="00371A17">
          <w:rPr>
            <w:rStyle w:val="Hyperlink"/>
            <w:rFonts w:ascii="Times New Roman" w:hAnsi="Times New Roman" w:cs="Times New Roman"/>
          </w:rPr>
          <w:t>http://www.spur.org/publications/spur-report/2007-11-20/affordable-design</w:t>
        </w:r>
      </w:hyperlink>
      <w:r w:rsidRPr="00371A17">
        <w:rPr>
          <w:rFonts w:ascii="Times New Roman" w:hAnsi="Times New Roman" w:cs="Times New Roman"/>
        </w:rPr>
        <w:t xml:space="preserve"> </w:t>
      </w:r>
      <w:r w:rsidR="00B93673" w:rsidRPr="00371A17">
        <w:rPr>
          <w:rFonts w:ascii="Times New Roman" w:hAnsi="Times New Roman" w:cs="Times New Roman"/>
        </w:rPr>
        <w:t>[Accessed 28. July 2015].</w:t>
      </w:r>
    </w:p>
    <w:p w:rsidR="001F7C65" w:rsidRPr="00371A17" w:rsidRDefault="001F7C65" w:rsidP="00B20438">
      <w:pPr>
        <w:spacing w:line="240" w:lineRule="auto"/>
        <w:rPr>
          <w:rFonts w:ascii="Times New Roman" w:hAnsi="Times New Roman" w:cs="Times New Roman"/>
        </w:rPr>
      </w:pPr>
      <w:r w:rsidRPr="00371A17">
        <w:rPr>
          <w:rFonts w:ascii="Times New Roman" w:hAnsi="Times New Roman" w:cs="Times New Roman"/>
        </w:rPr>
        <w:t xml:space="preserve">San Francisco Planning and Urban Renewal Association (SPUR).  2014.  </w:t>
      </w:r>
      <w:r w:rsidRPr="00371A17">
        <w:rPr>
          <w:rFonts w:ascii="Times New Roman" w:hAnsi="Times New Roman" w:cs="Times New Roman"/>
          <w:i/>
        </w:rPr>
        <w:t xml:space="preserve">8 Ways to Make San Francisco More Affordable: Proposals to solve the housing affordability crisis.  </w:t>
      </w:r>
      <w:r w:rsidRPr="00371A17">
        <w:rPr>
          <w:rFonts w:ascii="Times New Roman" w:hAnsi="Times New Roman" w:cs="Times New Roman"/>
        </w:rPr>
        <w:t xml:space="preserve">Available from: </w:t>
      </w:r>
      <w:hyperlink r:id="rId33" w:history="1">
        <w:r w:rsidRPr="00371A17">
          <w:rPr>
            <w:rStyle w:val="Hyperlink"/>
            <w:rFonts w:ascii="Times New Roman" w:hAnsi="Times New Roman" w:cs="Times New Roman"/>
          </w:rPr>
          <w:t>http://www.spur.org/sites/default/files/publications_pdfs/SPUR_8_Ways_to_Make_San_Francisco_More_Affordable.pdf</w:t>
        </w:r>
      </w:hyperlink>
      <w:r w:rsidRPr="00371A17">
        <w:rPr>
          <w:rFonts w:ascii="Times New Roman" w:hAnsi="Times New Roman" w:cs="Times New Roman"/>
        </w:rPr>
        <w:t xml:space="preserve">  [Accessed 28. July</w:t>
      </w:r>
      <w:r w:rsidR="006220B1" w:rsidRPr="00371A17">
        <w:rPr>
          <w:rFonts w:ascii="Times New Roman" w:hAnsi="Times New Roman" w:cs="Times New Roman"/>
        </w:rPr>
        <w:t xml:space="preserve"> 2015</w:t>
      </w:r>
      <w:r w:rsidRPr="00371A17">
        <w:rPr>
          <w:rFonts w:ascii="Times New Roman" w:hAnsi="Times New Roman" w:cs="Times New Roman"/>
        </w:rPr>
        <w:t>].</w:t>
      </w:r>
    </w:p>
    <w:p w:rsidR="00E126FA" w:rsidRPr="00371A17" w:rsidRDefault="00533D00" w:rsidP="00B20438">
      <w:pPr>
        <w:spacing w:line="240" w:lineRule="auto"/>
        <w:rPr>
          <w:rFonts w:ascii="Times New Roman" w:hAnsi="Times New Roman" w:cs="Times New Roman"/>
        </w:rPr>
      </w:pPr>
      <w:r w:rsidRPr="00371A17">
        <w:rPr>
          <w:rFonts w:ascii="Times New Roman" w:hAnsi="Times New Roman" w:cs="Times New Roman"/>
        </w:rPr>
        <w:t>(</w:t>
      </w:r>
      <w:r w:rsidR="00E126FA" w:rsidRPr="00371A17">
        <w:rPr>
          <w:rFonts w:ascii="Times New Roman" w:hAnsi="Times New Roman" w:cs="Times New Roman"/>
        </w:rPr>
        <w:t>City of</w:t>
      </w:r>
      <w:r w:rsidRPr="00371A17">
        <w:rPr>
          <w:rFonts w:ascii="Times New Roman" w:hAnsi="Times New Roman" w:cs="Times New Roman"/>
        </w:rPr>
        <w:t>)</w:t>
      </w:r>
      <w:r w:rsidR="00E126FA" w:rsidRPr="00371A17">
        <w:rPr>
          <w:rFonts w:ascii="Times New Roman" w:hAnsi="Times New Roman" w:cs="Times New Roman"/>
        </w:rPr>
        <w:t xml:space="preserve"> Santa Cruz</w:t>
      </w:r>
      <w:r w:rsidRPr="00371A17">
        <w:rPr>
          <w:rFonts w:ascii="Times New Roman" w:hAnsi="Times New Roman" w:cs="Times New Roman"/>
        </w:rPr>
        <w:t xml:space="preserve">.  2003.  </w:t>
      </w:r>
      <w:r w:rsidRPr="00371A17">
        <w:rPr>
          <w:rFonts w:ascii="Times New Roman" w:hAnsi="Times New Roman" w:cs="Times New Roman"/>
          <w:i/>
        </w:rPr>
        <w:t>Accessory Dwelling Unit Manual: Growing Santa Cruz’s Neighborhoods from the Inside</w:t>
      </w:r>
      <w:r w:rsidRPr="00371A17">
        <w:rPr>
          <w:rFonts w:ascii="Times New Roman" w:hAnsi="Times New Roman" w:cs="Times New Roman"/>
        </w:rPr>
        <w:t xml:space="preserve">.  Available from: </w:t>
      </w:r>
      <w:hyperlink r:id="rId34" w:history="1">
        <w:r w:rsidRPr="00371A17">
          <w:rPr>
            <w:rStyle w:val="Hyperlink"/>
            <w:rFonts w:ascii="Times New Roman" w:hAnsi="Times New Roman" w:cs="Times New Roman"/>
          </w:rPr>
          <w:t>http://www.cityofsantacruz.com/home/showdocument?id=8875</w:t>
        </w:r>
      </w:hyperlink>
      <w:r w:rsidRPr="00371A17">
        <w:rPr>
          <w:rFonts w:ascii="Times New Roman" w:hAnsi="Times New Roman" w:cs="Times New Roman"/>
        </w:rPr>
        <w:t xml:space="preserve"> [Accessed 15. September 2015].  </w:t>
      </w:r>
    </w:p>
    <w:p w:rsidR="00412C5B" w:rsidRPr="00371A17" w:rsidRDefault="00412C5B" w:rsidP="00B20438">
      <w:pPr>
        <w:spacing w:line="240" w:lineRule="auto"/>
        <w:rPr>
          <w:rFonts w:ascii="Times New Roman" w:hAnsi="Times New Roman" w:cs="Times New Roman"/>
        </w:rPr>
      </w:pPr>
      <w:r w:rsidRPr="00371A17">
        <w:rPr>
          <w:rFonts w:ascii="Times New Roman" w:hAnsi="Times New Roman" w:cs="Times New Roman"/>
        </w:rPr>
        <w:t xml:space="preserve">(City of) Vancouver.  2012.  </w:t>
      </w:r>
      <w:r w:rsidRPr="00371A17">
        <w:rPr>
          <w:rFonts w:ascii="Times New Roman" w:hAnsi="Times New Roman" w:cs="Times New Roman"/>
          <w:i/>
        </w:rPr>
        <w:t>Mayor’s Task Force on Housing Affordability: Bold ideas towards an affordable city.</w:t>
      </w:r>
      <w:r w:rsidRPr="00371A17">
        <w:rPr>
          <w:rFonts w:ascii="Times New Roman" w:hAnsi="Times New Roman" w:cs="Times New Roman"/>
        </w:rPr>
        <w:t xml:space="preserve"> Interim Report – June 2012.  Available from: </w:t>
      </w:r>
      <w:hyperlink r:id="rId35" w:history="1">
        <w:r w:rsidRPr="00371A17">
          <w:rPr>
            <w:rStyle w:val="Hyperlink"/>
            <w:rFonts w:ascii="Times New Roman" w:hAnsi="Times New Roman" w:cs="Times New Roman"/>
          </w:rPr>
          <w:t>ftp://ftp.cmhc-schl.gc.ca/chic-ccdh/External_Reports/Ca4%20BC%20VANA60%2012B53.pdf</w:t>
        </w:r>
      </w:hyperlink>
      <w:r w:rsidRPr="00371A17">
        <w:rPr>
          <w:rFonts w:ascii="Times New Roman" w:hAnsi="Times New Roman" w:cs="Times New Roman"/>
        </w:rPr>
        <w:t xml:space="preserve">  [Accessed 22. September 2015].</w:t>
      </w:r>
    </w:p>
    <w:p w:rsidR="009E387A" w:rsidRPr="00371A17" w:rsidRDefault="009E387A" w:rsidP="00B20438">
      <w:pPr>
        <w:spacing w:line="240" w:lineRule="auto"/>
        <w:rPr>
          <w:rFonts w:ascii="Times New Roman" w:hAnsi="Times New Roman" w:cs="Times New Roman"/>
        </w:rPr>
      </w:pPr>
      <w:r w:rsidRPr="00371A17">
        <w:rPr>
          <w:rFonts w:ascii="Times New Roman" w:hAnsi="Times New Roman" w:cs="Times New Roman"/>
        </w:rPr>
        <w:t xml:space="preserve">(City of) Vancouver.  2013.  </w:t>
      </w:r>
      <w:r w:rsidRPr="00371A17">
        <w:rPr>
          <w:rFonts w:ascii="Times New Roman" w:hAnsi="Times New Roman" w:cs="Times New Roman"/>
          <w:i/>
        </w:rPr>
        <w:t>Lane-way Housing: How-to guide.</w:t>
      </w:r>
      <w:r w:rsidRPr="00371A17">
        <w:rPr>
          <w:rFonts w:ascii="Times New Roman" w:hAnsi="Times New Roman" w:cs="Times New Roman"/>
        </w:rPr>
        <w:t xml:space="preserve">  Available from: </w:t>
      </w:r>
      <w:hyperlink r:id="rId36" w:history="1">
        <w:r w:rsidRPr="00371A17">
          <w:rPr>
            <w:rStyle w:val="Hyperlink"/>
            <w:rFonts w:ascii="Times New Roman" w:hAnsi="Times New Roman" w:cs="Times New Roman"/>
          </w:rPr>
          <w:t>http://vancouver.ca/files/cov/laneway-housing-howto-guide.pdf</w:t>
        </w:r>
      </w:hyperlink>
      <w:r w:rsidRPr="00371A17">
        <w:rPr>
          <w:rFonts w:ascii="Times New Roman" w:hAnsi="Times New Roman" w:cs="Times New Roman"/>
        </w:rPr>
        <w:t xml:space="preserve">  [Accessed 22. September 2015].</w:t>
      </w:r>
    </w:p>
    <w:p w:rsidR="00DF2359" w:rsidRPr="00371A17" w:rsidRDefault="00DF2359" w:rsidP="00B20438">
      <w:pPr>
        <w:spacing w:line="240" w:lineRule="auto"/>
        <w:rPr>
          <w:rFonts w:ascii="Times New Roman" w:hAnsi="Times New Roman" w:cs="Times New Roman"/>
        </w:rPr>
      </w:pPr>
      <w:r w:rsidRPr="00371A17">
        <w:rPr>
          <w:rFonts w:ascii="Times New Roman" w:hAnsi="Times New Roman" w:cs="Times New Roman"/>
        </w:rPr>
        <w:t xml:space="preserve">(City of) Vancouver.  2015.  </w:t>
      </w:r>
      <w:r w:rsidRPr="00371A17">
        <w:rPr>
          <w:rFonts w:ascii="Times New Roman" w:hAnsi="Times New Roman" w:cs="Times New Roman"/>
          <w:i/>
        </w:rPr>
        <w:t>Administrative Report – RTS No: 10825.</w:t>
      </w:r>
      <w:r w:rsidRPr="00371A17">
        <w:rPr>
          <w:rFonts w:ascii="Times New Roman" w:hAnsi="Times New Roman" w:cs="Times New Roman"/>
        </w:rPr>
        <w:t xml:space="preserve">  Meeting 26. May.  Available from: </w:t>
      </w:r>
      <w:hyperlink r:id="rId37" w:history="1">
        <w:r w:rsidRPr="00371A17">
          <w:rPr>
            <w:rStyle w:val="Hyperlink"/>
            <w:rFonts w:ascii="Times New Roman" w:hAnsi="Times New Roman" w:cs="Times New Roman"/>
          </w:rPr>
          <w:t>http://vancouver.ca/files/cov/enhancing-housing-for-families-amendments-to-development-cost-levy-bylaws.pdf</w:t>
        </w:r>
      </w:hyperlink>
      <w:r w:rsidRPr="00371A17">
        <w:rPr>
          <w:rFonts w:ascii="Times New Roman" w:hAnsi="Times New Roman" w:cs="Times New Roman"/>
        </w:rPr>
        <w:t xml:space="preserve">  [Accessed 22. September 2015].</w:t>
      </w:r>
    </w:p>
    <w:p w:rsidR="00BC6A1E" w:rsidRPr="00371A17" w:rsidRDefault="00BC6A1E" w:rsidP="00B20438">
      <w:pPr>
        <w:spacing w:line="240" w:lineRule="auto"/>
        <w:rPr>
          <w:rFonts w:ascii="Times New Roman" w:hAnsi="Times New Roman" w:cs="Times New Roman"/>
        </w:rPr>
      </w:pPr>
      <w:r w:rsidRPr="00371A17">
        <w:rPr>
          <w:rFonts w:ascii="Times New Roman" w:hAnsi="Times New Roman" w:cs="Times New Roman"/>
        </w:rPr>
        <w:t xml:space="preserve">United Nations (UN), Department of Economic and Social Affairs.  2014.  </w:t>
      </w:r>
      <w:r w:rsidRPr="00371A17">
        <w:rPr>
          <w:rFonts w:ascii="Times New Roman" w:hAnsi="Times New Roman" w:cs="Times New Roman"/>
          <w:i/>
        </w:rPr>
        <w:t>World Urbanization Prospects.</w:t>
      </w:r>
      <w:r w:rsidRPr="00371A17">
        <w:rPr>
          <w:rFonts w:ascii="Times New Roman" w:hAnsi="Times New Roman" w:cs="Times New Roman"/>
        </w:rPr>
        <w:t xml:space="preserve">  United Nations.  Available from: </w:t>
      </w:r>
      <w:hyperlink r:id="rId38" w:history="1">
        <w:r w:rsidRPr="00371A17">
          <w:rPr>
            <w:rStyle w:val="Hyperlink"/>
            <w:rFonts w:ascii="Times New Roman" w:hAnsi="Times New Roman" w:cs="Times New Roman"/>
          </w:rPr>
          <w:t>http://esa.un.org/unpd/wup/Highlights/WUP2014-Highlights.pdf</w:t>
        </w:r>
      </w:hyperlink>
      <w:r w:rsidRPr="00371A17">
        <w:rPr>
          <w:rFonts w:ascii="Times New Roman" w:hAnsi="Times New Roman" w:cs="Times New Roman"/>
        </w:rPr>
        <w:t xml:space="preserve">  [Accessed 11. August 2015]</w:t>
      </w:r>
    </w:p>
    <w:p w:rsidR="001D2908" w:rsidRPr="00371A17" w:rsidRDefault="001D2908" w:rsidP="00B20438">
      <w:pPr>
        <w:spacing w:line="240" w:lineRule="auto"/>
        <w:rPr>
          <w:rFonts w:ascii="Times New Roman" w:hAnsi="Times New Roman" w:cs="Times New Roman"/>
        </w:rPr>
      </w:pPr>
      <w:r w:rsidRPr="00371A17">
        <w:rPr>
          <w:rFonts w:ascii="Times New Roman" w:hAnsi="Times New Roman" w:cs="Times New Roman"/>
        </w:rPr>
        <w:t xml:space="preserve">Williams, J. 2006. Innovative solutions for adverting a potential resource crisis - the case of one-person households in England and Wales. </w:t>
      </w:r>
      <w:r w:rsidRPr="00371A17">
        <w:rPr>
          <w:rFonts w:ascii="Times New Roman" w:hAnsi="Times New Roman" w:cs="Times New Roman"/>
          <w:i/>
        </w:rPr>
        <w:t>Environment, Development and Sustainability</w:t>
      </w:r>
      <w:r w:rsidRPr="00371A17">
        <w:rPr>
          <w:rFonts w:ascii="Times New Roman" w:hAnsi="Times New Roman" w:cs="Times New Roman"/>
        </w:rPr>
        <w:t>, vol. 9, p. 325-54.</w:t>
      </w:r>
      <w:bookmarkEnd w:id="6"/>
    </w:p>
    <w:p w:rsidR="00B97204" w:rsidRPr="00371A17" w:rsidRDefault="000C6558" w:rsidP="00B20438">
      <w:pPr>
        <w:spacing w:line="240" w:lineRule="auto"/>
        <w:rPr>
          <w:rFonts w:ascii="Times New Roman" w:hAnsi="Times New Roman" w:cs="Times New Roman"/>
        </w:rPr>
      </w:pPr>
      <w:r w:rsidRPr="00371A17">
        <w:rPr>
          <w:rFonts w:ascii="Times New Roman" w:hAnsi="Times New Roman" w:cs="Times New Roman"/>
        </w:rPr>
        <w:t>Wilson, A.  2015</w:t>
      </w:r>
      <w:r w:rsidR="0071539F" w:rsidRPr="00371A17">
        <w:rPr>
          <w:rFonts w:ascii="Times New Roman" w:hAnsi="Times New Roman" w:cs="Times New Roman"/>
        </w:rPr>
        <w:t>a</w:t>
      </w:r>
      <w:r w:rsidRPr="00371A17">
        <w:rPr>
          <w:rFonts w:ascii="Times New Roman" w:hAnsi="Times New Roman" w:cs="Times New Roman"/>
        </w:rPr>
        <w:t xml:space="preserve">.  </w:t>
      </w:r>
      <w:r w:rsidRPr="00371A17">
        <w:rPr>
          <w:rFonts w:ascii="Times New Roman" w:hAnsi="Times New Roman" w:cs="Times New Roman"/>
          <w:i/>
        </w:rPr>
        <w:t>Domain House Price Report: June Quarter 2015</w:t>
      </w:r>
      <w:r w:rsidRPr="00371A17">
        <w:rPr>
          <w:rFonts w:ascii="Times New Roman" w:hAnsi="Times New Roman" w:cs="Times New Roman"/>
        </w:rPr>
        <w:t xml:space="preserve">.  </w:t>
      </w:r>
      <w:r w:rsidR="007A6CF1" w:rsidRPr="00371A17">
        <w:rPr>
          <w:rFonts w:ascii="Times New Roman" w:hAnsi="Times New Roman" w:cs="Times New Roman"/>
        </w:rPr>
        <w:t xml:space="preserve">Sydney: </w:t>
      </w:r>
      <w:r w:rsidRPr="00371A17">
        <w:rPr>
          <w:rFonts w:ascii="Times New Roman" w:hAnsi="Times New Roman" w:cs="Times New Roman"/>
        </w:rPr>
        <w:t>Domain Group.</w:t>
      </w:r>
      <w:r w:rsidR="007A6CF1" w:rsidRPr="00371A17">
        <w:rPr>
          <w:rFonts w:ascii="Times New Roman" w:hAnsi="Times New Roman" w:cs="Times New Roman"/>
        </w:rPr>
        <w:t xml:space="preserve">  Available from: </w:t>
      </w:r>
      <w:hyperlink r:id="rId39" w:history="1">
        <w:r w:rsidR="007A6CF1" w:rsidRPr="00371A17">
          <w:rPr>
            <w:rStyle w:val="Hyperlink"/>
            <w:rFonts w:ascii="Times New Roman" w:hAnsi="Times New Roman" w:cs="Times New Roman"/>
          </w:rPr>
          <w:t>http://www.domain.com.au/group/wp-content/uploads/2015/07/Domain_House_Price_Report_June 2015.pdf</w:t>
        </w:r>
      </w:hyperlink>
      <w:r w:rsidR="007A6CF1" w:rsidRPr="00371A17">
        <w:rPr>
          <w:rFonts w:ascii="Times New Roman" w:hAnsi="Times New Roman" w:cs="Times New Roman"/>
        </w:rPr>
        <w:t xml:space="preserve"> [Accessed 24. July</w:t>
      </w:r>
      <w:r w:rsidR="00B20438" w:rsidRPr="00371A17">
        <w:rPr>
          <w:rFonts w:ascii="Times New Roman" w:hAnsi="Times New Roman" w:cs="Times New Roman"/>
        </w:rPr>
        <w:t xml:space="preserve"> 2015</w:t>
      </w:r>
      <w:r w:rsidR="007A6CF1" w:rsidRPr="00371A17">
        <w:rPr>
          <w:rFonts w:ascii="Times New Roman" w:hAnsi="Times New Roman" w:cs="Times New Roman"/>
        </w:rPr>
        <w:t xml:space="preserve">]. </w:t>
      </w:r>
    </w:p>
    <w:p w:rsidR="0071539F" w:rsidRPr="00371A17" w:rsidRDefault="0071539F" w:rsidP="00B20438">
      <w:pPr>
        <w:spacing w:line="240" w:lineRule="auto"/>
        <w:rPr>
          <w:rFonts w:ascii="Times New Roman" w:hAnsi="Times New Roman" w:cs="Times New Roman"/>
        </w:rPr>
      </w:pPr>
      <w:r w:rsidRPr="00371A17">
        <w:rPr>
          <w:rFonts w:ascii="Times New Roman" w:hAnsi="Times New Roman" w:cs="Times New Roman"/>
        </w:rPr>
        <w:t xml:space="preserve">Wilson, A.  2015b.  </w:t>
      </w:r>
      <w:r w:rsidRPr="00371A17">
        <w:rPr>
          <w:rFonts w:ascii="Times New Roman" w:hAnsi="Times New Roman" w:cs="Times New Roman"/>
          <w:i/>
        </w:rPr>
        <w:t>Rental Report: June Quarter 2015</w:t>
      </w:r>
      <w:r w:rsidRPr="00371A17">
        <w:rPr>
          <w:rFonts w:ascii="Times New Roman" w:hAnsi="Times New Roman" w:cs="Times New Roman"/>
        </w:rPr>
        <w:t xml:space="preserve">.  Sydney: Domain Group.  Available from: </w:t>
      </w:r>
      <w:hyperlink r:id="rId40" w:history="1">
        <w:r w:rsidR="003C0757" w:rsidRPr="00371A17">
          <w:rPr>
            <w:rStyle w:val="Hyperlink"/>
            <w:rFonts w:ascii="Times New Roman" w:hAnsi="Times New Roman" w:cs="Times New Roman"/>
          </w:rPr>
          <w:t>http://www.domain.com.au/group/market-reports/</w:t>
        </w:r>
      </w:hyperlink>
      <w:r w:rsidR="003C0757" w:rsidRPr="00371A17">
        <w:rPr>
          <w:rFonts w:ascii="Times New Roman" w:hAnsi="Times New Roman" w:cs="Times New Roman"/>
        </w:rPr>
        <w:t xml:space="preserve"> </w:t>
      </w:r>
      <w:r w:rsidRPr="00371A17">
        <w:rPr>
          <w:rFonts w:ascii="Times New Roman" w:hAnsi="Times New Roman" w:cs="Times New Roman"/>
        </w:rPr>
        <w:t xml:space="preserve"> [Accessed 24. July</w:t>
      </w:r>
      <w:r w:rsidR="006220B1" w:rsidRPr="00371A17">
        <w:rPr>
          <w:rFonts w:ascii="Times New Roman" w:hAnsi="Times New Roman" w:cs="Times New Roman"/>
        </w:rPr>
        <w:t xml:space="preserve"> 2015</w:t>
      </w:r>
      <w:r w:rsidRPr="00371A17">
        <w:rPr>
          <w:rFonts w:ascii="Times New Roman" w:hAnsi="Times New Roman" w:cs="Times New Roman"/>
        </w:rPr>
        <w:t xml:space="preserve">]. </w:t>
      </w:r>
    </w:p>
    <w:p w:rsidR="0071539F" w:rsidRPr="00371A17" w:rsidRDefault="00793DFC" w:rsidP="007A6CF1">
      <w:pPr>
        <w:spacing w:line="240" w:lineRule="auto"/>
        <w:jc w:val="both"/>
        <w:rPr>
          <w:rFonts w:ascii="Times New Roman" w:hAnsi="Times New Roman" w:cs="Times New Roman"/>
        </w:rPr>
      </w:pPr>
      <w:r w:rsidRPr="00371A17">
        <w:rPr>
          <w:rFonts w:ascii="Times New Roman" w:hAnsi="Times New Roman" w:cs="Times New Roman"/>
        </w:rPr>
        <w:t xml:space="preserve">Wintonyk, D.and Steele, L.  2012.  </w:t>
      </w:r>
      <w:r w:rsidRPr="00371A17">
        <w:rPr>
          <w:rFonts w:ascii="Times New Roman" w:hAnsi="Times New Roman" w:cs="Times New Roman"/>
          <w:i/>
        </w:rPr>
        <w:t>A 226 Sq. Ft. Solution to Living Large in Vancouver</w:t>
      </w:r>
      <w:r w:rsidRPr="00371A17">
        <w:rPr>
          <w:rFonts w:ascii="Times New Roman" w:hAnsi="Times New Roman" w:cs="Times New Roman"/>
        </w:rPr>
        <w:t xml:space="preserve">, CTV British Columbia, </w:t>
      </w:r>
      <w:r w:rsidR="00750BD2" w:rsidRPr="00371A17">
        <w:rPr>
          <w:rFonts w:ascii="Times New Roman" w:hAnsi="Times New Roman" w:cs="Times New Roman"/>
        </w:rPr>
        <w:t xml:space="preserve">Last updated </w:t>
      </w:r>
      <w:r w:rsidRPr="00371A17">
        <w:rPr>
          <w:rFonts w:ascii="Times New Roman" w:hAnsi="Times New Roman" w:cs="Times New Roman"/>
        </w:rPr>
        <w:t>17</w:t>
      </w:r>
      <w:r w:rsidR="00750BD2" w:rsidRPr="00371A17">
        <w:rPr>
          <w:rFonts w:ascii="Times New Roman" w:hAnsi="Times New Roman" w:cs="Times New Roman"/>
        </w:rPr>
        <w:t>. August</w:t>
      </w:r>
      <w:r w:rsidRPr="00371A17">
        <w:rPr>
          <w:rFonts w:ascii="Times New Roman" w:hAnsi="Times New Roman" w:cs="Times New Roman"/>
        </w:rPr>
        <w:t xml:space="preserve">, 2012.  Available from: </w:t>
      </w:r>
      <w:hyperlink r:id="rId41" w:history="1">
        <w:r w:rsidRPr="00371A17">
          <w:rPr>
            <w:rStyle w:val="Hyperlink"/>
            <w:rFonts w:ascii="Times New Roman" w:hAnsi="Times New Roman" w:cs="Times New Roman"/>
          </w:rPr>
          <w:t>http://bc.ctvnews.ca/a-226-sq-ft-solution-to-living-large-in-vancouver-1.917039</w:t>
        </w:r>
      </w:hyperlink>
      <w:r w:rsidRPr="00371A17">
        <w:rPr>
          <w:rFonts w:ascii="Times New Roman" w:hAnsi="Times New Roman" w:cs="Times New Roman"/>
        </w:rPr>
        <w:t xml:space="preserve"> [Accessed 25. August 2015].</w:t>
      </w:r>
    </w:p>
    <w:sectPr w:rsidR="0071539F" w:rsidRPr="00371A17" w:rsidSect="008F31E9">
      <w:headerReference w:type="default" r:id="rId42"/>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8E" w:rsidRDefault="00444A8E" w:rsidP="00BB71FE">
      <w:pPr>
        <w:spacing w:after="0" w:line="240" w:lineRule="auto"/>
      </w:pPr>
      <w:r>
        <w:separator/>
      </w:r>
    </w:p>
  </w:endnote>
  <w:endnote w:type="continuationSeparator" w:id="0">
    <w:p w:rsidR="00444A8E" w:rsidRDefault="00444A8E" w:rsidP="00BB71FE">
      <w:pPr>
        <w:spacing w:after="0" w:line="240" w:lineRule="auto"/>
      </w:pPr>
      <w:r>
        <w:continuationSeparator/>
      </w:r>
    </w:p>
  </w:endnote>
  <w:endnote w:id="1">
    <w:p w:rsidR="00AB22A2" w:rsidRPr="00793DFC" w:rsidRDefault="00AB22A2">
      <w:pPr>
        <w:pStyle w:val="EndnoteText"/>
      </w:pPr>
      <w:r>
        <w:rPr>
          <w:rStyle w:val="EndnoteReference"/>
        </w:rPr>
        <w:endnoteRef/>
      </w:r>
      <w:r>
        <w:t xml:space="preserve"> </w:t>
      </w:r>
      <w:r w:rsidRPr="00793DFC">
        <w:rPr>
          <w:rFonts w:ascii="Times New Roman" w:hAnsi="Times New Roman" w:cs="Times New Roman"/>
        </w:rPr>
        <w:t>Wintonyk and Steele</w:t>
      </w:r>
      <w:r>
        <w:rPr>
          <w:rFonts w:ascii="Times New Roman" w:hAnsi="Times New Roman" w:cs="Times New Roman"/>
        </w:rPr>
        <w:t xml:space="preserve"> (2012) quote </w:t>
      </w:r>
      <w:r w:rsidRPr="00793DFC">
        <w:rPr>
          <w:rFonts w:ascii="Times New Roman" w:hAnsi="Times New Roman" w:cs="Times New Roman"/>
        </w:rPr>
        <w:t xml:space="preserve">Vancouver </w:t>
      </w:r>
      <w:r w:rsidR="008A351E" w:rsidRPr="00793DFC">
        <w:rPr>
          <w:rFonts w:ascii="Times New Roman" w:hAnsi="Times New Roman" w:cs="Times New Roman"/>
        </w:rPr>
        <w:t>developer,</w:t>
      </w:r>
      <w:r>
        <w:rPr>
          <w:rFonts w:ascii="Times New Roman" w:hAnsi="Times New Roman" w:cs="Times New Roman"/>
        </w:rPr>
        <w:t xml:space="preserve"> Jon Stovell, whose 30 micro-units (ranging from 226-291 sq.ft.) were rented within days when released in September 2011 to “young people who have a different view of life in the big city.  ‘T</w:t>
      </w:r>
      <w:r w:rsidRPr="00793DFC">
        <w:rPr>
          <w:rFonts w:ascii="Times New Roman" w:hAnsi="Times New Roman" w:cs="Times New Roman"/>
        </w:rPr>
        <w:t>he city is your living room. The city is your dining room. You don't need to use your own resources to recreate all that when you can just step out your door and enjoy a park, a beach, a restaurant, a café.”</w:t>
      </w:r>
      <w:r>
        <w:rPr>
          <w:rFonts w:ascii="Times New Roman" w:hAnsi="Times New Roman" w:cs="Times New Roman"/>
        </w:rPr>
        <w:t xml:space="preserve">  With rents around $800/month, Stove</w:t>
      </w:r>
      <w:r w:rsidR="008A351E">
        <w:rPr>
          <w:rFonts w:ascii="Times New Roman" w:hAnsi="Times New Roman" w:cs="Times New Roman"/>
        </w:rPr>
        <w:t>l</w:t>
      </w:r>
      <w:r>
        <w:rPr>
          <w:rFonts w:ascii="Times New Roman" w:hAnsi="Times New Roman" w:cs="Times New Roman"/>
        </w:rPr>
        <w:t xml:space="preserve">l indicates the units would be considered affordable for people </w:t>
      </w:r>
      <w:r w:rsidR="008A351E">
        <w:rPr>
          <w:rFonts w:ascii="Times New Roman" w:hAnsi="Times New Roman" w:cs="Times New Roman"/>
        </w:rPr>
        <w:t>making $</w:t>
      </w:r>
      <w:r>
        <w:rPr>
          <w:rFonts w:ascii="Times New Roman" w:hAnsi="Times New Roman" w:cs="Times New Roman"/>
        </w:rPr>
        <w:t>26,400/year if calculating rent as 30% of gross income.</w:t>
      </w:r>
    </w:p>
  </w:endnote>
  <w:endnote w:id="2">
    <w:p w:rsidR="00AB22A2" w:rsidRPr="00846953" w:rsidRDefault="00AB22A2">
      <w:pPr>
        <w:pStyle w:val="EndnoteText"/>
        <w:rPr>
          <w:rFonts w:ascii="Times New Roman" w:hAnsi="Times New Roman" w:cs="Times New Roman"/>
        </w:rPr>
      </w:pPr>
      <w:r>
        <w:rPr>
          <w:rStyle w:val="EndnoteReference"/>
        </w:rPr>
        <w:endnoteRef/>
      </w:r>
      <w:r>
        <w:t xml:space="preserve"> For example, the </w:t>
      </w:r>
      <w:r w:rsidRPr="00846953">
        <w:rPr>
          <w:rFonts w:ascii="Times New Roman" w:hAnsi="Times New Roman" w:cs="Times New Roman"/>
        </w:rPr>
        <w:t xml:space="preserve">Director of Building, Gary Mitchel, and Director of Zoning, Josh Frederick, </w:t>
      </w:r>
      <w:r>
        <w:rPr>
          <w:rFonts w:ascii="Times New Roman" w:hAnsi="Times New Roman" w:cs="Times New Roman"/>
        </w:rPr>
        <w:t xml:space="preserve">in Colonial Beach, Virginia </w:t>
      </w:r>
      <w:r w:rsidRPr="00846953">
        <w:rPr>
          <w:rFonts w:ascii="Times New Roman" w:hAnsi="Times New Roman" w:cs="Times New Roman"/>
        </w:rPr>
        <w:t>brought forward to the Planning Commission a draft of a zoning regulation change that would permit Accessory Dwelling Units (ADU) in Colonial Beach.  “</w:t>
      </w:r>
      <w:r w:rsidRPr="00846953">
        <w:rPr>
          <w:rFonts w:ascii="Times New Roman" w:hAnsi="Times New Roman" w:cs="Times New Roman"/>
          <w:color w:val="333333"/>
          <w:shd w:val="clear" w:color="auto" w:fill="FFFFFF"/>
        </w:rPr>
        <w:t>In order to keep up with the growing trend of multi-generational living within the same property, Mitchell proposed amending the zoning regulations to include ADUs”</w:t>
      </w:r>
      <w:r w:rsidRPr="00846953">
        <w:rPr>
          <w:rFonts w:ascii="Times New Roman" w:hAnsi="Times New Roman" w:cs="Times New Roman"/>
        </w:rPr>
        <w:t> (Farneth, 2012).</w:t>
      </w:r>
      <w:r>
        <w:rPr>
          <w:rFonts w:ascii="Times New Roman" w:hAnsi="Times New Roman" w:cs="Times New Roman"/>
        </w:rPr>
        <w:t xml:space="preserve">  The proposal limited ADUs to the lesser of 750 sq.ft. or 25% of the habitable space in the main </w:t>
      </w:r>
      <w:r w:rsidR="008A351E">
        <w:rPr>
          <w:rFonts w:ascii="Times New Roman" w:hAnsi="Times New Roman" w:cs="Times New Roman"/>
        </w:rPr>
        <w:t>building</w:t>
      </w:r>
      <w:r>
        <w:rPr>
          <w:rFonts w:ascii="Times New Roman" w:hAnsi="Times New Roman" w:cs="Times New Roman"/>
        </w:rPr>
        <w:t xml:space="preserve">.  </w:t>
      </w:r>
    </w:p>
  </w:endnote>
  <w:endnote w:id="3">
    <w:p w:rsidR="00AB22A2" w:rsidRPr="007339D4" w:rsidRDefault="00AB22A2" w:rsidP="00B66180">
      <w:pPr>
        <w:pStyle w:val="EndnoteText"/>
        <w:rPr>
          <w:rFonts w:cs="Arial"/>
        </w:rPr>
      </w:pPr>
      <w:r w:rsidRPr="00846953">
        <w:rPr>
          <w:rStyle w:val="EndnoteReference"/>
          <w:rFonts w:ascii="Times New Roman" w:hAnsi="Times New Roman" w:cs="Times New Roman"/>
        </w:rPr>
        <w:endnoteRef/>
      </w:r>
      <w:r w:rsidRPr="00846953">
        <w:rPr>
          <w:rFonts w:ascii="Times New Roman" w:hAnsi="Times New Roman" w:cs="Times New Roman"/>
        </w:rPr>
        <w:t xml:space="preserve"> Chapple </w:t>
      </w:r>
      <w:r w:rsidRPr="00846953">
        <w:rPr>
          <w:rFonts w:ascii="Times New Roman" w:hAnsi="Times New Roman" w:cs="Times New Roman"/>
          <w:i/>
        </w:rPr>
        <w:t>et al.</w:t>
      </w:r>
      <w:r w:rsidRPr="00846953">
        <w:rPr>
          <w:rFonts w:ascii="Times New Roman" w:hAnsi="Times New Roman" w:cs="Times New Roman"/>
        </w:rPr>
        <w:t xml:space="preserve"> noted that (2011, </w:t>
      </w:r>
      <w:r w:rsidR="008A351E" w:rsidRPr="00846953">
        <w:rPr>
          <w:rFonts w:ascii="Times New Roman" w:hAnsi="Times New Roman" w:cs="Times New Roman"/>
        </w:rPr>
        <w:t>pp.</w:t>
      </w:r>
      <w:r w:rsidRPr="00846953">
        <w:rPr>
          <w:rFonts w:ascii="Times New Roman" w:hAnsi="Times New Roman" w:cs="Times New Roman"/>
        </w:rPr>
        <w:t>) “Secondary units are particularly well-suited as an infill strategy for low-density residential areas because they offer hidden density, housing units not readily apparent from the street - and relatively less objectionable to the neighbors.”</w:t>
      </w:r>
    </w:p>
  </w:endnote>
  <w:endnote w:id="4">
    <w:p w:rsidR="00AB22A2" w:rsidRPr="001C3E66" w:rsidRDefault="00AB22A2" w:rsidP="001C3E66">
      <w:pPr>
        <w:pStyle w:val="EndnoteText"/>
        <w:rPr>
          <w:lang w:val="en-US"/>
        </w:rPr>
      </w:pPr>
      <w:r>
        <w:rPr>
          <w:rStyle w:val="EndnoteReference"/>
        </w:rPr>
        <w:endnoteRef/>
      </w:r>
      <w:r>
        <w:t xml:space="preserve"> </w:t>
      </w:r>
      <w:r w:rsidRPr="004123A3">
        <w:rPr>
          <w:rFonts w:ascii="Times New Roman" w:hAnsi="Times New Roman" w:cs="Times New Roman"/>
        </w:rPr>
        <w:t>“Although much of the attention given to Backyard Cottages revolves around their potential for increasing the supply of affordable housing opportunities, Backyard Cottages may also help to address other social issues, particularly those relating to housing options for th</w:t>
      </w:r>
      <w:r>
        <w:rPr>
          <w:rFonts w:ascii="Times New Roman" w:hAnsi="Times New Roman" w:cs="Times New Roman"/>
        </w:rPr>
        <w:t>e growing elderly population.” (City of Seattle, 2010, p. 2)</w:t>
      </w:r>
    </w:p>
  </w:endnote>
  <w:endnote w:id="5">
    <w:p w:rsidR="00AB22A2" w:rsidRPr="006026F3" w:rsidRDefault="00AB22A2" w:rsidP="00A92511">
      <w:pPr>
        <w:pStyle w:val="EndnoteText"/>
        <w:rPr>
          <w:lang w:val="en-US"/>
        </w:rPr>
      </w:pPr>
      <w:r>
        <w:rPr>
          <w:rStyle w:val="EndnoteReference"/>
        </w:rPr>
        <w:endnoteRef/>
      </w:r>
      <w:r>
        <w:t xml:space="preserve"> </w:t>
      </w:r>
      <w:r>
        <w:rPr>
          <w:lang w:val="en-US"/>
        </w:rPr>
        <w:t>“</w:t>
      </w:r>
      <w:r w:rsidRPr="006026F3">
        <w:t>California is leading the pack with a new law that effectively forces cities to relax zoning codes and make it easier to get building permits for such rental units. Cities can’t ban granny flats, and homeowners no longer have to face angry</w:t>
      </w:r>
      <w:r>
        <w:t xml:space="preserve"> neighbors at public hearings.  </w:t>
      </w:r>
      <w:r w:rsidRPr="006026F3">
        <w:t>"What has really caused a resurgence is the combination of the affordable housing crisis and increasing concerns over sprawl," says Cathy Creswell, deputy director of the California Department of Housing and Community Development</w:t>
      </w:r>
      <w:r>
        <w:t>” (El Nassar, 2004)</w:t>
      </w:r>
    </w:p>
  </w:endnote>
  <w:endnote w:id="6">
    <w:p w:rsidR="00DF2359" w:rsidRPr="00DF2359" w:rsidRDefault="00DF2359">
      <w:pPr>
        <w:pStyle w:val="EndnoteText"/>
      </w:pPr>
      <w:r>
        <w:rPr>
          <w:rStyle w:val="EndnoteReference"/>
        </w:rPr>
        <w:endnoteRef/>
      </w:r>
      <w:r>
        <w:t xml:space="preserve"> </w:t>
      </w:r>
      <w:r w:rsidR="00912E06">
        <w:t>The Secured Market Rental Housing Policy, adopted in 2012 (also referred to as “Rental 100”), is the successor of the Short Term Incentives for Rental (STIR) program, initiated in 2009</w:t>
      </w:r>
    </w:p>
  </w:endnote>
  <w:endnote w:id="7">
    <w:p w:rsidR="00AB22A2" w:rsidRPr="00BC0DC5" w:rsidRDefault="00AB22A2" w:rsidP="009D2426">
      <w:pPr>
        <w:pStyle w:val="EndnoteText"/>
      </w:pPr>
      <w:r>
        <w:rPr>
          <w:rStyle w:val="EndnoteReference"/>
        </w:rPr>
        <w:endnoteRef/>
      </w:r>
      <w:r>
        <w:t xml:space="preserve"> “</w:t>
      </w:r>
      <w:r w:rsidRPr="00BC0DC5">
        <w:rPr>
          <w:i/>
        </w:rPr>
        <w:t>Internal ADUs</w:t>
      </w:r>
      <w:r w:rsidRPr="00BC0DC5">
        <w:t xml:space="preserve"> are built within part of an existing structure, such as an attic or basement. </w:t>
      </w:r>
      <w:r w:rsidRPr="00BC0DC5">
        <w:rPr>
          <w:i/>
        </w:rPr>
        <w:t>Attached ADUs</w:t>
      </w:r>
      <w:r w:rsidRPr="00BC0DC5">
        <w:t xml:space="preserve"> are built as an addition to the primary structure. The line between internal and attached ADUs is often blurry and many jurisdictions do not distinguish between the two. </w:t>
      </w:r>
      <w:r w:rsidRPr="00BC0DC5">
        <w:rPr>
          <w:i/>
        </w:rPr>
        <w:t>Detached ADUs</w:t>
      </w:r>
      <w:r w:rsidRPr="00BC0DC5">
        <w:t xml:space="preserve"> are physically separated from the primary dwelling but located on the same lot, such as backyard cottage or a unit above a garage.</w:t>
      </w:r>
      <w:r>
        <w:t>”</w:t>
      </w:r>
      <w:r w:rsidRPr="00BC0DC5">
        <w:t xml:space="preserve">  </w:t>
      </w:r>
      <w:r>
        <w:t>(Been et al, 2000).</w:t>
      </w:r>
    </w:p>
    <w:p w:rsidR="00AB22A2" w:rsidRPr="00BC0DC5" w:rsidRDefault="00AB22A2" w:rsidP="009D24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8E" w:rsidRDefault="00444A8E" w:rsidP="00BB71FE">
      <w:pPr>
        <w:spacing w:after="0" w:line="240" w:lineRule="auto"/>
      </w:pPr>
      <w:r>
        <w:separator/>
      </w:r>
    </w:p>
  </w:footnote>
  <w:footnote w:type="continuationSeparator" w:id="0">
    <w:p w:rsidR="00444A8E" w:rsidRDefault="00444A8E" w:rsidP="00BB71FE">
      <w:pPr>
        <w:spacing w:after="0" w:line="240" w:lineRule="auto"/>
      </w:pPr>
      <w:r>
        <w:continuationSeparator/>
      </w:r>
    </w:p>
  </w:footnote>
  <w:footnote w:id="1">
    <w:p w:rsidR="00AB22A2" w:rsidRDefault="00AB22A2" w:rsidP="00616874">
      <w:pPr>
        <w:pStyle w:val="FootnoteText"/>
      </w:pPr>
      <w:r>
        <w:rPr>
          <w:rStyle w:val="FootnoteReference"/>
        </w:rPr>
        <w:footnoteRef/>
      </w:r>
      <w:r>
        <w:t xml:space="preserve"> pernille.christensen@uts.edu.au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2" w:rsidRDefault="00AB22A2" w:rsidP="00616874">
    <w:pPr>
      <w:pStyle w:val="ConferenceDetails"/>
    </w:pPr>
    <w:r>
      <w:t>22</w:t>
    </w:r>
    <w:r w:rsidRPr="00972069">
      <w:rPr>
        <w:vertAlign w:val="superscript"/>
      </w:rPr>
      <w:t>ND</w:t>
    </w:r>
    <w:r>
      <w:t xml:space="preserve"> Annual Pacific-Rim Real Estate Society Conference</w:t>
    </w:r>
  </w:p>
  <w:p w:rsidR="00AB22A2" w:rsidRPr="00616874" w:rsidRDefault="00AB22A2" w:rsidP="00616874">
    <w:pPr>
      <w:pStyle w:val="ConferenceDetails"/>
    </w:pPr>
    <w:r>
      <w:t>SUNSHINE COAST, QUEENSLAND, AUSTRALIA 17-20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A4C"/>
    <w:multiLevelType w:val="hybridMultilevel"/>
    <w:tmpl w:val="0856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66B66"/>
    <w:multiLevelType w:val="multilevel"/>
    <w:tmpl w:val="EB5A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65B44"/>
    <w:multiLevelType w:val="hybridMultilevel"/>
    <w:tmpl w:val="259C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E9"/>
    <w:rsid w:val="00000B0D"/>
    <w:rsid w:val="00002260"/>
    <w:rsid w:val="0000246E"/>
    <w:rsid w:val="00003BDC"/>
    <w:rsid w:val="0000464D"/>
    <w:rsid w:val="00012920"/>
    <w:rsid w:val="00016CD4"/>
    <w:rsid w:val="00021803"/>
    <w:rsid w:val="00022F8C"/>
    <w:rsid w:val="00030A9F"/>
    <w:rsid w:val="00032ED3"/>
    <w:rsid w:val="00033E18"/>
    <w:rsid w:val="00036CF8"/>
    <w:rsid w:val="00050A56"/>
    <w:rsid w:val="00055208"/>
    <w:rsid w:val="00056C33"/>
    <w:rsid w:val="0006651C"/>
    <w:rsid w:val="0007013D"/>
    <w:rsid w:val="00071826"/>
    <w:rsid w:val="00073640"/>
    <w:rsid w:val="00073B4B"/>
    <w:rsid w:val="00075279"/>
    <w:rsid w:val="00076909"/>
    <w:rsid w:val="000841FC"/>
    <w:rsid w:val="000A6C32"/>
    <w:rsid w:val="000B1D7B"/>
    <w:rsid w:val="000B30E2"/>
    <w:rsid w:val="000B3276"/>
    <w:rsid w:val="000B4242"/>
    <w:rsid w:val="000B6040"/>
    <w:rsid w:val="000C2631"/>
    <w:rsid w:val="000C44E7"/>
    <w:rsid w:val="000C6558"/>
    <w:rsid w:val="000D07B7"/>
    <w:rsid w:val="000D0BFF"/>
    <w:rsid w:val="000D24D2"/>
    <w:rsid w:val="000D52FB"/>
    <w:rsid w:val="000D68A0"/>
    <w:rsid w:val="000E1D56"/>
    <w:rsid w:val="000E2566"/>
    <w:rsid w:val="000F1C30"/>
    <w:rsid w:val="00101827"/>
    <w:rsid w:val="00103806"/>
    <w:rsid w:val="00111E36"/>
    <w:rsid w:val="00115CF8"/>
    <w:rsid w:val="00117525"/>
    <w:rsid w:val="00123B65"/>
    <w:rsid w:val="0012541A"/>
    <w:rsid w:val="00126CFF"/>
    <w:rsid w:val="001300BD"/>
    <w:rsid w:val="00132610"/>
    <w:rsid w:val="00134F1F"/>
    <w:rsid w:val="00136334"/>
    <w:rsid w:val="0014359B"/>
    <w:rsid w:val="00144BA6"/>
    <w:rsid w:val="00153B5C"/>
    <w:rsid w:val="00155CD1"/>
    <w:rsid w:val="00157C30"/>
    <w:rsid w:val="001617CC"/>
    <w:rsid w:val="00170DFB"/>
    <w:rsid w:val="00172344"/>
    <w:rsid w:val="00172EE2"/>
    <w:rsid w:val="001778BB"/>
    <w:rsid w:val="0018766B"/>
    <w:rsid w:val="001A70E3"/>
    <w:rsid w:val="001B05F9"/>
    <w:rsid w:val="001B6EF2"/>
    <w:rsid w:val="001B7D17"/>
    <w:rsid w:val="001C12CB"/>
    <w:rsid w:val="001C34F3"/>
    <w:rsid w:val="001C3E66"/>
    <w:rsid w:val="001C64EC"/>
    <w:rsid w:val="001C6751"/>
    <w:rsid w:val="001D0FAA"/>
    <w:rsid w:val="001D22E5"/>
    <w:rsid w:val="001D2908"/>
    <w:rsid w:val="001D4B0E"/>
    <w:rsid w:val="001D52DC"/>
    <w:rsid w:val="001E050F"/>
    <w:rsid w:val="001E3EAC"/>
    <w:rsid w:val="001E7CAC"/>
    <w:rsid w:val="001F3229"/>
    <w:rsid w:val="001F4AA9"/>
    <w:rsid w:val="001F5E00"/>
    <w:rsid w:val="001F7C65"/>
    <w:rsid w:val="001F7C9B"/>
    <w:rsid w:val="00202ACE"/>
    <w:rsid w:val="00203455"/>
    <w:rsid w:val="00205A44"/>
    <w:rsid w:val="00207A74"/>
    <w:rsid w:val="00215E41"/>
    <w:rsid w:val="002215AC"/>
    <w:rsid w:val="002256C8"/>
    <w:rsid w:val="00227700"/>
    <w:rsid w:val="00227AEB"/>
    <w:rsid w:val="00250FA2"/>
    <w:rsid w:val="00251B3E"/>
    <w:rsid w:val="00255C7E"/>
    <w:rsid w:val="002708FA"/>
    <w:rsid w:val="00277B68"/>
    <w:rsid w:val="00282033"/>
    <w:rsid w:val="002A502B"/>
    <w:rsid w:val="002B204F"/>
    <w:rsid w:val="002B2AA8"/>
    <w:rsid w:val="002B5BB8"/>
    <w:rsid w:val="002C09DB"/>
    <w:rsid w:val="002C0F90"/>
    <w:rsid w:val="002D3BC0"/>
    <w:rsid w:val="002E1F95"/>
    <w:rsid w:val="002E3F15"/>
    <w:rsid w:val="002E6BA8"/>
    <w:rsid w:val="002F5CEE"/>
    <w:rsid w:val="002F5D9A"/>
    <w:rsid w:val="002F6CAC"/>
    <w:rsid w:val="003000E2"/>
    <w:rsid w:val="0030112A"/>
    <w:rsid w:val="00311F0C"/>
    <w:rsid w:val="00312891"/>
    <w:rsid w:val="003160A8"/>
    <w:rsid w:val="003167FE"/>
    <w:rsid w:val="00317C85"/>
    <w:rsid w:val="0032139C"/>
    <w:rsid w:val="00323FFA"/>
    <w:rsid w:val="00327E7D"/>
    <w:rsid w:val="0033532C"/>
    <w:rsid w:val="00335812"/>
    <w:rsid w:val="00340C1D"/>
    <w:rsid w:val="0034192C"/>
    <w:rsid w:val="00342C5F"/>
    <w:rsid w:val="00343D2A"/>
    <w:rsid w:val="0035077F"/>
    <w:rsid w:val="003613AD"/>
    <w:rsid w:val="00361474"/>
    <w:rsid w:val="003617F6"/>
    <w:rsid w:val="00365019"/>
    <w:rsid w:val="00365C0F"/>
    <w:rsid w:val="003676C1"/>
    <w:rsid w:val="00371A17"/>
    <w:rsid w:val="00383E33"/>
    <w:rsid w:val="0039546E"/>
    <w:rsid w:val="0039711F"/>
    <w:rsid w:val="003A2601"/>
    <w:rsid w:val="003B1040"/>
    <w:rsid w:val="003B1384"/>
    <w:rsid w:val="003B35ED"/>
    <w:rsid w:val="003B5B68"/>
    <w:rsid w:val="003C0757"/>
    <w:rsid w:val="003C71D7"/>
    <w:rsid w:val="003D43E2"/>
    <w:rsid w:val="003D6862"/>
    <w:rsid w:val="003D6A44"/>
    <w:rsid w:val="003E003D"/>
    <w:rsid w:val="003F5205"/>
    <w:rsid w:val="003F5E2B"/>
    <w:rsid w:val="00402DA9"/>
    <w:rsid w:val="004078A6"/>
    <w:rsid w:val="004123A3"/>
    <w:rsid w:val="00412C5B"/>
    <w:rsid w:val="004151E6"/>
    <w:rsid w:val="004152DC"/>
    <w:rsid w:val="00416C77"/>
    <w:rsid w:val="00417CD0"/>
    <w:rsid w:val="00424E37"/>
    <w:rsid w:val="00434974"/>
    <w:rsid w:val="004366DE"/>
    <w:rsid w:val="00441232"/>
    <w:rsid w:val="00441855"/>
    <w:rsid w:val="00444A8E"/>
    <w:rsid w:val="00465689"/>
    <w:rsid w:val="00477209"/>
    <w:rsid w:val="00477D4B"/>
    <w:rsid w:val="004800EA"/>
    <w:rsid w:val="00481A1B"/>
    <w:rsid w:val="004863E3"/>
    <w:rsid w:val="00487284"/>
    <w:rsid w:val="004878BD"/>
    <w:rsid w:val="00491379"/>
    <w:rsid w:val="00497CBC"/>
    <w:rsid w:val="004A1FBE"/>
    <w:rsid w:val="004A2C9A"/>
    <w:rsid w:val="004D13EB"/>
    <w:rsid w:val="004D284B"/>
    <w:rsid w:val="004D5CE6"/>
    <w:rsid w:val="004D6EF5"/>
    <w:rsid w:val="004E2405"/>
    <w:rsid w:val="004E5220"/>
    <w:rsid w:val="004E7D5A"/>
    <w:rsid w:val="004F096A"/>
    <w:rsid w:val="004F593D"/>
    <w:rsid w:val="004F5D9C"/>
    <w:rsid w:val="005010B2"/>
    <w:rsid w:val="00501379"/>
    <w:rsid w:val="00501AE5"/>
    <w:rsid w:val="00501EEB"/>
    <w:rsid w:val="005043A8"/>
    <w:rsid w:val="00506232"/>
    <w:rsid w:val="00506FEB"/>
    <w:rsid w:val="00520E52"/>
    <w:rsid w:val="00525E8B"/>
    <w:rsid w:val="00530A4D"/>
    <w:rsid w:val="0053179D"/>
    <w:rsid w:val="00532CA6"/>
    <w:rsid w:val="00533D00"/>
    <w:rsid w:val="00536C25"/>
    <w:rsid w:val="00547620"/>
    <w:rsid w:val="00551CE6"/>
    <w:rsid w:val="005563F0"/>
    <w:rsid w:val="0055728A"/>
    <w:rsid w:val="00564AE9"/>
    <w:rsid w:val="0056779D"/>
    <w:rsid w:val="005720CD"/>
    <w:rsid w:val="00575A88"/>
    <w:rsid w:val="00581A05"/>
    <w:rsid w:val="005A7D17"/>
    <w:rsid w:val="005B0E2A"/>
    <w:rsid w:val="005B5098"/>
    <w:rsid w:val="005B7B47"/>
    <w:rsid w:val="005C008F"/>
    <w:rsid w:val="005C1571"/>
    <w:rsid w:val="005C26C0"/>
    <w:rsid w:val="005C626E"/>
    <w:rsid w:val="005C634D"/>
    <w:rsid w:val="005D1A7D"/>
    <w:rsid w:val="005D23BE"/>
    <w:rsid w:val="005E2B67"/>
    <w:rsid w:val="005F0425"/>
    <w:rsid w:val="005F1F61"/>
    <w:rsid w:val="005F20C4"/>
    <w:rsid w:val="005F63DC"/>
    <w:rsid w:val="005F7A6F"/>
    <w:rsid w:val="0060226B"/>
    <w:rsid w:val="006026F3"/>
    <w:rsid w:val="006108E7"/>
    <w:rsid w:val="006162EB"/>
    <w:rsid w:val="00616874"/>
    <w:rsid w:val="00617E5F"/>
    <w:rsid w:val="00621209"/>
    <w:rsid w:val="00621960"/>
    <w:rsid w:val="006220B1"/>
    <w:rsid w:val="006245BD"/>
    <w:rsid w:val="00626051"/>
    <w:rsid w:val="00626358"/>
    <w:rsid w:val="0063075C"/>
    <w:rsid w:val="00630C25"/>
    <w:rsid w:val="00635A55"/>
    <w:rsid w:val="0063691F"/>
    <w:rsid w:val="00637F62"/>
    <w:rsid w:val="00654488"/>
    <w:rsid w:val="00656609"/>
    <w:rsid w:val="00664291"/>
    <w:rsid w:val="0066609D"/>
    <w:rsid w:val="006758D7"/>
    <w:rsid w:val="0067616D"/>
    <w:rsid w:val="00677B9C"/>
    <w:rsid w:val="00681552"/>
    <w:rsid w:val="00685E21"/>
    <w:rsid w:val="006938F5"/>
    <w:rsid w:val="00696119"/>
    <w:rsid w:val="006973CB"/>
    <w:rsid w:val="006A22A9"/>
    <w:rsid w:val="006A2824"/>
    <w:rsid w:val="006A5CC5"/>
    <w:rsid w:val="006B0AED"/>
    <w:rsid w:val="006B34A4"/>
    <w:rsid w:val="006C1078"/>
    <w:rsid w:val="006C1154"/>
    <w:rsid w:val="006C596E"/>
    <w:rsid w:val="006D2F62"/>
    <w:rsid w:val="006D4817"/>
    <w:rsid w:val="006D65E7"/>
    <w:rsid w:val="006E0DCB"/>
    <w:rsid w:val="006E34E2"/>
    <w:rsid w:val="006E7682"/>
    <w:rsid w:val="006E7878"/>
    <w:rsid w:val="006F4BB3"/>
    <w:rsid w:val="006F544B"/>
    <w:rsid w:val="006F5636"/>
    <w:rsid w:val="0070026F"/>
    <w:rsid w:val="007028EF"/>
    <w:rsid w:val="00704112"/>
    <w:rsid w:val="00705637"/>
    <w:rsid w:val="00712A06"/>
    <w:rsid w:val="0071539F"/>
    <w:rsid w:val="00720666"/>
    <w:rsid w:val="0072274E"/>
    <w:rsid w:val="00727219"/>
    <w:rsid w:val="00727604"/>
    <w:rsid w:val="007339D4"/>
    <w:rsid w:val="00736013"/>
    <w:rsid w:val="00740090"/>
    <w:rsid w:val="00740755"/>
    <w:rsid w:val="007441F9"/>
    <w:rsid w:val="00744A9D"/>
    <w:rsid w:val="00746CF7"/>
    <w:rsid w:val="0075069C"/>
    <w:rsid w:val="00750B1F"/>
    <w:rsid w:val="00750BD2"/>
    <w:rsid w:val="0075182C"/>
    <w:rsid w:val="007561F5"/>
    <w:rsid w:val="00756352"/>
    <w:rsid w:val="00764A01"/>
    <w:rsid w:val="0077177F"/>
    <w:rsid w:val="00771B90"/>
    <w:rsid w:val="00776BEF"/>
    <w:rsid w:val="007772B5"/>
    <w:rsid w:val="0079080E"/>
    <w:rsid w:val="007915C9"/>
    <w:rsid w:val="00793DFC"/>
    <w:rsid w:val="007A25E4"/>
    <w:rsid w:val="007A2EDC"/>
    <w:rsid w:val="007A6CF1"/>
    <w:rsid w:val="007B3B71"/>
    <w:rsid w:val="007C170D"/>
    <w:rsid w:val="007C36DB"/>
    <w:rsid w:val="007D6F42"/>
    <w:rsid w:val="007F5BCE"/>
    <w:rsid w:val="007F7951"/>
    <w:rsid w:val="00800AEB"/>
    <w:rsid w:val="008058FB"/>
    <w:rsid w:val="008126B4"/>
    <w:rsid w:val="008223C3"/>
    <w:rsid w:val="00824EBC"/>
    <w:rsid w:val="00825408"/>
    <w:rsid w:val="00826814"/>
    <w:rsid w:val="00826D7A"/>
    <w:rsid w:val="00836B93"/>
    <w:rsid w:val="00844052"/>
    <w:rsid w:val="00844859"/>
    <w:rsid w:val="00846953"/>
    <w:rsid w:val="00850DBD"/>
    <w:rsid w:val="00853756"/>
    <w:rsid w:val="00863148"/>
    <w:rsid w:val="008671AA"/>
    <w:rsid w:val="00872838"/>
    <w:rsid w:val="00875097"/>
    <w:rsid w:val="00875E16"/>
    <w:rsid w:val="00876002"/>
    <w:rsid w:val="00877475"/>
    <w:rsid w:val="00877962"/>
    <w:rsid w:val="0088045F"/>
    <w:rsid w:val="00881B47"/>
    <w:rsid w:val="0088313C"/>
    <w:rsid w:val="00883206"/>
    <w:rsid w:val="00885BD8"/>
    <w:rsid w:val="008871C6"/>
    <w:rsid w:val="008A351E"/>
    <w:rsid w:val="008A4692"/>
    <w:rsid w:val="008B0B0D"/>
    <w:rsid w:val="008B29AC"/>
    <w:rsid w:val="008C01A3"/>
    <w:rsid w:val="008C0550"/>
    <w:rsid w:val="008C0ADF"/>
    <w:rsid w:val="008C6116"/>
    <w:rsid w:val="008C7CF3"/>
    <w:rsid w:val="008D4167"/>
    <w:rsid w:val="008D559D"/>
    <w:rsid w:val="008E14A8"/>
    <w:rsid w:val="008E4ECC"/>
    <w:rsid w:val="008F31E9"/>
    <w:rsid w:val="008F5F41"/>
    <w:rsid w:val="00901696"/>
    <w:rsid w:val="00901EF3"/>
    <w:rsid w:val="00901F03"/>
    <w:rsid w:val="009022FA"/>
    <w:rsid w:val="0090355E"/>
    <w:rsid w:val="00903F5A"/>
    <w:rsid w:val="00905B28"/>
    <w:rsid w:val="00905FDD"/>
    <w:rsid w:val="00907D60"/>
    <w:rsid w:val="009101AB"/>
    <w:rsid w:val="0091182E"/>
    <w:rsid w:val="00912E06"/>
    <w:rsid w:val="009267A4"/>
    <w:rsid w:val="00930F08"/>
    <w:rsid w:val="00931181"/>
    <w:rsid w:val="00932ADA"/>
    <w:rsid w:val="009460A9"/>
    <w:rsid w:val="00946E67"/>
    <w:rsid w:val="009509DA"/>
    <w:rsid w:val="009548D8"/>
    <w:rsid w:val="00955927"/>
    <w:rsid w:val="009608B3"/>
    <w:rsid w:val="00975918"/>
    <w:rsid w:val="009850DD"/>
    <w:rsid w:val="00985142"/>
    <w:rsid w:val="00987579"/>
    <w:rsid w:val="0099432C"/>
    <w:rsid w:val="009977D6"/>
    <w:rsid w:val="009A0DF8"/>
    <w:rsid w:val="009A313D"/>
    <w:rsid w:val="009A61C9"/>
    <w:rsid w:val="009B42C8"/>
    <w:rsid w:val="009B5CB7"/>
    <w:rsid w:val="009D2426"/>
    <w:rsid w:val="009D2FB1"/>
    <w:rsid w:val="009D36A8"/>
    <w:rsid w:val="009D7A95"/>
    <w:rsid w:val="009E387A"/>
    <w:rsid w:val="009E3FFF"/>
    <w:rsid w:val="009F6AB0"/>
    <w:rsid w:val="00A07EA6"/>
    <w:rsid w:val="00A14535"/>
    <w:rsid w:val="00A177D9"/>
    <w:rsid w:val="00A208ED"/>
    <w:rsid w:val="00A20D8F"/>
    <w:rsid w:val="00A22BDB"/>
    <w:rsid w:val="00A335CE"/>
    <w:rsid w:val="00A33B5B"/>
    <w:rsid w:val="00A54CB5"/>
    <w:rsid w:val="00A553F1"/>
    <w:rsid w:val="00A60E5D"/>
    <w:rsid w:val="00A6206C"/>
    <w:rsid w:val="00A64588"/>
    <w:rsid w:val="00A6523D"/>
    <w:rsid w:val="00A70B13"/>
    <w:rsid w:val="00A70F84"/>
    <w:rsid w:val="00A74F02"/>
    <w:rsid w:val="00A766C0"/>
    <w:rsid w:val="00A77572"/>
    <w:rsid w:val="00A80453"/>
    <w:rsid w:val="00A80B68"/>
    <w:rsid w:val="00A8392D"/>
    <w:rsid w:val="00A85CFC"/>
    <w:rsid w:val="00A85E42"/>
    <w:rsid w:val="00A870F3"/>
    <w:rsid w:val="00A87F45"/>
    <w:rsid w:val="00A90942"/>
    <w:rsid w:val="00A92407"/>
    <w:rsid w:val="00A92511"/>
    <w:rsid w:val="00AA0633"/>
    <w:rsid w:val="00AA0DDF"/>
    <w:rsid w:val="00AA7676"/>
    <w:rsid w:val="00AB22A2"/>
    <w:rsid w:val="00AB5E20"/>
    <w:rsid w:val="00AB729F"/>
    <w:rsid w:val="00AD016C"/>
    <w:rsid w:val="00AD4FA3"/>
    <w:rsid w:val="00AD6813"/>
    <w:rsid w:val="00AD768E"/>
    <w:rsid w:val="00AE5041"/>
    <w:rsid w:val="00AF25F8"/>
    <w:rsid w:val="00B05A3C"/>
    <w:rsid w:val="00B07D83"/>
    <w:rsid w:val="00B20438"/>
    <w:rsid w:val="00B30293"/>
    <w:rsid w:val="00B3370D"/>
    <w:rsid w:val="00B3383E"/>
    <w:rsid w:val="00B34A92"/>
    <w:rsid w:val="00B354C7"/>
    <w:rsid w:val="00B363DB"/>
    <w:rsid w:val="00B3665F"/>
    <w:rsid w:val="00B37578"/>
    <w:rsid w:val="00B40CE5"/>
    <w:rsid w:val="00B516B2"/>
    <w:rsid w:val="00B51AF7"/>
    <w:rsid w:val="00B54113"/>
    <w:rsid w:val="00B5680F"/>
    <w:rsid w:val="00B574E4"/>
    <w:rsid w:val="00B66180"/>
    <w:rsid w:val="00B66E98"/>
    <w:rsid w:val="00B720C7"/>
    <w:rsid w:val="00B726FF"/>
    <w:rsid w:val="00B7276E"/>
    <w:rsid w:val="00B75883"/>
    <w:rsid w:val="00B80374"/>
    <w:rsid w:val="00B80ABE"/>
    <w:rsid w:val="00B84EEC"/>
    <w:rsid w:val="00B84FAF"/>
    <w:rsid w:val="00B93673"/>
    <w:rsid w:val="00B95DEF"/>
    <w:rsid w:val="00B97204"/>
    <w:rsid w:val="00B97356"/>
    <w:rsid w:val="00BA1B93"/>
    <w:rsid w:val="00BA56F3"/>
    <w:rsid w:val="00BB366B"/>
    <w:rsid w:val="00BB4376"/>
    <w:rsid w:val="00BB4C45"/>
    <w:rsid w:val="00BB59D5"/>
    <w:rsid w:val="00BB6347"/>
    <w:rsid w:val="00BB71FE"/>
    <w:rsid w:val="00BC0DC5"/>
    <w:rsid w:val="00BC6A1E"/>
    <w:rsid w:val="00BC76D0"/>
    <w:rsid w:val="00BD2285"/>
    <w:rsid w:val="00BD38F7"/>
    <w:rsid w:val="00BD4E54"/>
    <w:rsid w:val="00BD6541"/>
    <w:rsid w:val="00BE328E"/>
    <w:rsid w:val="00BE5301"/>
    <w:rsid w:val="00BF2004"/>
    <w:rsid w:val="00BF395E"/>
    <w:rsid w:val="00BF4FB0"/>
    <w:rsid w:val="00BF75A9"/>
    <w:rsid w:val="00BF7FB7"/>
    <w:rsid w:val="00C0019C"/>
    <w:rsid w:val="00C010B0"/>
    <w:rsid w:val="00C07433"/>
    <w:rsid w:val="00C10691"/>
    <w:rsid w:val="00C12FA8"/>
    <w:rsid w:val="00C14475"/>
    <w:rsid w:val="00C15A53"/>
    <w:rsid w:val="00C21AA2"/>
    <w:rsid w:val="00C226DA"/>
    <w:rsid w:val="00C2270A"/>
    <w:rsid w:val="00C24C5F"/>
    <w:rsid w:val="00C24CAE"/>
    <w:rsid w:val="00C25683"/>
    <w:rsid w:val="00C25FC1"/>
    <w:rsid w:val="00C26B9E"/>
    <w:rsid w:val="00C2743B"/>
    <w:rsid w:val="00C35B14"/>
    <w:rsid w:val="00C401E9"/>
    <w:rsid w:val="00C434AC"/>
    <w:rsid w:val="00C4399A"/>
    <w:rsid w:val="00C43F98"/>
    <w:rsid w:val="00C675B3"/>
    <w:rsid w:val="00C71390"/>
    <w:rsid w:val="00C74939"/>
    <w:rsid w:val="00C74EA8"/>
    <w:rsid w:val="00C8559B"/>
    <w:rsid w:val="00C87DDB"/>
    <w:rsid w:val="00C9211A"/>
    <w:rsid w:val="00C93ED9"/>
    <w:rsid w:val="00C94B13"/>
    <w:rsid w:val="00C94B3F"/>
    <w:rsid w:val="00CB740E"/>
    <w:rsid w:val="00CC5712"/>
    <w:rsid w:val="00CC6A6A"/>
    <w:rsid w:val="00CD2A3D"/>
    <w:rsid w:val="00CE0A48"/>
    <w:rsid w:val="00CE5B7F"/>
    <w:rsid w:val="00CF0973"/>
    <w:rsid w:val="00CF1796"/>
    <w:rsid w:val="00CF1DF2"/>
    <w:rsid w:val="00CF26CE"/>
    <w:rsid w:val="00CF2739"/>
    <w:rsid w:val="00D028FB"/>
    <w:rsid w:val="00D03FEC"/>
    <w:rsid w:val="00D11543"/>
    <w:rsid w:val="00D115C6"/>
    <w:rsid w:val="00D1460B"/>
    <w:rsid w:val="00D154E3"/>
    <w:rsid w:val="00D214DA"/>
    <w:rsid w:val="00D23FF7"/>
    <w:rsid w:val="00D241DC"/>
    <w:rsid w:val="00D27FAF"/>
    <w:rsid w:val="00D33192"/>
    <w:rsid w:val="00D34097"/>
    <w:rsid w:val="00D36D38"/>
    <w:rsid w:val="00D379D0"/>
    <w:rsid w:val="00D4558A"/>
    <w:rsid w:val="00D4753F"/>
    <w:rsid w:val="00D6541A"/>
    <w:rsid w:val="00D66D85"/>
    <w:rsid w:val="00D72EDA"/>
    <w:rsid w:val="00D7360E"/>
    <w:rsid w:val="00D737D8"/>
    <w:rsid w:val="00D7413A"/>
    <w:rsid w:val="00D75CAE"/>
    <w:rsid w:val="00D80FF7"/>
    <w:rsid w:val="00D907A7"/>
    <w:rsid w:val="00D9183B"/>
    <w:rsid w:val="00D9302F"/>
    <w:rsid w:val="00DA043D"/>
    <w:rsid w:val="00DA1DE3"/>
    <w:rsid w:val="00DA298F"/>
    <w:rsid w:val="00DA6931"/>
    <w:rsid w:val="00DB7CEE"/>
    <w:rsid w:val="00DC5BD3"/>
    <w:rsid w:val="00DD5D2B"/>
    <w:rsid w:val="00DE279E"/>
    <w:rsid w:val="00DE3715"/>
    <w:rsid w:val="00DE39DF"/>
    <w:rsid w:val="00DE5A6C"/>
    <w:rsid w:val="00DE6DAD"/>
    <w:rsid w:val="00DF2359"/>
    <w:rsid w:val="00DF78FC"/>
    <w:rsid w:val="00E02332"/>
    <w:rsid w:val="00E0429C"/>
    <w:rsid w:val="00E042EA"/>
    <w:rsid w:val="00E05571"/>
    <w:rsid w:val="00E11DA9"/>
    <w:rsid w:val="00E126FA"/>
    <w:rsid w:val="00E14323"/>
    <w:rsid w:val="00E14332"/>
    <w:rsid w:val="00E144B8"/>
    <w:rsid w:val="00E1689A"/>
    <w:rsid w:val="00E237AA"/>
    <w:rsid w:val="00E2641C"/>
    <w:rsid w:val="00E40477"/>
    <w:rsid w:val="00E4450A"/>
    <w:rsid w:val="00E44BB9"/>
    <w:rsid w:val="00E54150"/>
    <w:rsid w:val="00E54E4F"/>
    <w:rsid w:val="00E57D1C"/>
    <w:rsid w:val="00E61816"/>
    <w:rsid w:val="00E70197"/>
    <w:rsid w:val="00E70810"/>
    <w:rsid w:val="00E73A9A"/>
    <w:rsid w:val="00E7471A"/>
    <w:rsid w:val="00E7520C"/>
    <w:rsid w:val="00E8062F"/>
    <w:rsid w:val="00E814A3"/>
    <w:rsid w:val="00E82882"/>
    <w:rsid w:val="00E9034F"/>
    <w:rsid w:val="00E94FF1"/>
    <w:rsid w:val="00E977BF"/>
    <w:rsid w:val="00EA297D"/>
    <w:rsid w:val="00EA3231"/>
    <w:rsid w:val="00EA5289"/>
    <w:rsid w:val="00EA5305"/>
    <w:rsid w:val="00EA6615"/>
    <w:rsid w:val="00EB7268"/>
    <w:rsid w:val="00EC16A4"/>
    <w:rsid w:val="00ED465B"/>
    <w:rsid w:val="00ED7970"/>
    <w:rsid w:val="00EE44B2"/>
    <w:rsid w:val="00EE579E"/>
    <w:rsid w:val="00EE654C"/>
    <w:rsid w:val="00EE7D34"/>
    <w:rsid w:val="00EF5CDE"/>
    <w:rsid w:val="00F04953"/>
    <w:rsid w:val="00F04A5F"/>
    <w:rsid w:val="00F050ED"/>
    <w:rsid w:val="00F0630B"/>
    <w:rsid w:val="00F06678"/>
    <w:rsid w:val="00F075CE"/>
    <w:rsid w:val="00F20379"/>
    <w:rsid w:val="00F27F70"/>
    <w:rsid w:val="00F31143"/>
    <w:rsid w:val="00F319DA"/>
    <w:rsid w:val="00F34332"/>
    <w:rsid w:val="00F36C36"/>
    <w:rsid w:val="00F378B8"/>
    <w:rsid w:val="00F43589"/>
    <w:rsid w:val="00F439BC"/>
    <w:rsid w:val="00F44DEB"/>
    <w:rsid w:val="00F45EC7"/>
    <w:rsid w:val="00F50A78"/>
    <w:rsid w:val="00F50C35"/>
    <w:rsid w:val="00F522F6"/>
    <w:rsid w:val="00F57919"/>
    <w:rsid w:val="00F60AC9"/>
    <w:rsid w:val="00F64DCD"/>
    <w:rsid w:val="00F654D9"/>
    <w:rsid w:val="00F75C72"/>
    <w:rsid w:val="00F808B9"/>
    <w:rsid w:val="00F82F65"/>
    <w:rsid w:val="00F97C16"/>
    <w:rsid w:val="00FA1C68"/>
    <w:rsid w:val="00FA4971"/>
    <w:rsid w:val="00FA636A"/>
    <w:rsid w:val="00FA7F1B"/>
    <w:rsid w:val="00FB2B5B"/>
    <w:rsid w:val="00FB4DE5"/>
    <w:rsid w:val="00FB6E65"/>
    <w:rsid w:val="00FD6943"/>
    <w:rsid w:val="00FE530D"/>
    <w:rsid w:val="00FE7119"/>
    <w:rsid w:val="00FE715B"/>
    <w:rsid w:val="00FE7E42"/>
    <w:rsid w:val="00FF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125F5-0B8B-45E8-BD4E-7EA4FB9E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16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5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B71FE"/>
    <w:pPr>
      <w:spacing w:after="0" w:line="240" w:lineRule="auto"/>
    </w:pPr>
    <w:rPr>
      <w:sz w:val="20"/>
      <w:szCs w:val="20"/>
    </w:rPr>
  </w:style>
  <w:style w:type="character" w:customStyle="1" w:styleId="EndnoteTextChar">
    <w:name w:val="Endnote Text Char"/>
    <w:basedOn w:val="DefaultParagraphFont"/>
    <w:link w:val="EndnoteText"/>
    <w:uiPriority w:val="99"/>
    <w:rsid w:val="00BB71FE"/>
    <w:rPr>
      <w:noProof/>
      <w:sz w:val="20"/>
      <w:szCs w:val="20"/>
      <w:lang w:val="en-GB"/>
    </w:rPr>
  </w:style>
  <w:style w:type="character" w:styleId="EndnoteReference">
    <w:name w:val="endnote reference"/>
    <w:basedOn w:val="DefaultParagraphFont"/>
    <w:uiPriority w:val="99"/>
    <w:semiHidden/>
    <w:unhideWhenUsed/>
    <w:rsid w:val="00BB71FE"/>
    <w:rPr>
      <w:vertAlign w:val="superscript"/>
    </w:rPr>
  </w:style>
  <w:style w:type="character" w:styleId="Hyperlink">
    <w:name w:val="Hyperlink"/>
    <w:basedOn w:val="DefaultParagraphFont"/>
    <w:uiPriority w:val="99"/>
    <w:unhideWhenUsed/>
    <w:rsid w:val="00BB71FE"/>
    <w:rPr>
      <w:color w:val="0563C1" w:themeColor="hyperlink"/>
      <w:u w:val="single"/>
    </w:rPr>
  </w:style>
  <w:style w:type="character" w:customStyle="1" w:styleId="Heading2Char">
    <w:name w:val="Heading 2 Char"/>
    <w:basedOn w:val="DefaultParagraphFont"/>
    <w:link w:val="Heading2"/>
    <w:uiPriority w:val="9"/>
    <w:semiHidden/>
    <w:rsid w:val="00E05571"/>
    <w:rPr>
      <w:rFonts w:asciiTheme="majorHAnsi" w:eastAsiaTheme="majorEastAsia" w:hAnsiTheme="majorHAnsi" w:cstheme="majorBidi"/>
      <w:noProof/>
      <w:color w:val="2E74B5" w:themeColor="accent1" w:themeShade="BF"/>
      <w:sz w:val="26"/>
      <w:szCs w:val="26"/>
      <w:lang w:val="en-GB"/>
    </w:rPr>
  </w:style>
  <w:style w:type="paragraph" w:styleId="NormalWeb">
    <w:name w:val="Normal (Web)"/>
    <w:basedOn w:val="Normal"/>
    <w:uiPriority w:val="99"/>
    <w:semiHidden/>
    <w:unhideWhenUsed/>
    <w:rsid w:val="0005520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055208"/>
    <w:pPr>
      <w:spacing w:after="200" w:line="240" w:lineRule="auto"/>
    </w:pPr>
    <w:rPr>
      <w:i/>
      <w:iCs/>
      <w:color w:val="44546A" w:themeColor="text2"/>
      <w:sz w:val="18"/>
      <w:szCs w:val="18"/>
    </w:rPr>
  </w:style>
  <w:style w:type="table" w:styleId="TableGrid">
    <w:name w:val="Table Grid"/>
    <w:basedOn w:val="TableNormal"/>
    <w:uiPriority w:val="39"/>
    <w:rsid w:val="0005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5">
    <w:name w:val="Grid Table 7 Colorful Accent 5"/>
    <w:basedOn w:val="TableNormal"/>
    <w:uiPriority w:val="52"/>
    <w:rsid w:val="004A1F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5">
    <w:name w:val="Grid Table 4 Accent 5"/>
    <w:basedOn w:val="TableNormal"/>
    <w:uiPriority w:val="49"/>
    <w:rsid w:val="004A1F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EndNoteBibliography">
    <w:name w:val="EndNote Bibliography"/>
    <w:basedOn w:val="Normal"/>
    <w:link w:val="EndNoteBibliographyChar"/>
    <w:rsid w:val="001D2908"/>
    <w:pPr>
      <w:spacing w:after="0" w:line="240" w:lineRule="auto"/>
    </w:pPr>
    <w:rPr>
      <w:rFonts w:ascii="Arial" w:eastAsiaTheme="minorEastAsia" w:hAnsi="Arial" w:cs="Arial"/>
      <w:sz w:val="20"/>
      <w:lang w:val="en-US"/>
    </w:rPr>
  </w:style>
  <w:style w:type="character" w:customStyle="1" w:styleId="EndNoteBibliographyChar">
    <w:name w:val="EndNote Bibliography Char"/>
    <w:basedOn w:val="DefaultParagraphFont"/>
    <w:link w:val="EndNoteBibliography"/>
    <w:rsid w:val="001D2908"/>
    <w:rPr>
      <w:rFonts w:ascii="Arial" w:eastAsiaTheme="minorEastAsia" w:hAnsi="Arial" w:cs="Arial"/>
      <w:noProof/>
      <w:sz w:val="20"/>
    </w:rPr>
  </w:style>
  <w:style w:type="paragraph" w:styleId="Header">
    <w:name w:val="header"/>
    <w:basedOn w:val="Normal"/>
    <w:link w:val="HeaderChar"/>
    <w:uiPriority w:val="99"/>
    <w:unhideWhenUsed/>
    <w:rsid w:val="0061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74"/>
    <w:rPr>
      <w:noProof/>
      <w:lang w:val="en-GB"/>
    </w:rPr>
  </w:style>
  <w:style w:type="paragraph" w:styleId="Footer">
    <w:name w:val="footer"/>
    <w:basedOn w:val="Normal"/>
    <w:link w:val="FooterChar"/>
    <w:uiPriority w:val="99"/>
    <w:unhideWhenUsed/>
    <w:rsid w:val="0061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74"/>
    <w:rPr>
      <w:noProof/>
      <w:lang w:val="en-GB"/>
    </w:rPr>
  </w:style>
  <w:style w:type="paragraph" w:customStyle="1" w:styleId="ConferenceDetails">
    <w:name w:val="Conference Details"/>
    <w:basedOn w:val="Normal"/>
    <w:qFormat/>
    <w:rsid w:val="00616874"/>
    <w:pPr>
      <w:spacing w:before="120" w:after="120" w:line="240" w:lineRule="auto"/>
      <w:jc w:val="center"/>
    </w:pPr>
    <w:rPr>
      <w:rFonts w:ascii="Times New Roman" w:eastAsia="Times New Roman" w:hAnsi="Times New Roman" w:cs="Times New Roman"/>
      <w:b/>
      <w:smallCaps/>
      <w:szCs w:val="24"/>
      <w:lang w:eastAsia="en-AU"/>
    </w:rPr>
  </w:style>
  <w:style w:type="paragraph" w:customStyle="1" w:styleId="Authors">
    <w:name w:val="Author/s"/>
    <w:basedOn w:val="Heading1"/>
    <w:qFormat/>
    <w:rsid w:val="00616874"/>
    <w:pPr>
      <w:keepLines w:val="0"/>
      <w:spacing w:before="120" w:after="120" w:line="240" w:lineRule="auto"/>
      <w:jc w:val="center"/>
    </w:pPr>
    <w:rPr>
      <w:rFonts w:ascii="Times New Roman" w:eastAsia="Times New Roman" w:hAnsi="Times New Roman" w:cs="Times New Roman"/>
      <w:b/>
      <w:bCs/>
      <w:color w:val="auto"/>
      <w:kern w:val="32"/>
      <w:sz w:val="24"/>
      <w:lang w:eastAsia="en-AU"/>
    </w:rPr>
  </w:style>
  <w:style w:type="paragraph" w:styleId="FootnoteText">
    <w:name w:val="footnote text"/>
    <w:basedOn w:val="Normal"/>
    <w:link w:val="FootnoteTextChar"/>
    <w:rsid w:val="00616874"/>
    <w:pPr>
      <w:spacing w:before="120" w:after="120" w:line="240" w:lineRule="auto"/>
      <w:jc w:val="both"/>
    </w:pPr>
    <w:rPr>
      <w:rFonts w:ascii="Times New Roman" w:eastAsia="Times New Roman" w:hAnsi="Times New Roman" w:cs="Times New Roman"/>
      <w:szCs w:val="20"/>
      <w:lang w:eastAsia="en-AU"/>
    </w:rPr>
  </w:style>
  <w:style w:type="character" w:customStyle="1" w:styleId="FootnoteTextChar">
    <w:name w:val="Footnote Text Char"/>
    <w:basedOn w:val="DefaultParagraphFont"/>
    <w:link w:val="FootnoteText"/>
    <w:rsid w:val="00616874"/>
    <w:rPr>
      <w:rFonts w:ascii="Times New Roman" w:eastAsia="Times New Roman" w:hAnsi="Times New Roman" w:cs="Times New Roman"/>
      <w:szCs w:val="20"/>
      <w:lang w:val="en-AU" w:eastAsia="en-AU"/>
    </w:rPr>
  </w:style>
  <w:style w:type="character" w:styleId="FootnoteReference">
    <w:name w:val="footnote reference"/>
    <w:rsid w:val="00616874"/>
    <w:rPr>
      <w:vertAlign w:val="superscript"/>
    </w:rPr>
  </w:style>
  <w:style w:type="character" w:customStyle="1" w:styleId="Heading1Char">
    <w:name w:val="Heading 1 Char"/>
    <w:basedOn w:val="DefaultParagraphFont"/>
    <w:link w:val="Heading1"/>
    <w:uiPriority w:val="9"/>
    <w:rsid w:val="00616874"/>
    <w:rPr>
      <w:rFonts w:asciiTheme="majorHAnsi" w:eastAsiaTheme="majorEastAsia" w:hAnsiTheme="majorHAnsi" w:cstheme="majorBidi"/>
      <w:noProof/>
      <w:color w:val="2E74B5" w:themeColor="accent1" w:themeShade="BF"/>
      <w:sz w:val="32"/>
      <w:szCs w:val="32"/>
      <w:lang w:val="en-GB"/>
    </w:rPr>
  </w:style>
  <w:style w:type="paragraph" w:styleId="BalloonText">
    <w:name w:val="Balloon Text"/>
    <w:basedOn w:val="Normal"/>
    <w:link w:val="BalloonTextChar"/>
    <w:uiPriority w:val="99"/>
    <w:semiHidden/>
    <w:unhideWhenUsed/>
    <w:rsid w:val="00616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74"/>
    <w:rPr>
      <w:rFonts w:ascii="Segoe UI" w:hAnsi="Segoe UI" w:cs="Segoe UI"/>
      <w:noProof/>
      <w:sz w:val="18"/>
      <w:szCs w:val="18"/>
      <w:lang w:val="en-GB"/>
    </w:rPr>
  </w:style>
  <w:style w:type="character" w:styleId="FollowedHyperlink">
    <w:name w:val="FollowedHyperlink"/>
    <w:basedOn w:val="DefaultParagraphFont"/>
    <w:uiPriority w:val="99"/>
    <w:semiHidden/>
    <w:unhideWhenUsed/>
    <w:rsid w:val="006245BD"/>
    <w:rPr>
      <w:color w:val="954F72" w:themeColor="followedHyperlink"/>
      <w:u w:val="single"/>
    </w:rPr>
  </w:style>
  <w:style w:type="paragraph" w:styleId="ListParagraph">
    <w:name w:val="List Paragraph"/>
    <w:basedOn w:val="Normal"/>
    <w:uiPriority w:val="34"/>
    <w:qFormat/>
    <w:rsid w:val="00DB7CEE"/>
    <w:pPr>
      <w:ind w:left="720"/>
      <w:contextualSpacing/>
    </w:pPr>
  </w:style>
  <w:style w:type="character" w:customStyle="1" w:styleId="apple-converted-space">
    <w:name w:val="apple-converted-space"/>
    <w:basedOn w:val="DefaultParagraphFont"/>
    <w:rsid w:val="0071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7662">
      <w:bodyDiv w:val="1"/>
      <w:marLeft w:val="0"/>
      <w:marRight w:val="0"/>
      <w:marTop w:val="0"/>
      <w:marBottom w:val="0"/>
      <w:divBdr>
        <w:top w:val="none" w:sz="0" w:space="0" w:color="auto"/>
        <w:left w:val="none" w:sz="0" w:space="0" w:color="auto"/>
        <w:bottom w:val="none" w:sz="0" w:space="0" w:color="auto"/>
        <w:right w:val="none" w:sz="0" w:space="0" w:color="auto"/>
      </w:divBdr>
    </w:div>
    <w:div w:id="183174584">
      <w:bodyDiv w:val="1"/>
      <w:marLeft w:val="0"/>
      <w:marRight w:val="0"/>
      <w:marTop w:val="0"/>
      <w:marBottom w:val="0"/>
      <w:divBdr>
        <w:top w:val="none" w:sz="0" w:space="0" w:color="auto"/>
        <w:left w:val="none" w:sz="0" w:space="0" w:color="auto"/>
        <w:bottom w:val="none" w:sz="0" w:space="0" w:color="auto"/>
        <w:right w:val="none" w:sz="0" w:space="0" w:color="auto"/>
      </w:divBdr>
    </w:div>
    <w:div w:id="297346686">
      <w:bodyDiv w:val="1"/>
      <w:marLeft w:val="0"/>
      <w:marRight w:val="0"/>
      <w:marTop w:val="0"/>
      <w:marBottom w:val="0"/>
      <w:divBdr>
        <w:top w:val="none" w:sz="0" w:space="0" w:color="auto"/>
        <w:left w:val="none" w:sz="0" w:space="0" w:color="auto"/>
        <w:bottom w:val="none" w:sz="0" w:space="0" w:color="auto"/>
        <w:right w:val="none" w:sz="0" w:space="0" w:color="auto"/>
      </w:divBdr>
    </w:div>
    <w:div w:id="309749119">
      <w:bodyDiv w:val="1"/>
      <w:marLeft w:val="0"/>
      <w:marRight w:val="0"/>
      <w:marTop w:val="0"/>
      <w:marBottom w:val="0"/>
      <w:divBdr>
        <w:top w:val="none" w:sz="0" w:space="0" w:color="auto"/>
        <w:left w:val="none" w:sz="0" w:space="0" w:color="auto"/>
        <w:bottom w:val="none" w:sz="0" w:space="0" w:color="auto"/>
        <w:right w:val="none" w:sz="0" w:space="0" w:color="auto"/>
      </w:divBdr>
    </w:div>
    <w:div w:id="456681817">
      <w:bodyDiv w:val="1"/>
      <w:marLeft w:val="0"/>
      <w:marRight w:val="0"/>
      <w:marTop w:val="0"/>
      <w:marBottom w:val="0"/>
      <w:divBdr>
        <w:top w:val="none" w:sz="0" w:space="0" w:color="auto"/>
        <w:left w:val="none" w:sz="0" w:space="0" w:color="auto"/>
        <w:bottom w:val="none" w:sz="0" w:space="0" w:color="auto"/>
        <w:right w:val="none" w:sz="0" w:space="0" w:color="auto"/>
      </w:divBdr>
    </w:div>
    <w:div w:id="478155600">
      <w:bodyDiv w:val="1"/>
      <w:marLeft w:val="0"/>
      <w:marRight w:val="0"/>
      <w:marTop w:val="0"/>
      <w:marBottom w:val="0"/>
      <w:divBdr>
        <w:top w:val="none" w:sz="0" w:space="0" w:color="auto"/>
        <w:left w:val="none" w:sz="0" w:space="0" w:color="auto"/>
        <w:bottom w:val="none" w:sz="0" w:space="0" w:color="auto"/>
        <w:right w:val="none" w:sz="0" w:space="0" w:color="auto"/>
      </w:divBdr>
    </w:div>
    <w:div w:id="522941792">
      <w:bodyDiv w:val="1"/>
      <w:marLeft w:val="0"/>
      <w:marRight w:val="0"/>
      <w:marTop w:val="0"/>
      <w:marBottom w:val="0"/>
      <w:divBdr>
        <w:top w:val="none" w:sz="0" w:space="0" w:color="auto"/>
        <w:left w:val="none" w:sz="0" w:space="0" w:color="auto"/>
        <w:bottom w:val="none" w:sz="0" w:space="0" w:color="auto"/>
        <w:right w:val="none" w:sz="0" w:space="0" w:color="auto"/>
      </w:divBdr>
    </w:div>
    <w:div w:id="659308299">
      <w:bodyDiv w:val="1"/>
      <w:marLeft w:val="0"/>
      <w:marRight w:val="0"/>
      <w:marTop w:val="0"/>
      <w:marBottom w:val="0"/>
      <w:divBdr>
        <w:top w:val="none" w:sz="0" w:space="0" w:color="auto"/>
        <w:left w:val="none" w:sz="0" w:space="0" w:color="auto"/>
        <w:bottom w:val="none" w:sz="0" w:space="0" w:color="auto"/>
        <w:right w:val="none" w:sz="0" w:space="0" w:color="auto"/>
      </w:divBdr>
    </w:div>
    <w:div w:id="855538828">
      <w:bodyDiv w:val="1"/>
      <w:marLeft w:val="0"/>
      <w:marRight w:val="0"/>
      <w:marTop w:val="0"/>
      <w:marBottom w:val="0"/>
      <w:divBdr>
        <w:top w:val="none" w:sz="0" w:space="0" w:color="auto"/>
        <w:left w:val="none" w:sz="0" w:space="0" w:color="auto"/>
        <w:bottom w:val="none" w:sz="0" w:space="0" w:color="auto"/>
        <w:right w:val="none" w:sz="0" w:space="0" w:color="auto"/>
      </w:divBdr>
    </w:div>
    <w:div w:id="916329847">
      <w:bodyDiv w:val="1"/>
      <w:marLeft w:val="0"/>
      <w:marRight w:val="0"/>
      <w:marTop w:val="0"/>
      <w:marBottom w:val="0"/>
      <w:divBdr>
        <w:top w:val="none" w:sz="0" w:space="0" w:color="auto"/>
        <w:left w:val="none" w:sz="0" w:space="0" w:color="auto"/>
        <w:bottom w:val="none" w:sz="0" w:space="0" w:color="auto"/>
        <w:right w:val="none" w:sz="0" w:space="0" w:color="auto"/>
      </w:divBdr>
    </w:div>
    <w:div w:id="1262566354">
      <w:bodyDiv w:val="1"/>
      <w:marLeft w:val="0"/>
      <w:marRight w:val="0"/>
      <w:marTop w:val="0"/>
      <w:marBottom w:val="0"/>
      <w:divBdr>
        <w:top w:val="none" w:sz="0" w:space="0" w:color="auto"/>
        <w:left w:val="none" w:sz="0" w:space="0" w:color="auto"/>
        <w:bottom w:val="none" w:sz="0" w:space="0" w:color="auto"/>
        <w:right w:val="none" w:sz="0" w:space="0" w:color="auto"/>
      </w:divBdr>
    </w:div>
    <w:div w:id="1577009181">
      <w:bodyDiv w:val="1"/>
      <w:marLeft w:val="0"/>
      <w:marRight w:val="0"/>
      <w:marTop w:val="0"/>
      <w:marBottom w:val="0"/>
      <w:divBdr>
        <w:top w:val="none" w:sz="0" w:space="0" w:color="auto"/>
        <w:left w:val="none" w:sz="0" w:space="0" w:color="auto"/>
        <w:bottom w:val="none" w:sz="0" w:space="0" w:color="auto"/>
        <w:right w:val="none" w:sz="0" w:space="0" w:color="auto"/>
      </w:divBdr>
    </w:div>
    <w:div w:id="1752963976">
      <w:bodyDiv w:val="1"/>
      <w:marLeft w:val="0"/>
      <w:marRight w:val="0"/>
      <w:marTop w:val="0"/>
      <w:marBottom w:val="0"/>
      <w:divBdr>
        <w:top w:val="none" w:sz="0" w:space="0" w:color="auto"/>
        <w:left w:val="none" w:sz="0" w:space="0" w:color="auto"/>
        <w:bottom w:val="none" w:sz="0" w:space="0" w:color="auto"/>
        <w:right w:val="none" w:sz="0" w:space="0" w:color="auto"/>
      </w:divBdr>
    </w:div>
    <w:div w:id="1851944759">
      <w:bodyDiv w:val="1"/>
      <w:marLeft w:val="0"/>
      <w:marRight w:val="0"/>
      <w:marTop w:val="0"/>
      <w:marBottom w:val="0"/>
      <w:divBdr>
        <w:top w:val="none" w:sz="0" w:space="0" w:color="auto"/>
        <w:left w:val="none" w:sz="0" w:space="0" w:color="auto"/>
        <w:bottom w:val="none" w:sz="0" w:space="0" w:color="auto"/>
        <w:right w:val="none" w:sz="0" w:space="0" w:color="auto"/>
      </w:divBdr>
    </w:div>
    <w:div w:id="1888907973">
      <w:bodyDiv w:val="1"/>
      <w:marLeft w:val="0"/>
      <w:marRight w:val="0"/>
      <w:marTop w:val="0"/>
      <w:marBottom w:val="0"/>
      <w:divBdr>
        <w:top w:val="none" w:sz="0" w:space="0" w:color="auto"/>
        <w:left w:val="none" w:sz="0" w:space="0" w:color="auto"/>
        <w:bottom w:val="none" w:sz="0" w:space="0" w:color="auto"/>
        <w:right w:val="none" w:sz="0" w:space="0" w:color="auto"/>
      </w:divBdr>
    </w:div>
    <w:div w:id="1950550042">
      <w:bodyDiv w:val="1"/>
      <w:marLeft w:val="0"/>
      <w:marRight w:val="0"/>
      <w:marTop w:val="0"/>
      <w:marBottom w:val="0"/>
      <w:divBdr>
        <w:top w:val="none" w:sz="0" w:space="0" w:color="auto"/>
        <w:left w:val="none" w:sz="0" w:space="0" w:color="auto"/>
        <w:bottom w:val="none" w:sz="0" w:space="0" w:color="auto"/>
        <w:right w:val="none" w:sz="0" w:space="0" w:color="auto"/>
      </w:divBdr>
    </w:div>
    <w:div w:id="2138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siness.curtin.edu.au/local/docs/067742_Bankwest_Curtin_Economics_Centre_Housing_Affordability_Report_WEB.pdf" TargetMode="External"/><Relationship Id="rId18" Type="http://schemas.openxmlformats.org/officeDocument/2006/relationships/hyperlink" Target="http://www.nordhavnen.dk/~/media/_newnordhavnen/arhusgade_170912_low.pdf%3e" TargetMode="External"/><Relationship Id="rId26" Type="http://schemas.openxmlformats.org/officeDocument/2006/relationships/hyperlink" Target="http://www.planning.nsw.gov.au/Portals/0/DeliveringHomes/Affordable%20housing/Affordable_Housing_Taskforce_Interim_Report.pdf" TargetMode="External"/><Relationship Id="rId39" Type="http://schemas.openxmlformats.org/officeDocument/2006/relationships/hyperlink" Target="http://www.domain.com.au/group/wp-content/uploads/2015/07/Domain_House_Price_Report_June2015.pdf" TargetMode="External"/><Relationship Id="rId3" Type="http://schemas.openxmlformats.org/officeDocument/2006/relationships/styles" Target="styles.xml"/><Relationship Id="rId21" Type="http://schemas.openxmlformats.org/officeDocument/2006/relationships/hyperlink" Target="http://usatoday30.usatoday.com/news/nation/2004-01-05-granny-flats_x.htm" TargetMode="External"/><Relationship Id="rId34" Type="http://schemas.openxmlformats.org/officeDocument/2006/relationships/hyperlink" Target="http://www.cityofsantacruz.com/home/showdocument?id=8875"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qbelmi.com/Uploads/Documents/82c65c49-d7b0-47f1-8c7e-1db1845f7703.pdf" TargetMode="External"/><Relationship Id="rId17" Type="http://schemas.openxmlformats.org/officeDocument/2006/relationships/hyperlink" Target="http://assets.aarp.org/rgcenter/consume/d17158_dwell.pdf" TargetMode="External"/><Relationship Id="rId25" Type="http://schemas.openxmlformats.org/officeDocument/2006/relationships/hyperlink" Target="http://news.domain.com.au/domain/real-estate-news/biggest-jump-in-sydney-rents-in-five-years-domain-group-20150708-gi7q92.html" TargetMode="External"/><Relationship Id="rId33" Type="http://schemas.openxmlformats.org/officeDocument/2006/relationships/hyperlink" Target="http://www.spur.org/sites/default/files/publications_pdfs/SPUR_8_Ways_to_Make_San_Francisco_More_Affordable.pdf" TargetMode="External"/><Relationship Id="rId38" Type="http://schemas.openxmlformats.org/officeDocument/2006/relationships/hyperlink" Target="http://esa.un.org/unpd/wup/Highlights/WUP2014-Highlights.pdf" TargetMode="External"/><Relationship Id="rId2" Type="http://schemas.openxmlformats.org/officeDocument/2006/relationships/numbering" Target="numbering.xml"/><Relationship Id="rId16" Type="http://schemas.openxmlformats.org/officeDocument/2006/relationships/hyperlink" Target="file:///C:/Users/Pernille/Downloads/backyardcottagesguide-final.pdf" TargetMode="External"/><Relationship Id="rId20" Type="http://schemas.openxmlformats.org/officeDocument/2006/relationships/hyperlink" Target="http://www.propertyinvesting.net/cgi-script/csNews/csNews.cgi?database=default.db&amp;command=viewone&amp;id=31814&amp;op=t" TargetMode="External"/><Relationship Id="rId29" Type="http://schemas.openxmlformats.org/officeDocument/2006/relationships/hyperlink" Target="http://www.pewsocialtrends.org/2010/03/18/the-return-of-the-multi-generational-family-household/" TargetMode="External"/><Relationship Id="rId41" Type="http://schemas.openxmlformats.org/officeDocument/2006/relationships/hyperlink" Target="http://bc.ctvnews.ca/a-226-sq-ft-solution-to-living-large-in-vancouver-1.917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artisanpolicy.org/wp-content/uploads/sites/default/files/BPC_Housing%20Report_web_0.pdf" TargetMode="External"/><Relationship Id="rId24" Type="http://schemas.openxmlformats.org/officeDocument/2006/relationships/hyperlink" Target="http://www.housing.nsw.gov.au/NR/rdonlyres/55E8FA9D-A50D-475F-B303-2616CF144573/0/1Report112.pdf" TargetMode="External"/><Relationship Id="rId32" Type="http://schemas.openxmlformats.org/officeDocument/2006/relationships/hyperlink" Target="http://www.spur.org/publications/spur-report/2007-11-20/affordable-design" TargetMode="External"/><Relationship Id="rId37" Type="http://schemas.openxmlformats.org/officeDocument/2006/relationships/hyperlink" Target="http://vancouver.ca/files/cov/enhancing-housing-for-families-amendments-to-development-cost-levy-bylaws.pdf" TargetMode="External"/><Relationship Id="rId40" Type="http://schemas.openxmlformats.org/officeDocument/2006/relationships/hyperlink" Target="http://www.domain.com.au/group/market-reports/" TargetMode="External"/><Relationship Id="rId5" Type="http://schemas.openxmlformats.org/officeDocument/2006/relationships/webSettings" Target="webSettings.xml"/><Relationship Id="rId15" Type="http://schemas.openxmlformats.org/officeDocument/2006/relationships/hyperlink" Target="http://communityinnovation.berkeley.edu/reports/secondary-units.pdf" TargetMode="External"/><Relationship Id="rId23" Type="http://schemas.openxmlformats.org/officeDocument/2006/relationships/hyperlink" Target="http://www.housing.nsw.gov.au/Centre+For+Affordable+Housing/NSW+Local+Governol%2025:%2053ent+Housing+Kit/Local+Government+Housing+Kit+Database/" TargetMode="External"/><Relationship Id="rId28" Type="http://schemas.openxmlformats.org/officeDocument/2006/relationships/hyperlink" Target="http://mrsc.org/getmedia/54c058a5-4d57-4192-a214-15f2fa5ac123/ADU30.pdf.aspx?ext=.pdf" TargetMode="External"/><Relationship Id="rId36" Type="http://schemas.openxmlformats.org/officeDocument/2006/relationships/hyperlink" Target="http://vancouver.ca/files/cov/laneway-housing-howto-guide.pdf" TargetMode="External"/><Relationship Id="rId10" Type="http://schemas.openxmlformats.org/officeDocument/2006/relationships/hyperlink" Target="https://books.google.com.au/books?id=xhuTxK6EuJIC&amp;printsec=frontcover&amp;source=gbs_ge_summary_r&amp;cad=0" TargetMode="External"/><Relationship Id="rId19" Type="http://schemas.openxmlformats.org/officeDocument/2006/relationships/hyperlink" Target="http://www.destatehousing.com/AffordableHousingResourceCenter/tb_shell_adu.pdf" TargetMode="External"/><Relationship Id="rId31" Type="http://schemas.openxmlformats.org/officeDocument/2006/relationships/hyperlink" Target="http://www.sf-planning.org/ftp/files/legislative_changes/new_code_summaries/120996_Cap_on_Efficiency_Dwelling_Unit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urmancenter.org/files/NYUFurmanCenter_RespondingtoChangingHouseholds_2014.pdf" TargetMode="External"/><Relationship Id="rId14" Type="http://schemas.openxmlformats.org/officeDocument/2006/relationships/hyperlink" Target="http://www.facs.nsw.gov.au/__data/assets/pdf_file/0019/317026/City-of-Sydney.pdf" TargetMode="External"/><Relationship Id="rId22" Type="http://schemas.openxmlformats.org/officeDocument/2006/relationships/hyperlink" Target="http://journalpress.com/index.php/colonial-beach/beach-news/649-amendment-will-allowaccessory-dwelling-units" TargetMode="External"/><Relationship Id="rId27" Type="http://schemas.openxmlformats.org/officeDocument/2006/relationships/hyperlink" Target="https://basecampaign.files.wordpress.com/2013/06/startupcity-report-stringers-office.pdf" TargetMode="External"/><Relationship Id="rId30" Type="http://schemas.openxmlformats.org/officeDocument/2006/relationships/hyperlink" Target="http://www.pewsocialtrends.org/files/2010/10/millennials-confident-connected-open-to-change.pdf" TargetMode="External"/><Relationship Id="rId35" Type="http://schemas.openxmlformats.org/officeDocument/2006/relationships/hyperlink" Target="ftp://ftp.cmhc-schl.gc.ca/chic-ccdh/External_Reports/Ca4%20BC%20VANA60%2012B53.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A86D9A-F8EC-4C49-A76C-86F1F9A6FE8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7B30-969A-444F-A52D-E55F72FC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8948</Words>
  <Characters>51008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Christensen</dc:creator>
  <cp:keywords/>
  <dc:description/>
  <cp:lastModifiedBy>Pernille Christensen</cp:lastModifiedBy>
  <cp:revision>8</cp:revision>
  <dcterms:created xsi:type="dcterms:W3CDTF">2015-09-30T06:03:00Z</dcterms:created>
  <dcterms:modified xsi:type="dcterms:W3CDTF">2015-09-30T06:38:00Z</dcterms:modified>
</cp:coreProperties>
</file>