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F73B2" w14:textId="77777777" w:rsidR="00775827" w:rsidRDefault="00775827" w:rsidP="00877C55">
      <w:pPr>
        <w:spacing w:line="276" w:lineRule="auto"/>
      </w:pPr>
      <w:r w:rsidRPr="007623DA">
        <w:rPr>
          <w:b/>
          <w:sz w:val="36"/>
          <w:szCs w:val="36"/>
        </w:rPr>
        <w:t>‘PESO’ media strategy shifts to ‘SOEP’: Op</w:t>
      </w:r>
      <w:r>
        <w:rPr>
          <w:b/>
          <w:sz w:val="36"/>
          <w:szCs w:val="36"/>
        </w:rPr>
        <w:t>portunities and ethical dilemmas</w:t>
      </w:r>
    </w:p>
    <w:p w14:paraId="4F366614" w14:textId="77777777" w:rsidR="00775827" w:rsidRDefault="00775827" w:rsidP="00775827">
      <w:pPr>
        <w:spacing w:line="276" w:lineRule="auto"/>
        <w:jc w:val="center"/>
      </w:pPr>
    </w:p>
    <w:p w14:paraId="74F6F530" w14:textId="77777777" w:rsidR="00775827" w:rsidRDefault="00775827" w:rsidP="00775827">
      <w:pPr>
        <w:jc w:val="center"/>
      </w:pPr>
      <w:r>
        <w:t>Jim Macnamara</w:t>
      </w:r>
    </w:p>
    <w:p w14:paraId="4129302B" w14:textId="77777777" w:rsidR="00775827" w:rsidRPr="005C722D" w:rsidRDefault="00775827" w:rsidP="00775827">
      <w:pPr>
        <w:jc w:val="center"/>
        <w:rPr>
          <w:i/>
        </w:rPr>
      </w:pPr>
      <w:r w:rsidRPr="005C722D">
        <w:rPr>
          <w:i/>
        </w:rPr>
        <w:t>University of Technology Sydney</w:t>
      </w:r>
    </w:p>
    <w:p w14:paraId="6429B3AA" w14:textId="77777777" w:rsidR="00775827" w:rsidRDefault="00775827" w:rsidP="00775827">
      <w:pPr>
        <w:jc w:val="center"/>
      </w:pPr>
    </w:p>
    <w:p w14:paraId="2EDE7CFE" w14:textId="77777777" w:rsidR="00775827" w:rsidRDefault="00775827" w:rsidP="00775827">
      <w:pPr>
        <w:jc w:val="center"/>
      </w:pPr>
      <w:r>
        <w:t>May Lwin</w:t>
      </w:r>
    </w:p>
    <w:p w14:paraId="286DD5E5" w14:textId="77777777" w:rsidR="00775827" w:rsidRPr="00385BD1" w:rsidRDefault="00775827" w:rsidP="00775827">
      <w:pPr>
        <w:jc w:val="center"/>
        <w:rPr>
          <w:i/>
        </w:rPr>
      </w:pPr>
      <w:r>
        <w:rPr>
          <w:i/>
        </w:rPr>
        <w:t>Nanyang Technological University, Singapore</w:t>
      </w:r>
    </w:p>
    <w:p w14:paraId="18B37FD2" w14:textId="77777777" w:rsidR="00775827" w:rsidRDefault="00775827" w:rsidP="00775827">
      <w:pPr>
        <w:jc w:val="center"/>
      </w:pPr>
    </w:p>
    <w:p w14:paraId="393B55A9" w14:textId="77777777" w:rsidR="00775827" w:rsidRDefault="00775827" w:rsidP="00775827">
      <w:pPr>
        <w:jc w:val="center"/>
      </w:pPr>
      <w:r>
        <w:t>Ana Adi</w:t>
      </w:r>
    </w:p>
    <w:p w14:paraId="3451FAFA" w14:textId="77777777" w:rsidR="00775827" w:rsidRPr="00385BD1" w:rsidRDefault="00775827" w:rsidP="00775827">
      <w:pPr>
        <w:jc w:val="center"/>
        <w:rPr>
          <w:i/>
        </w:rPr>
      </w:pPr>
      <w:proofErr w:type="spellStart"/>
      <w:r w:rsidRPr="00385BD1">
        <w:rPr>
          <w:i/>
        </w:rPr>
        <w:t>Quadriga</w:t>
      </w:r>
      <w:proofErr w:type="spellEnd"/>
      <w:r w:rsidRPr="00385BD1">
        <w:rPr>
          <w:i/>
        </w:rPr>
        <w:t xml:space="preserve"> University</w:t>
      </w:r>
      <w:r>
        <w:rPr>
          <w:i/>
        </w:rPr>
        <w:t>, Berlin</w:t>
      </w:r>
    </w:p>
    <w:p w14:paraId="481626B5" w14:textId="77777777" w:rsidR="00775827" w:rsidRDefault="00775827" w:rsidP="00775827">
      <w:pPr>
        <w:jc w:val="center"/>
      </w:pPr>
    </w:p>
    <w:p w14:paraId="14D7B816" w14:textId="77777777" w:rsidR="00775827" w:rsidRDefault="00775827" w:rsidP="00775827">
      <w:pPr>
        <w:jc w:val="center"/>
      </w:pPr>
      <w:proofErr w:type="spellStart"/>
      <w:r>
        <w:t>Ansgar</w:t>
      </w:r>
      <w:proofErr w:type="spellEnd"/>
      <w:r>
        <w:t xml:space="preserve"> </w:t>
      </w:r>
      <w:proofErr w:type="spellStart"/>
      <w:r>
        <w:t>Zerfass</w:t>
      </w:r>
      <w:proofErr w:type="spellEnd"/>
    </w:p>
    <w:p w14:paraId="32BDDEAA" w14:textId="77777777" w:rsidR="00775827" w:rsidRPr="00385BD1" w:rsidRDefault="00775827" w:rsidP="00775827">
      <w:pPr>
        <w:jc w:val="center"/>
        <w:rPr>
          <w:i/>
        </w:rPr>
      </w:pPr>
      <w:r w:rsidRPr="00385BD1">
        <w:rPr>
          <w:i/>
        </w:rPr>
        <w:t>University</w:t>
      </w:r>
      <w:r>
        <w:rPr>
          <w:i/>
        </w:rPr>
        <w:t xml:space="preserve"> of Leipzig</w:t>
      </w:r>
    </w:p>
    <w:p w14:paraId="3913DBDA" w14:textId="77777777" w:rsidR="00775827" w:rsidRDefault="00775827" w:rsidP="00775827">
      <w:pPr>
        <w:spacing w:line="276" w:lineRule="auto"/>
        <w:ind w:right="804"/>
        <w:rPr>
          <w:b/>
          <w:sz w:val="28"/>
          <w:szCs w:val="28"/>
        </w:rPr>
      </w:pPr>
    </w:p>
    <w:p w14:paraId="1E6838B0" w14:textId="08FC0B4C" w:rsidR="00385BD1" w:rsidRPr="00E013AA" w:rsidRDefault="00385BD1" w:rsidP="00775827">
      <w:pPr>
        <w:ind w:right="804"/>
        <w:rPr>
          <w:b/>
          <w:sz w:val="28"/>
          <w:szCs w:val="28"/>
        </w:rPr>
      </w:pPr>
      <w:r w:rsidRPr="00E013AA">
        <w:rPr>
          <w:b/>
          <w:sz w:val="28"/>
          <w:szCs w:val="28"/>
        </w:rPr>
        <w:t>Abstract</w:t>
      </w:r>
    </w:p>
    <w:p w14:paraId="1F537F1F" w14:textId="77777777" w:rsidR="00385BD1" w:rsidRDefault="00385BD1" w:rsidP="00775827">
      <w:pPr>
        <w:ind w:right="804"/>
      </w:pPr>
    </w:p>
    <w:p w14:paraId="6140912A" w14:textId="2C0287E9" w:rsidR="00385BD1" w:rsidRPr="008B49E6" w:rsidRDefault="00531A30" w:rsidP="00775827">
      <w:pPr>
        <w:ind w:right="-46"/>
        <w:rPr>
          <w:sz w:val="22"/>
          <w:szCs w:val="22"/>
        </w:rPr>
      </w:pPr>
      <w:r>
        <w:t xml:space="preserve">It is well established that the internet, and particularly the unprecedented growth of social media, are changing the </w:t>
      </w:r>
      <w:proofErr w:type="spellStart"/>
      <w:r>
        <w:t>mediascape</w:t>
      </w:r>
      <w:proofErr w:type="spellEnd"/>
      <w:r>
        <w:t xml:space="preserve"> and med</w:t>
      </w:r>
      <w:r w:rsidR="00603370">
        <w:t>ia practices in advertising</w:t>
      </w:r>
      <w:r w:rsidR="00794846">
        <w:t xml:space="preserve"> and marketing</w:t>
      </w:r>
      <w:r w:rsidR="00603370">
        <w:t xml:space="preserve">, </w:t>
      </w:r>
      <w:r>
        <w:t xml:space="preserve">public relations, </w:t>
      </w:r>
      <w:r w:rsidR="00603370">
        <w:t>and</w:t>
      </w:r>
      <w:r>
        <w:t xml:space="preserve"> journalism.</w:t>
      </w:r>
      <w:r w:rsidR="00534042">
        <w:t xml:space="preserve"> </w:t>
      </w:r>
      <w:r w:rsidR="00603370">
        <w:t xml:space="preserve">Some of these changes are leading to </w:t>
      </w:r>
      <w:r w:rsidR="00534042">
        <w:t>c</w:t>
      </w:r>
      <w:r>
        <w:t xml:space="preserve">onvergence </w:t>
      </w:r>
      <w:r w:rsidR="00603370">
        <w:t>of</w:t>
      </w:r>
      <w:r>
        <w:t xml:space="preserve"> genre and practices as well as </w:t>
      </w:r>
      <w:r w:rsidR="00534042">
        <w:t xml:space="preserve">the </w:t>
      </w:r>
      <w:r w:rsidR="003D227D">
        <w:t xml:space="preserve">much-discussed convergence of </w:t>
      </w:r>
      <w:r w:rsidR="00534042">
        <w:t>technologies of media</w:t>
      </w:r>
      <w:r>
        <w:t>. This analysis</w:t>
      </w:r>
      <w:r w:rsidR="00534042">
        <w:t xml:space="preserve"> focuses on the first two</w:t>
      </w:r>
      <w:r>
        <w:t xml:space="preserve"> </w:t>
      </w:r>
      <w:r w:rsidR="00534042">
        <w:t xml:space="preserve">of these types of convergence, drawing on </w:t>
      </w:r>
      <w:r w:rsidR="00C7509D">
        <w:t xml:space="preserve">data from </w:t>
      </w:r>
      <w:r w:rsidR="00534042">
        <w:t xml:space="preserve">the first </w:t>
      </w:r>
      <w:r w:rsidR="00372958">
        <w:rPr>
          <w:i/>
        </w:rPr>
        <w:t>Asia-Pacific</w:t>
      </w:r>
      <w:r w:rsidR="00534042">
        <w:rPr>
          <w:i/>
        </w:rPr>
        <w:t xml:space="preserve"> Communication Monitor</w:t>
      </w:r>
      <w:r w:rsidR="00534042" w:rsidRPr="00534042">
        <w:t>, a sur</w:t>
      </w:r>
      <w:r w:rsidR="00534042">
        <w:t xml:space="preserve">vey of 1,200 PR and communication practitioners in 23 </w:t>
      </w:r>
      <w:r w:rsidR="00372958">
        <w:t>Asia-Pacific</w:t>
      </w:r>
      <w:r w:rsidR="00534042">
        <w:t xml:space="preserve"> countries. </w:t>
      </w:r>
      <w:r w:rsidR="00ED4B75">
        <w:t xml:space="preserve"> The</w:t>
      </w:r>
      <w:r w:rsidR="008E4853">
        <w:t xml:space="preserve"> findings </w:t>
      </w:r>
      <w:r w:rsidR="00534042">
        <w:t>reveal major shift</w:t>
      </w:r>
      <w:r w:rsidR="008E4853">
        <w:t>s</w:t>
      </w:r>
      <w:r w:rsidR="00534042">
        <w:t xml:space="preserve"> </w:t>
      </w:r>
      <w:r w:rsidR="0089265D">
        <w:t xml:space="preserve">from </w:t>
      </w:r>
      <w:r w:rsidR="00534042">
        <w:t xml:space="preserve">the traditional </w:t>
      </w:r>
      <w:r w:rsidR="00C96901">
        <w:t>paid, earned, shared, owned (</w:t>
      </w:r>
      <w:r w:rsidR="00534042">
        <w:t>PESO</w:t>
      </w:r>
      <w:r w:rsidR="00C96901">
        <w:t>)</w:t>
      </w:r>
      <w:r w:rsidR="00534042">
        <w:t xml:space="preserve"> model of media use </w:t>
      </w:r>
      <w:r w:rsidR="004D605B">
        <w:t xml:space="preserve">by organizations </w:t>
      </w:r>
      <w:r w:rsidR="00534042">
        <w:t xml:space="preserve"> </w:t>
      </w:r>
      <w:r w:rsidR="004A72C9">
        <w:t xml:space="preserve">to an emerging </w:t>
      </w:r>
      <w:r w:rsidR="00A75C54">
        <w:t>‘</w:t>
      </w:r>
      <w:r w:rsidR="0089265D">
        <w:t xml:space="preserve">SOEP </w:t>
      </w:r>
      <w:r w:rsidR="007B2432">
        <w:t>model</w:t>
      </w:r>
      <w:r w:rsidR="00A75C54">
        <w:t>’</w:t>
      </w:r>
      <w:r w:rsidR="007B2432">
        <w:t xml:space="preserve"> </w:t>
      </w:r>
      <w:r w:rsidR="0089265D">
        <w:t xml:space="preserve">(shared, owned, earned, paid). This </w:t>
      </w:r>
      <w:r w:rsidR="007B2432">
        <w:t>affords</w:t>
      </w:r>
      <w:r w:rsidR="00534042">
        <w:t xml:space="preserve"> new opportunities for practitioners, but also poses </w:t>
      </w:r>
      <w:r w:rsidR="00603370">
        <w:t xml:space="preserve">practical and </w:t>
      </w:r>
      <w:r w:rsidR="00534042">
        <w:t>ethical dilemmas.</w:t>
      </w:r>
    </w:p>
    <w:p w14:paraId="050DEE59" w14:textId="77777777" w:rsidR="00385BD1" w:rsidRPr="00672323" w:rsidRDefault="00385BD1" w:rsidP="00775827">
      <w:pPr>
        <w:ind w:right="804"/>
        <w:rPr>
          <w:u w:val="single"/>
        </w:rPr>
      </w:pPr>
    </w:p>
    <w:p w14:paraId="027D8A01" w14:textId="77777777" w:rsidR="00385BD1" w:rsidRPr="008B49E6" w:rsidRDefault="00385BD1" w:rsidP="00775827">
      <w:pPr>
        <w:ind w:right="804"/>
        <w:jc w:val="both"/>
      </w:pPr>
      <w:r w:rsidRPr="008B49E6">
        <w:rPr>
          <w:b/>
        </w:rPr>
        <w:t>Keywords:</w:t>
      </w:r>
      <w:r w:rsidRPr="008B49E6">
        <w:t xml:space="preserve"> </w:t>
      </w:r>
      <w:r w:rsidR="00C7509D">
        <w:t>PESO, p</w:t>
      </w:r>
      <w:r w:rsidR="00D06FF8">
        <w:t>aid,</w:t>
      </w:r>
      <w:r w:rsidR="00C7509D">
        <w:t xml:space="preserve"> earned, shared, owned, </w:t>
      </w:r>
      <w:r>
        <w:t>social media, native advertising</w:t>
      </w:r>
    </w:p>
    <w:p w14:paraId="2523E849" w14:textId="77777777" w:rsidR="00385BD1" w:rsidRPr="008B49E6" w:rsidRDefault="00385BD1" w:rsidP="00775827">
      <w:pPr>
        <w:spacing w:line="480" w:lineRule="auto"/>
        <w:rPr>
          <w:b/>
        </w:rPr>
      </w:pPr>
    </w:p>
    <w:p w14:paraId="3AA22539" w14:textId="7B5806BB" w:rsidR="00385BD1" w:rsidRPr="00E61862" w:rsidRDefault="00D83113" w:rsidP="00775827">
      <w:pPr>
        <w:ind w:left="426" w:hanging="426"/>
        <w:rPr>
          <w:b/>
          <w:sz w:val="28"/>
          <w:szCs w:val="28"/>
        </w:rPr>
      </w:pPr>
      <w:r>
        <w:rPr>
          <w:b/>
          <w:sz w:val="28"/>
          <w:szCs w:val="28"/>
        </w:rPr>
        <w:t xml:space="preserve">1. </w:t>
      </w:r>
      <w:r>
        <w:rPr>
          <w:b/>
          <w:sz w:val="28"/>
          <w:szCs w:val="28"/>
        </w:rPr>
        <w:tab/>
      </w:r>
      <w:r w:rsidR="00385BD1">
        <w:rPr>
          <w:b/>
          <w:sz w:val="28"/>
          <w:szCs w:val="28"/>
        </w:rPr>
        <w:t xml:space="preserve">The </w:t>
      </w:r>
      <w:r>
        <w:rPr>
          <w:b/>
          <w:sz w:val="28"/>
          <w:szCs w:val="28"/>
        </w:rPr>
        <w:t>‘</w:t>
      </w:r>
      <w:r w:rsidR="00385BD1">
        <w:rPr>
          <w:b/>
          <w:sz w:val="28"/>
          <w:szCs w:val="28"/>
        </w:rPr>
        <w:t>PESO</w:t>
      </w:r>
      <w:r>
        <w:rPr>
          <w:b/>
          <w:sz w:val="28"/>
          <w:szCs w:val="28"/>
        </w:rPr>
        <w:t>’</w:t>
      </w:r>
      <w:r w:rsidR="00385BD1">
        <w:rPr>
          <w:b/>
          <w:sz w:val="28"/>
          <w:szCs w:val="28"/>
        </w:rPr>
        <w:t xml:space="preserve"> model</w:t>
      </w:r>
      <w:r w:rsidR="00ED6A1A">
        <w:rPr>
          <w:b/>
          <w:sz w:val="28"/>
          <w:szCs w:val="28"/>
        </w:rPr>
        <w:t xml:space="preserve"> of media strategy</w:t>
      </w:r>
    </w:p>
    <w:p w14:paraId="797AD23F" w14:textId="77777777" w:rsidR="00385BD1" w:rsidRPr="00E61862" w:rsidRDefault="00385BD1" w:rsidP="00775827"/>
    <w:p w14:paraId="77E0B338" w14:textId="09FB95CF" w:rsidR="00B84687" w:rsidRDefault="00D06FF8" w:rsidP="00775827">
      <w:pPr>
        <w:ind w:firstLine="426"/>
      </w:pPr>
      <w:r>
        <w:t xml:space="preserve">In </w:t>
      </w:r>
      <w:r w:rsidR="001D0074">
        <w:t xml:space="preserve">contemporary </w:t>
      </w:r>
      <w:r>
        <w:t xml:space="preserve">public relations literature, </w:t>
      </w:r>
      <w:r w:rsidR="001D0074">
        <w:t xml:space="preserve">media </w:t>
      </w:r>
      <w:r w:rsidR="00B95064">
        <w:t>content has</w:t>
      </w:r>
      <w:r w:rsidR="008E4853">
        <w:t xml:space="preserve"> been </w:t>
      </w:r>
      <w:r>
        <w:t>categorized into what some call f</w:t>
      </w:r>
      <w:r w:rsidR="00B84687">
        <w:t xml:space="preserve">our ‘quadrants’ – paid, earned, shared, and owned, referred to as the PESO model </w:t>
      </w:r>
      <w:r w:rsidR="00E8700D">
        <w:t xml:space="preserve">in academic research </w:t>
      </w:r>
      <w:r w:rsidR="00B84687">
        <w:t>(Luttrell, 2014)</w:t>
      </w:r>
      <w:r w:rsidR="00E8700D">
        <w:t xml:space="preserve"> and industry</w:t>
      </w:r>
      <w:r w:rsidR="00B95064">
        <w:t xml:space="preserve"> </w:t>
      </w:r>
      <w:r w:rsidR="008E4853">
        <w:t>publications</w:t>
      </w:r>
      <w:r w:rsidR="00E8700D">
        <w:t xml:space="preserve"> (</w:t>
      </w:r>
      <w:r w:rsidR="001D0074">
        <w:t xml:space="preserve">e.g., </w:t>
      </w:r>
      <w:r w:rsidR="0038195C">
        <w:t xml:space="preserve">Bayles, 2015; </w:t>
      </w:r>
      <w:r w:rsidR="004261C7">
        <w:t>Dietrich, 2015).</w:t>
      </w:r>
      <w:r w:rsidR="001D0074">
        <w:t xml:space="preserve"> The PESO model </w:t>
      </w:r>
      <w:r w:rsidR="00C7509D">
        <w:t>evolved</w:t>
      </w:r>
      <w:r w:rsidR="001D0074">
        <w:t xml:space="preserve"> from </w:t>
      </w:r>
      <w:r w:rsidR="00B84687">
        <w:t xml:space="preserve">the </w:t>
      </w:r>
      <w:r w:rsidR="00E8700D">
        <w:t xml:space="preserve">earlier </w:t>
      </w:r>
      <w:r w:rsidR="00B95064">
        <w:t>categorization</w:t>
      </w:r>
      <w:r w:rsidR="00E8700D">
        <w:t xml:space="preserve"> of</w:t>
      </w:r>
      <w:r w:rsidR="00B95064">
        <w:t xml:space="preserve"> media content as</w:t>
      </w:r>
      <w:r w:rsidR="00E8700D">
        <w:t xml:space="preserve"> </w:t>
      </w:r>
      <w:r w:rsidR="001D0074">
        <w:t>‘</w:t>
      </w:r>
      <w:r w:rsidR="00B84687">
        <w:t>paid, owned, earned</w:t>
      </w:r>
      <w:r w:rsidR="001D0074">
        <w:t>’</w:t>
      </w:r>
      <w:r w:rsidR="00B84687">
        <w:t xml:space="preserve"> </w:t>
      </w:r>
      <w:r w:rsidR="00E8700D">
        <w:t>that Burcher refers to as the “media trinity” (2012, p. 4).</w:t>
      </w:r>
    </w:p>
    <w:p w14:paraId="2DB4BE3B" w14:textId="2C761548" w:rsidR="007D4D8B" w:rsidRDefault="00A247E4" w:rsidP="00775827">
      <w:pPr>
        <w:ind w:firstLine="426"/>
      </w:pPr>
      <w:r w:rsidRPr="005A0A44">
        <w:rPr>
          <w:i/>
        </w:rPr>
        <w:t>Paid media</w:t>
      </w:r>
      <w:r>
        <w:t xml:space="preserve"> refers to traditional advertising</w:t>
      </w:r>
      <w:r w:rsidR="00ED6A1A">
        <w:t xml:space="preserve"> and other </w:t>
      </w:r>
      <w:r w:rsidR="00417D65">
        <w:t xml:space="preserve">forms </w:t>
      </w:r>
      <w:r w:rsidR="00ED6A1A">
        <w:t xml:space="preserve">of </w:t>
      </w:r>
      <w:r w:rsidR="00417D65">
        <w:t xml:space="preserve">content commercially </w:t>
      </w:r>
      <w:r w:rsidR="00ED6A1A">
        <w:t>contracted between organizations and mass media. This has been the dominant form of promotional media content for the past century, accounting for more than US$600 billion in expenditure globally in 2015 (</w:t>
      </w:r>
      <w:proofErr w:type="spellStart"/>
      <w:r w:rsidR="00ED6A1A">
        <w:t>Statista</w:t>
      </w:r>
      <w:proofErr w:type="spellEnd"/>
      <w:r w:rsidR="00ED6A1A">
        <w:t>, 2016a).</w:t>
      </w:r>
      <w:r>
        <w:t xml:space="preserve"> </w:t>
      </w:r>
      <w:r w:rsidR="00ED6A1A" w:rsidRPr="005A0A44">
        <w:rPr>
          <w:i/>
        </w:rPr>
        <w:t>O</w:t>
      </w:r>
      <w:r w:rsidRPr="005A0A44">
        <w:rPr>
          <w:i/>
        </w:rPr>
        <w:t xml:space="preserve">wned </w:t>
      </w:r>
      <w:r w:rsidR="00964E5C" w:rsidRPr="005A0A44">
        <w:rPr>
          <w:i/>
        </w:rPr>
        <w:t>media</w:t>
      </w:r>
      <w:r w:rsidR="00964E5C">
        <w:t xml:space="preserve"> are</w:t>
      </w:r>
      <w:r>
        <w:t xml:space="preserve"> </w:t>
      </w:r>
      <w:r w:rsidR="00964E5C">
        <w:t xml:space="preserve">publications and digital sites </w:t>
      </w:r>
      <w:r w:rsidR="00417D65">
        <w:t xml:space="preserve">established </w:t>
      </w:r>
      <w:r w:rsidR="00964E5C">
        <w:t>and controlled by organizations</w:t>
      </w:r>
      <w:r w:rsidR="00417D65">
        <w:t>,</w:t>
      </w:r>
      <w:r w:rsidR="00964E5C">
        <w:t xml:space="preserve"> such as corporate magazines, newsletters, reports and, more recently, </w:t>
      </w:r>
      <w:r w:rsidR="00145285">
        <w:t xml:space="preserve">organization </w:t>
      </w:r>
      <w:r w:rsidR="00964E5C">
        <w:t>Web sites, blogs, and official Facebook pages</w:t>
      </w:r>
      <w:r w:rsidR="00ED6A1A">
        <w:t>.</w:t>
      </w:r>
      <w:r w:rsidR="00964E5C">
        <w:t xml:space="preserve"> </w:t>
      </w:r>
      <w:r w:rsidR="00ED6A1A" w:rsidRPr="005A0A44">
        <w:rPr>
          <w:i/>
        </w:rPr>
        <w:t>E</w:t>
      </w:r>
      <w:r w:rsidR="00964E5C" w:rsidRPr="005A0A44">
        <w:rPr>
          <w:i/>
        </w:rPr>
        <w:t xml:space="preserve">arned </w:t>
      </w:r>
      <w:r w:rsidR="00ED6A1A" w:rsidRPr="005A0A44">
        <w:rPr>
          <w:i/>
        </w:rPr>
        <w:t>media</w:t>
      </w:r>
      <w:r w:rsidR="00ED6A1A">
        <w:t xml:space="preserve"> </w:t>
      </w:r>
      <w:r w:rsidR="004D605B">
        <w:t>refers to editorial publicity</w:t>
      </w:r>
      <w:r w:rsidR="00ED6A1A">
        <w:t xml:space="preserve"> </w:t>
      </w:r>
      <w:r w:rsidR="00417D65">
        <w:t xml:space="preserve">that is generated </w:t>
      </w:r>
      <w:r w:rsidR="00ED6A1A">
        <w:t xml:space="preserve">by organizations through media </w:t>
      </w:r>
      <w:r w:rsidR="00417D65">
        <w:t xml:space="preserve">releases, interviews, and other media </w:t>
      </w:r>
      <w:r w:rsidR="00C548A1">
        <w:t>r</w:t>
      </w:r>
      <w:r w:rsidR="00ED6A1A">
        <w:t>elations</w:t>
      </w:r>
      <w:r w:rsidR="00417D65">
        <w:t xml:space="preserve"> activities</w:t>
      </w:r>
      <w:r w:rsidR="00780E18">
        <w:t xml:space="preserve"> (Stephen &amp; </w:t>
      </w:r>
      <w:proofErr w:type="spellStart"/>
      <w:r w:rsidR="00780E18">
        <w:t>Galak</w:t>
      </w:r>
      <w:proofErr w:type="spellEnd"/>
      <w:r w:rsidR="00780E18">
        <w:t>, 2012).</w:t>
      </w:r>
    </w:p>
    <w:p w14:paraId="09F2A96B" w14:textId="59984B5C" w:rsidR="00A247E4" w:rsidRDefault="004D605B" w:rsidP="00775827">
      <w:pPr>
        <w:ind w:firstLine="426"/>
      </w:pPr>
      <w:r>
        <w:lastRenderedPageBreak/>
        <w:t xml:space="preserve">Of </w:t>
      </w:r>
      <w:r w:rsidR="00964E5C">
        <w:t>the</w:t>
      </w:r>
      <w:r>
        <w:t>se</w:t>
      </w:r>
      <w:r w:rsidR="00964E5C">
        <w:t xml:space="preserve"> </w:t>
      </w:r>
      <w:r>
        <w:t>formats</w:t>
      </w:r>
      <w:r w:rsidR="00964E5C">
        <w:t xml:space="preserve">, earned media has been a dominant focus of </w:t>
      </w:r>
      <w:r w:rsidR="007D4D8B">
        <w:t xml:space="preserve">public relations and </w:t>
      </w:r>
      <w:r w:rsidR="00417D65">
        <w:t xml:space="preserve">corporate </w:t>
      </w:r>
      <w:r w:rsidR="007D4D8B">
        <w:t xml:space="preserve">communication </w:t>
      </w:r>
      <w:r w:rsidR="00964E5C">
        <w:t>(</w:t>
      </w:r>
      <w:r w:rsidR="000B48F3">
        <w:t>Macnamara, 2012, p. 183</w:t>
      </w:r>
      <w:r w:rsidR="00C72350">
        <w:t xml:space="preserve">; </w:t>
      </w:r>
      <w:r w:rsidR="00087986">
        <w:t>Watson, 2012, p. 390</w:t>
      </w:r>
      <w:r w:rsidR="00964E5C">
        <w:t xml:space="preserve">). </w:t>
      </w:r>
      <w:r w:rsidR="000B48F3">
        <w:t xml:space="preserve">However, the era of social media has introduced </w:t>
      </w:r>
      <w:r w:rsidR="00087986">
        <w:t>a</w:t>
      </w:r>
      <w:r w:rsidR="000B48F3">
        <w:t xml:space="preserve"> fourth ‘quadrant’ </w:t>
      </w:r>
      <w:r w:rsidR="00087986">
        <w:t xml:space="preserve">to the </w:t>
      </w:r>
      <w:r w:rsidR="000B48F3">
        <w:t>traditional paid, owned, earned model – shared media – and also radically changed the scope and scale of owned media.</w:t>
      </w:r>
    </w:p>
    <w:p w14:paraId="447F135C" w14:textId="64C44F11" w:rsidR="00C6302D" w:rsidRDefault="00087986" w:rsidP="00775827">
      <w:pPr>
        <w:ind w:firstLine="426"/>
      </w:pPr>
      <w:r w:rsidRPr="005A0A44">
        <w:rPr>
          <w:i/>
        </w:rPr>
        <w:t>Shared media</w:t>
      </w:r>
      <w:r>
        <w:t xml:space="preserve"> are those that are open for followers, friends, and subscribers to contribute and comment. These include </w:t>
      </w:r>
      <w:r w:rsidR="007B00AD">
        <w:t xml:space="preserve">internationally popular </w:t>
      </w:r>
      <w:r>
        <w:t xml:space="preserve">social media such as Facebook, Twitter, </w:t>
      </w:r>
      <w:r w:rsidR="007B00AD">
        <w:t xml:space="preserve">YouTube, Tumblr, Instagram, and Pinterest, national networks such </w:t>
      </w:r>
      <w:proofErr w:type="spellStart"/>
      <w:r>
        <w:t>Sina</w:t>
      </w:r>
      <w:proofErr w:type="spellEnd"/>
      <w:r>
        <w:t xml:space="preserve"> Weibo</w:t>
      </w:r>
      <w:r w:rsidR="007B00AD">
        <w:t xml:space="preserve"> in China</w:t>
      </w:r>
      <w:r>
        <w:t xml:space="preserve">, as well as blogs that allow comments to be posted. While some such digital media apply moderation (a form of editorship), a convention of social media is </w:t>
      </w:r>
      <w:r w:rsidR="007B00AD">
        <w:t xml:space="preserve">light (minimal) </w:t>
      </w:r>
      <w:r>
        <w:t xml:space="preserve">moderation, usually limited to deleting offensive content such as </w:t>
      </w:r>
      <w:r w:rsidR="00145285">
        <w:t xml:space="preserve">sexist and </w:t>
      </w:r>
      <w:r>
        <w:t>racist comments</w:t>
      </w:r>
      <w:r w:rsidR="00662EAF">
        <w:t>, abusive language</w:t>
      </w:r>
      <w:r w:rsidR="00C6302D">
        <w:t>,</w:t>
      </w:r>
      <w:r>
        <w:t xml:space="preserve"> and vilification</w:t>
      </w:r>
      <w:r w:rsidR="003F53F0">
        <w:t xml:space="preserve"> (Macnamara, </w:t>
      </w:r>
      <w:proofErr w:type="spellStart"/>
      <w:r w:rsidR="003F53F0">
        <w:t>Sakinofsky</w:t>
      </w:r>
      <w:proofErr w:type="spellEnd"/>
      <w:r w:rsidR="003F53F0">
        <w:t>, &amp; Beattie, 2012, p. 9)</w:t>
      </w:r>
      <w:r>
        <w:t xml:space="preserve">. </w:t>
      </w:r>
      <w:r w:rsidR="00C6302D">
        <w:t>This convention, combined with free open access to social media, results in sharing</w:t>
      </w:r>
      <w:r w:rsidR="00B95956">
        <w:t xml:space="preserve"> of content</w:t>
      </w:r>
      <w:r w:rsidR="00C6302D">
        <w:t xml:space="preserve"> rangin</w:t>
      </w:r>
      <w:r w:rsidR="00C6302D" w:rsidRPr="00B95064">
        <w:t xml:space="preserve">g from comments on posts </w:t>
      </w:r>
      <w:r w:rsidR="00B95956" w:rsidRPr="00B95064">
        <w:t xml:space="preserve">and ‘retweets’ </w:t>
      </w:r>
      <w:r w:rsidR="00C6302D" w:rsidRPr="00B95064">
        <w:t xml:space="preserve">to collaboration </w:t>
      </w:r>
      <w:r w:rsidR="00ED4B75" w:rsidRPr="00B95064">
        <w:t>(</w:t>
      </w:r>
      <w:proofErr w:type="spellStart"/>
      <w:r w:rsidR="00ED4B75" w:rsidRPr="00B95064">
        <w:t>Löwgren</w:t>
      </w:r>
      <w:proofErr w:type="spellEnd"/>
      <w:r w:rsidR="00ED4B75" w:rsidRPr="00B95064">
        <w:t xml:space="preserve"> &amp; Reimer, 2013) </w:t>
      </w:r>
      <w:r w:rsidR="00C6302D" w:rsidRPr="00B95064">
        <w:t>and co</w:t>
      </w:r>
      <w:r w:rsidR="00A75C54" w:rsidRPr="00B95064">
        <w:t>-</w:t>
      </w:r>
      <w:r w:rsidR="00C6302D" w:rsidRPr="00B95064">
        <w:t xml:space="preserve">production </w:t>
      </w:r>
      <w:r w:rsidR="00E37069">
        <w:t xml:space="preserve">of content </w:t>
      </w:r>
      <w:r w:rsidR="00ED4B75" w:rsidRPr="00B95064">
        <w:t>(</w:t>
      </w:r>
      <w:r w:rsidR="00AD7BCA">
        <w:t>Motion, Heath, &amp; Leitch, 2016</w:t>
      </w:r>
      <w:r w:rsidR="00E37069">
        <w:t>)</w:t>
      </w:r>
      <w:r w:rsidR="00C6302D" w:rsidRPr="00B95064">
        <w:t>.</w:t>
      </w:r>
    </w:p>
    <w:p w14:paraId="2D41A3D5" w14:textId="1C64C1E4" w:rsidR="00EF3E05" w:rsidRPr="00C84EC7" w:rsidRDefault="00C6302D" w:rsidP="00775827">
      <w:pPr>
        <w:ind w:firstLine="426"/>
      </w:pPr>
      <w:r>
        <w:t xml:space="preserve">The </w:t>
      </w:r>
      <w:r w:rsidR="007B00AD">
        <w:t xml:space="preserve">unprecedented popularity of leading social media suggests that significant change is afoot in the </w:t>
      </w:r>
      <w:proofErr w:type="spellStart"/>
      <w:r w:rsidR="007B00AD">
        <w:t>mediascape</w:t>
      </w:r>
      <w:proofErr w:type="spellEnd"/>
      <w:r w:rsidR="007B00AD">
        <w:t xml:space="preserve"> of the early twenty-first century. For instance, Facebook reported </w:t>
      </w:r>
      <w:r w:rsidR="00C84EC7">
        <w:rPr>
          <w:lang w:val="en"/>
        </w:rPr>
        <w:t xml:space="preserve">that it had </w:t>
      </w:r>
      <w:r w:rsidR="007B00AD">
        <w:rPr>
          <w:lang w:val="en"/>
        </w:rPr>
        <w:t xml:space="preserve">1.55 billion active </w:t>
      </w:r>
      <w:r w:rsidR="003F53F0">
        <w:rPr>
          <w:lang w:val="en"/>
        </w:rPr>
        <w:t xml:space="preserve">monthly users </w:t>
      </w:r>
      <w:r w:rsidR="007B00AD">
        <w:rPr>
          <w:lang w:val="en"/>
        </w:rPr>
        <w:t xml:space="preserve">as </w:t>
      </w:r>
      <w:r w:rsidR="00911DC6">
        <w:rPr>
          <w:lang w:val="en"/>
        </w:rPr>
        <w:t>at</w:t>
      </w:r>
      <w:r w:rsidR="007B00AD">
        <w:rPr>
          <w:lang w:val="en"/>
        </w:rPr>
        <w:t xml:space="preserve"> September 30, 2015 with more than one billion of them online daily</w:t>
      </w:r>
      <w:r w:rsidR="00DB5298">
        <w:rPr>
          <w:lang w:val="en"/>
        </w:rPr>
        <w:t xml:space="preserve"> (Facebook, 2016</w:t>
      </w:r>
      <w:r w:rsidR="007B00AD">
        <w:rPr>
          <w:lang w:val="en"/>
        </w:rPr>
        <w:t>).</w:t>
      </w:r>
      <w:r w:rsidR="00DB5298">
        <w:rPr>
          <w:lang w:val="en"/>
        </w:rPr>
        <w:t xml:space="preserve"> YouTube has more than one billion users watching an average of 40 minutes of video a day in 70 countries (YouTube, 2016). Relative newcomer in social media, Instagram, has </w:t>
      </w:r>
      <w:r w:rsidR="00911DC6">
        <w:rPr>
          <w:lang w:val="en"/>
        </w:rPr>
        <w:t xml:space="preserve">attracted </w:t>
      </w:r>
      <w:r w:rsidR="00DB5298">
        <w:rPr>
          <w:lang w:val="en"/>
        </w:rPr>
        <w:t xml:space="preserve">400 million active users </w:t>
      </w:r>
      <w:r w:rsidR="00911DC6">
        <w:rPr>
          <w:lang w:val="en"/>
        </w:rPr>
        <w:t xml:space="preserve">in just a few years </w:t>
      </w:r>
      <w:r w:rsidR="00DB5298">
        <w:rPr>
          <w:lang w:val="en"/>
        </w:rPr>
        <w:t>(</w:t>
      </w:r>
      <w:proofErr w:type="spellStart"/>
      <w:r w:rsidR="006C4BF7">
        <w:rPr>
          <w:lang w:val="en"/>
        </w:rPr>
        <w:t>Statista</w:t>
      </w:r>
      <w:proofErr w:type="spellEnd"/>
      <w:r w:rsidR="00DB5298">
        <w:rPr>
          <w:lang w:val="en"/>
        </w:rPr>
        <w:t>, 2016</w:t>
      </w:r>
      <w:r w:rsidR="006C4BF7">
        <w:rPr>
          <w:lang w:val="en"/>
        </w:rPr>
        <w:t>b</w:t>
      </w:r>
      <w:r w:rsidR="00DB5298">
        <w:rPr>
          <w:lang w:val="en"/>
        </w:rPr>
        <w:t>).</w:t>
      </w:r>
      <w:r w:rsidR="00911DC6">
        <w:rPr>
          <w:lang w:val="en"/>
        </w:rPr>
        <w:t xml:space="preserve"> </w:t>
      </w:r>
    </w:p>
    <w:p w14:paraId="39712DC9" w14:textId="3E4B21C1" w:rsidR="00CC1E7F" w:rsidRPr="004959FD" w:rsidRDefault="00B95956" w:rsidP="00775827">
      <w:pPr>
        <w:ind w:firstLine="426"/>
        <w:rPr>
          <w:lang w:val="en"/>
        </w:rPr>
      </w:pPr>
      <w:r>
        <w:rPr>
          <w:lang w:val="en"/>
        </w:rPr>
        <w:t>In the U</w:t>
      </w:r>
      <w:r w:rsidR="007D4D8B">
        <w:rPr>
          <w:lang w:val="en"/>
        </w:rPr>
        <w:t>nited States</w:t>
      </w:r>
      <w:r w:rsidR="004959FD">
        <w:rPr>
          <w:lang w:val="en"/>
        </w:rPr>
        <w:t xml:space="preserve"> the 2015 Pew</w:t>
      </w:r>
      <w:r w:rsidR="00D34194">
        <w:rPr>
          <w:lang w:val="en"/>
        </w:rPr>
        <w:t xml:space="preserve"> Research Center </w:t>
      </w:r>
      <w:r w:rsidR="004959FD" w:rsidRPr="004959FD">
        <w:rPr>
          <w:i/>
          <w:lang w:val="en"/>
        </w:rPr>
        <w:t>State of the Media</w:t>
      </w:r>
      <w:r w:rsidR="004959FD">
        <w:rPr>
          <w:lang w:val="en"/>
        </w:rPr>
        <w:t xml:space="preserve"> study reported that, </w:t>
      </w:r>
      <w:r w:rsidR="00C84EC7">
        <w:rPr>
          <w:lang w:val="en"/>
        </w:rPr>
        <w:t>“</w:t>
      </w:r>
      <w:r w:rsidR="004959FD">
        <w:rPr>
          <w:lang w:val="en"/>
        </w:rPr>
        <w:t>in tandem with rapid growth of mobile</w:t>
      </w:r>
      <w:r w:rsidR="00C84EC7">
        <w:rPr>
          <w:lang w:val="en"/>
        </w:rPr>
        <w:t>”</w:t>
      </w:r>
      <w:r w:rsidR="004959FD">
        <w:rPr>
          <w:lang w:val="en"/>
        </w:rPr>
        <w:t xml:space="preserve"> devices </w:t>
      </w:r>
      <w:r>
        <w:rPr>
          <w:lang w:val="en"/>
        </w:rPr>
        <w:t>for</w:t>
      </w:r>
      <w:r w:rsidR="004959FD">
        <w:rPr>
          <w:lang w:val="en"/>
        </w:rPr>
        <w:t xml:space="preserve"> accessing news and information “has been the further rise of the social Web, where the flow of information embodies a whole new dynamic”. Pew noted that “nearly half of Web-using adults report getting news about politics and government in the past week on Facebook” (</w:t>
      </w:r>
      <w:r w:rsidR="00D34194">
        <w:rPr>
          <w:lang w:val="en"/>
        </w:rPr>
        <w:t>Mitchell</w:t>
      </w:r>
      <w:r w:rsidR="00F86325">
        <w:rPr>
          <w:lang w:val="en"/>
        </w:rPr>
        <w:t>, 2015, p</w:t>
      </w:r>
      <w:r w:rsidR="004959FD">
        <w:rPr>
          <w:lang w:val="en"/>
        </w:rPr>
        <w:t xml:space="preserve">. </w:t>
      </w:r>
      <w:r w:rsidR="00F86325">
        <w:rPr>
          <w:lang w:val="en"/>
        </w:rPr>
        <w:t>4</w:t>
      </w:r>
      <w:r w:rsidR="004959FD">
        <w:rPr>
          <w:lang w:val="en"/>
        </w:rPr>
        <w:t>). At the same time, Pew reported tha</w:t>
      </w:r>
      <w:r>
        <w:rPr>
          <w:lang w:val="en"/>
        </w:rPr>
        <w:t>t newspaper readership continues</w:t>
      </w:r>
      <w:r w:rsidR="004959FD">
        <w:rPr>
          <w:lang w:val="en"/>
        </w:rPr>
        <w:t xml:space="preserve"> to decline (down 19% since 2004) and cable TV “had another rough year, with prime-time median viewership down 8% across the three channels – Fox News, MSNBC and CNN” (</w:t>
      </w:r>
      <w:r w:rsidR="00D34194">
        <w:rPr>
          <w:lang w:val="en"/>
        </w:rPr>
        <w:t xml:space="preserve">Mitchell, 2015, </w:t>
      </w:r>
      <w:r w:rsidR="00C03C34">
        <w:rPr>
          <w:lang w:val="en"/>
        </w:rPr>
        <w:t>p. 5</w:t>
      </w:r>
      <w:r w:rsidR="004959FD">
        <w:rPr>
          <w:lang w:val="en"/>
        </w:rPr>
        <w:t xml:space="preserve">). </w:t>
      </w:r>
      <w:r w:rsidR="00CC1E7F" w:rsidRPr="00EF3E05">
        <w:rPr>
          <w:i/>
          <w:lang w:val="en"/>
        </w:rPr>
        <w:t>Forbes</w:t>
      </w:r>
      <w:r w:rsidR="00CC1E7F" w:rsidRPr="00EF3E05">
        <w:rPr>
          <w:lang w:val="en"/>
        </w:rPr>
        <w:t xml:space="preserve"> magazine reported that the advertising revenues of News Corporation, one of the world’s largest media groups, declined </w:t>
      </w:r>
      <w:r w:rsidR="00CC1E7F" w:rsidRPr="00EF3E05">
        <w:t>from</w:t>
      </w:r>
      <w:r>
        <w:t xml:space="preserve"> over $4.1 billion in 2010 to </w:t>
      </w:r>
      <w:r w:rsidR="00CC1E7F" w:rsidRPr="00EF3E05">
        <w:t xml:space="preserve">under $3.4 billion in 2014 and commented that </w:t>
      </w:r>
      <w:r w:rsidR="00CC1E7F">
        <w:t>“t</w:t>
      </w:r>
      <w:r w:rsidR="00CC1E7F" w:rsidRPr="00EF3E05">
        <w:t>his decline can largely be attributed to free online sources that have put pressure on the company’s paid products</w:t>
      </w:r>
      <w:r w:rsidR="00CC1E7F">
        <w:t>”</w:t>
      </w:r>
      <w:r w:rsidR="00CC1E7F" w:rsidRPr="00EF3E05">
        <w:t xml:space="preserve"> (</w:t>
      </w:r>
      <w:proofErr w:type="spellStart"/>
      <w:r w:rsidR="00CC1E7F">
        <w:t>Trefis</w:t>
      </w:r>
      <w:proofErr w:type="spellEnd"/>
      <w:r w:rsidR="00CC1E7F">
        <w:t>, 2015, paras 4–5</w:t>
      </w:r>
      <w:r w:rsidR="00CC1E7F" w:rsidRPr="00EF3E05">
        <w:t>).</w:t>
      </w:r>
    </w:p>
    <w:p w14:paraId="1453663F" w14:textId="5AB7BB6F" w:rsidR="00157CCF" w:rsidRDefault="007278EA" w:rsidP="00775827">
      <w:pPr>
        <w:ind w:firstLine="426"/>
        <w:rPr>
          <w:lang w:val="en"/>
        </w:rPr>
      </w:pPr>
      <w:r>
        <w:rPr>
          <w:rFonts w:eastAsia="Times New Roman"/>
          <w:lang w:eastAsia="en-AU"/>
        </w:rPr>
        <w:t xml:space="preserve">As well as struggling for revenue, </w:t>
      </w:r>
      <w:r w:rsidR="007513C8">
        <w:rPr>
          <w:rFonts w:eastAsia="Times New Roman"/>
          <w:lang w:eastAsia="en-AU"/>
        </w:rPr>
        <w:t>traditional</w:t>
      </w:r>
      <w:r w:rsidR="007513C8" w:rsidRPr="00372B07">
        <w:rPr>
          <w:rFonts w:eastAsia="Times New Roman"/>
          <w:lang w:eastAsia="en-AU"/>
        </w:rPr>
        <w:t xml:space="preserve"> </w:t>
      </w:r>
      <w:r w:rsidR="00EF3E05" w:rsidRPr="00372B07">
        <w:rPr>
          <w:rFonts w:eastAsia="Times New Roman"/>
          <w:lang w:eastAsia="en-AU"/>
        </w:rPr>
        <w:t xml:space="preserve">forms of </w:t>
      </w:r>
      <w:r w:rsidR="00B95956">
        <w:rPr>
          <w:rFonts w:eastAsia="Times New Roman"/>
          <w:lang w:eastAsia="en-AU"/>
        </w:rPr>
        <w:t xml:space="preserve">paid </w:t>
      </w:r>
      <w:r w:rsidR="00EF3E05" w:rsidRPr="00372B07">
        <w:rPr>
          <w:rFonts w:eastAsia="Times New Roman"/>
          <w:lang w:eastAsia="en-AU"/>
        </w:rPr>
        <w:t xml:space="preserve">advertising </w:t>
      </w:r>
      <w:r>
        <w:rPr>
          <w:rFonts w:eastAsia="Times New Roman"/>
          <w:lang w:eastAsia="en-AU"/>
        </w:rPr>
        <w:t xml:space="preserve">including </w:t>
      </w:r>
      <w:r w:rsidR="00EF3E05" w:rsidRPr="00372B07">
        <w:rPr>
          <w:rFonts w:eastAsia="Times New Roman"/>
          <w:lang w:eastAsia="en-AU"/>
        </w:rPr>
        <w:t xml:space="preserve">TV </w:t>
      </w:r>
      <w:r>
        <w:rPr>
          <w:rFonts w:eastAsia="Times New Roman"/>
          <w:lang w:eastAsia="en-AU"/>
        </w:rPr>
        <w:t>commercials</w:t>
      </w:r>
      <w:r w:rsidR="00EF3E05" w:rsidRPr="00372B07">
        <w:rPr>
          <w:rFonts w:eastAsia="Times New Roman"/>
          <w:lang w:eastAsia="en-AU"/>
        </w:rPr>
        <w:t xml:space="preserve">, </w:t>
      </w:r>
      <w:r>
        <w:rPr>
          <w:rFonts w:eastAsia="Times New Roman"/>
          <w:lang w:eastAsia="en-AU"/>
        </w:rPr>
        <w:t xml:space="preserve">print advertisements, </w:t>
      </w:r>
      <w:r w:rsidR="00EF3E05" w:rsidRPr="00372B07">
        <w:rPr>
          <w:rFonts w:eastAsia="Times New Roman"/>
          <w:lang w:eastAsia="en-AU"/>
        </w:rPr>
        <w:t>and promotional e</w:t>
      </w:r>
      <w:r>
        <w:rPr>
          <w:rFonts w:eastAsia="Times New Roman"/>
          <w:lang w:eastAsia="en-AU"/>
        </w:rPr>
        <w:t xml:space="preserve">-mails </w:t>
      </w:r>
      <w:r w:rsidR="00EF3E05" w:rsidRPr="00372B07">
        <w:rPr>
          <w:rFonts w:eastAsia="Times New Roman"/>
          <w:lang w:eastAsia="en-AU"/>
        </w:rPr>
        <w:t xml:space="preserve">have all </w:t>
      </w:r>
      <w:r>
        <w:rPr>
          <w:rFonts w:eastAsia="Times New Roman"/>
          <w:lang w:eastAsia="en-AU"/>
        </w:rPr>
        <w:t>suffered</w:t>
      </w:r>
      <w:r w:rsidR="00EF3E05" w:rsidRPr="00372B07">
        <w:rPr>
          <w:rFonts w:eastAsia="Times New Roman"/>
          <w:lang w:eastAsia="en-AU"/>
        </w:rPr>
        <w:t xml:space="preserve"> a decline in trust among </w:t>
      </w:r>
      <w:r>
        <w:rPr>
          <w:rFonts w:eastAsia="Times New Roman"/>
          <w:lang w:eastAsia="en-AU"/>
        </w:rPr>
        <w:t>media consumers over the l</w:t>
      </w:r>
      <w:r w:rsidR="00EF3E05" w:rsidRPr="00372B07">
        <w:rPr>
          <w:rFonts w:eastAsia="Times New Roman"/>
          <w:lang w:eastAsia="en-AU"/>
        </w:rPr>
        <w:t>ast two years</w:t>
      </w:r>
      <w:r w:rsidR="00B95956">
        <w:rPr>
          <w:rFonts w:eastAsia="Times New Roman"/>
          <w:lang w:eastAsia="en-AU"/>
        </w:rPr>
        <w:t>, according to the 2015 Nielsen</w:t>
      </w:r>
      <w:r w:rsidR="00B95956" w:rsidRPr="00372B07">
        <w:rPr>
          <w:rFonts w:eastAsia="Times New Roman"/>
          <w:lang w:eastAsia="en-AU"/>
        </w:rPr>
        <w:t xml:space="preserve"> </w:t>
      </w:r>
      <w:r w:rsidR="00B95956" w:rsidRPr="00372B07">
        <w:rPr>
          <w:rFonts w:eastAsia="Times New Roman"/>
          <w:i/>
          <w:iCs/>
          <w:lang w:eastAsia="en-AU"/>
        </w:rPr>
        <w:t>Global Survey of Trust in Advertising</w:t>
      </w:r>
      <w:r w:rsidR="00B95956" w:rsidRPr="00372B07">
        <w:rPr>
          <w:rFonts w:eastAsia="Times New Roman"/>
          <w:lang w:eastAsia="en-AU"/>
        </w:rPr>
        <w:t xml:space="preserve">, </w:t>
      </w:r>
      <w:r w:rsidR="00B95956">
        <w:rPr>
          <w:rFonts w:eastAsia="Times New Roman"/>
          <w:lang w:eastAsia="en-AU"/>
        </w:rPr>
        <w:t>a poll of</w:t>
      </w:r>
      <w:r w:rsidR="00B95956" w:rsidRPr="00372B07">
        <w:rPr>
          <w:rFonts w:eastAsia="Times New Roman"/>
          <w:lang w:eastAsia="en-AU"/>
        </w:rPr>
        <w:t xml:space="preserve"> 30,000 </w:t>
      </w:r>
      <w:r w:rsidR="00B95956">
        <w:rPr>
          <w:rFonts w:eastAsia="Times New Roman"/>
          <w:lang w:eastAsia="en-AU"/>
        </w:rPr>
        <w:t xml:space="preserve">media consumers </w:t>
      </w:r>
      <w:r w:rsidR="00B95956" w:rsidRPr="00372B07">
        <w:rPr>
          <w:rFonts w:eastAsia="Times New Roman"/>
          <w:lang w:eastAsia="en-AU"/>
        </w:rPr>
        <w:t>in 60 countries</w:t>
      </w:r>
      <w:r>
        <w:rPr>
          <w:rFonts w:eastAsia="Times New Roman"/>
          <w:lang w:eastAsia="en-AU"/>
        </w:rPr>
        <w:t xml:space="preserve">. Also, </w:t>
      </w:r>
      <w:r w:rsidR="00B95956">
        <w:rPr>
          <w:rFonts w:eastAsia="Times New Roman"/>
          <w:lang w:eastAsia="en-AU"/>
        </w:rPr>
        <w:t xml:space="preserve">interestingly, </w:t>
      </w:r>
      <w:r>
        <w:rPr>
          <w:rFonts w:eastAsia="Times New Roman"/>
          <w:lang w:eastAsia="en-AU"/>
        </w:rPr>
        <w:t xml:space="preserve">Nielsen reported that trust in </w:t>
      </w:r>
      <w:r w:rsidR="00C84EC7">
        <w:rPr>
          <w:rFonts w:eastAsia="Times New Roman"/>
          <w:lang w:eastAsia="en-AU"/>
        </w:rPr>
        <w:t xml:space="preserve">traditional </w:t>
      </w:r>
      <w:r>
        <w:rPr>
          <w:rFonts w:eastAsia="Times New Roman"/>
          <w:lang w:eastAsia="en-AU"/>
        </w:rPr>
        <w:t xml:space="preserve">media editorial content </w:t>
      </w:r>
      <w:r w:rsidR="00CC1E7F">
        <w:rPr>
          <w:rFonts w:eastAsia="Times New Roman"/>
          <w:lang w:eastAsia="en-AU"/>
        </w:rPr>
        <w:t xml:space="preserve">has declined – down by 8% since 2013 </w:t>
      </w:r>
      <w:r w:rsidR="00157CCF">
        <w:rPr>
          <w:rFonts w:eastAsia="Times New Roman"/>
          <w:lang w:eastAsia="en-AU"/>
        </w:rPr>
        <w:t xml:space="preserve">in the </w:t>
      </w:r>
      <w:r w:rsidR="0029215C">
        <w:rPr>
          <w:rFonts w:eastAsia="Times New Roman"/>
          <w:lang w:eastAsia="en-AU"/>
        </w:rPr>
        <w:t>United Kingdom (</w:t>
      </w:r>
      <w:r w:rsidR="00157CCF">
        <w:rPr>
          <w:rFonts w:eastAsia="Times New Roman"/>
          <w:lang w:eastAsia="en-AU"/>
        </w:rPr>
        <w:t>UK</w:t>
      </w:r>
      <w:r w:rsidR="0029215C">
        <w:rPr>
          <w:rFonts w:eastAsia="Times New Roman"/>
          <w:lang w:eastAsia="en-AU"/>
        </w:rPr>
        <w:t>)</w:t>
      </w:r>
      <w:r w:rsidR="00157CCF">
        <w:rPr>
          <w:rFonts w:eastAsia="Times New Roman"/>
          <w:lang w:eastAsia="en-AU"/>
        </w:rPr>
        <w:t xml:space="preserve"> – possibly influenced by credibility-sapping incidents such as the </w:t>
      </w:r>
      <w:r w:rsidR="00157CCF" w:rsidRPr="00157CCF">
        <w:rPr>
          <w:rFonts w:eastAsia="Times New Roman"/>
          <w:i/>
          <w:lang w:eastAsia="en-AU"/>
        </w:rPr>
        <w:t xml:space="preserve">News of the World </w:t>
      </w:r>
      <w:r w:rsidR="00157CCF">
        <w:rPr>
          <w:rFonts w:eastAsia="Times New Roman"/>
          <w:lang w:eastAsia="en-AU"/>
        </w:rPr>
        <w:t xml:space="preserve">phone hacking scandal </w:t>
      </w:r>
      <w:r>
        <w:rPr>
          <w:rFonts w:eastAsia="Times New Roman"/>
          <w:lang w:eastAsia="en-AU"/>
        </w:rPr>
        <w:t>(Nielsen, 2015</w:t>
      </w:r>
      <w:r w:rsidR="00C03C34">
        <w:rPr>
          <w:rFonts w:eastAsia="Times New Roman"/>
          <w:lang w:eastAsia="en-AU"/>
        </w:rPr>
        <w:t>a, para 1–2</w:t>
      </w:r>
      <w:r>
        <w:rPr>
          <w:rFonts w:eastAsia="Times New Roman"/>
          <w:lang w:eastAsia="en-AU"/>
        </w:rPr>
        <w:t>).</w:t>
      </w:r>
      <w:r w:rsidR="004959FD">
        <w:rPr>
          <w:rFonts w:eastAsia="Times New Roman"/>
          <w:lang w:eastAsia="en-AU"/>
        </w:rPr>
        <w:t xml:space="preserve"> Nielsen noted that owned and earned media content</w:t>
      </w:r>
      <w:r w:rsidR="00D34194">
        <w:rPr>
          <w:rFonts w:eastAsia="Times New Roman"/>
          <w:lang w:eastAsia="en-AU"/>
        </w:rPr>
        <w:t xml:space="preserve"> </w:t>
      </w:r>
      <w:r w:rsidR="00A75C54">
        <w:rPr>
          <w:rFonts w:eastAsia="Times New Roman"/>
          <w:lang w:eastAsia="en-AU"/>
        </w:rPr>
        <w:t>are</w:t>
      </w:r>
      <w:r w:rsidR="00D34194">
        <w:rPr>
          <w:rFonts w:eastAsia="Times New Roman"/>
          <w:lang w:eastAsia="en-AU"/>
        </w:rPr>
        <w:t xml:space="preserve"> trusted more than paid media, </w:t>
      </w:r>
      <w:r w:rsidR="00B83964">
        <w:rPr>
          <w:rFonts w:eastAsia="Times New Roman"/>
          <w:lang w:eastAsia="en-AU"/>
        </w:rPr>
        <w:t>but</w:t>
      </w:r>
      <w:r w:rsidR="00D34194">
        <w:rPr>
          <w:rFonts w:eastAsia="Times New Roman"/>
          <w:lang w:eastAsia="en-AU"/>
        </w:rPr>
        <w:t xml:space="preserve"> that “recommendations from people I know” and “consumer opinions posted online” </w:t>
      </w:r>
      <w:r w:rsidR="00437D52">
        <w:rPr>
          <w:rFonts w:eastAsia="Times New Roman"/>
          <w:lang w:eastAsia="en-AU"/>
        </w:rPr>
        <w:t xml:space="preserve">(shared media) </w:t>
      </w:r>
      <w:r w:rsidR="00A75C54">
        <w:rPr>
          <w:rFonts w:eastAsia="Times New Roman"/>
          <w:lang w:eastAsia="en-AU"/>
        </w:rPr>
        <w:t>are</w:t>
      </w:r>
      <w:r w:rsidR="00D34194">
        <w:rPr>
          <w:rFonts w:eastAsia="Times New Roman"/>
          <w:lang w:eastAsia="en-AU"/>
        </w:rPr>
        <w:t xml:space="preserve"> the most trusted information sources of all (Nielsen, </w:t>
      </w:r>
      <w:r w:rsidR="00C03C34">
        <w:rPr>
          <w:rFonts w:eastAsia="Times New Roman"/>
          <w:lang w:eastAsia="en-AU"/>
        </w:rPr>
        <w:t xml:space="preserve">2015b, p. 4). </w:t>
      </w:r>
      <w:r w:rsidR="00157CCF">
        <w:rPr>
          <w:lang w:val="en"/>
        </w:rPr>
        <w:t xml:space="preserve">It is inevitable that such shifts in media channels and audience </w:t>
      </w:r>
      <w:r w:rsidR="00C84EC7">
        <w:rPr>
          <w:lang w:val="en"/>
        </w:rPr>
        <w:t xml:space="preserve">use </w:t>
      </w:r>
      <w:r w:rsidR="00157CCF">
        <w:rPr>
          <w:lang w:val="en"/>
        </w:rPr>
        <w:t>will influence practices in PR and corporate communication.</w:t>
      </w:r>
    </w:p>
    <w:p w14:paraId="6A7F9D35" w14:textId="77777777" w:rsidR="005C11CF" w:rsidRDefault="005C11CF" w:rsidP="00775827">
      <w:pPr>
        <w:ind w:firstLine="426"/>
        <w:rPr>
          <w:lang w:val="en"/>
        </w:rPr>
      </w:pPr>
    </w:p>
    <w:p w14:paraId="5C9188AF" w14:textId="77777777" w:rsidR="00877C55" w:rsidRDefault="00877C55">
      <w:pPr>
        <w:rPr>
          <w:b/>
          <w:sz w:val="28"/>
          <w:szCs w:val="28"/>
          <w:lang w:val="en"/>
        </w:rPr>
      </w:pPr>
      <w:r>
        <w:rPr>
          <w:b/>
          <w:sz w:val="28"/>
          <w:szCs w:val="28"/>
          <w:lang w:val="en"/>
        </w:rPr>
        <w:br w:type="page"/>
      </w:r>
    </w:p>
    <w:p w14:paraId="5F704EE9" w14:textId="45A81745" w:rsidR="005C11CF" w:rsidRPr="00DD7780" w:rsidRDefault="005C11CF" w:rsidP="00775827">
      <w:pPr>
        <w:ind w:left="426" w:hanging="426"/>
        <w:rPr>
          <w:b/>
          <w:sz w:val="28"/>
          <w:szCs w:val="28"/>
          <w:lang w:val="en"/>
        </w:rPr>
      </w:pPr>
      <w:r w:rsidRPr="00DD7780">
        <w:rPr>
          <w:b/>
          <w:sz w:val="28"/>
          <w:szCs w:val="28"/>
          <w:lang w:val="en"/>
        </w:rPr>
        <w:lastRenderedPageBreak/>
        <w:t>2.</w:t>
      </w:r>
      <w:r w:rsidRPr="00DD7780">
        <w:rPr>
          <w:b/>
          <w:sz w:val="28"/>
          <w:szCs w:val="28"/>
          <w:lang w:val="en"/>
        </w:rPr>
        <w:tab/>
        <w:t>The growth of sponsored content and ‘native advertising’</w:t>
      </w:r>
    </w:p>
    <w:p w14:paraId="48CC4498" w14:textId="77777777" w:rsidR="005C11CF" w:rsidRDefault="005C11CF" w:rsidP="00775827">
      <w:pPr>
        <w:ind w:firstLine="426"/>
        <w:rPr>
          <w:lang w:val="en"/>
        </w:rPr>
      </w:pPr>
    </w:p>
    <w:p w14:paraId="52C8B2E1" w14:textId="2A74ADA5" w:rsidR="00321CF3" w:rsidRDefault="00AA7499" w:rsidP="00775827">
      <w:pPr>
        <w:ind w:firstLine="426"/>
      </w:pPr>
      <w:r>
        <w:rPr>
          <w:lang w:val="en"/>
        </w:rPr>
        <w:t xml:space="preserve">A number of media, </w:t>
      </w:r>
      <w:r w:rsidR="00BE4BB9">
        <w:rPr>
          <w:lang w:val="en"/>
        </w:rPr>
        <w:t xml:space="preserve">marketing, and </w:t>
      </w:r>
      <w:r>
        <w:rPr>
          <w:lang w:val="en"/>
        </w:rPr>
        <w:t>p</w:t>
      </w:r>
      <w:r w:rsidR="00BE4BB9">
        <w:rPr>
          <w:lang w:val="en"/>
        </w:rPr>
        <w:t>ublic relations</w:t>
      </w:r>
      <w:r>
        <w:rPr>
          <w:lang w:val="en"/>
        </w:rPr>
        <w:t xml:space="preserve"> researchers have noted the shift in media formats and practices</w:t>
      </w:r>
      <w:r w:rsidR="00BE4BB9">
        <w:rPr>
          <w:lang w:val="en"/>
        </w:rPr>
        <w:t xml:space="preserve"> away from traditional advertising and publicity</w:t>
      </w:r>
      <w:r w:rsidR="005C11CF">
        <w:rPr>
          <w:lang w:val="en"/>
        </w:rPr>
        <w:t>.</w:t>
      </w:r>
      <w:r>
        <w:rPr>
          <w:lang w:val="en"/>
        </w:rPr>
        <w:t xml:space="preserve"> In marketing communications literature, these include Burcher (2012), </w:t>
      </w:r>
      <w:r w:rsidR="00C05CE3">
        <w:rPr>
          <w:lang w:val="en"/>
        </w:rPr>
        <w:t xml:space="preserve">Campbell, Cohen, and Ma (2014, </w:t>
      </w:r>
      <w:r w:rsidRPr="00AA7499">
        <w:t>Camp</w:t>
      </w:r>
      <w:r>
        <w:t xml:space="preserve">bell and Marks </w:t>
      </w:r>
      <w:r w:rsidRPr="00AA7499">
        <w:t>(</w:t>
      </w:r>
      <w:r>
        <w:t>201</w:t>
      </w:r>
      <w:r w:rsidR="00C05CE3">
        <w:t>5</w:t>
      </w:r>
      <w:r>
        <w:t xml:space="preserve">), and de </w:t>
      </w:r>
      <w:proofErr w:type="spellStart"/>
      <w:r>
        <w:t>Pelsmacker</w:t>
      </w:r>
      <w:proofErr w:type="spellEnd"/>
      <w:r>
        <w:t xml:space="preserve"> and </w:t>
      </w:r>
      <w:proofErr w:type="spellStart"/>
      <w:r>
        <w:t>Neijens</w:t>
      </w:r>
      <w:proofErr w:type="spellEnd"/>
      <w:r>
        <w:t xml:space="preserve"> </w:t>
      </w:r>
      <w:r w:rsidRPr="00AA7499">
        <w:t>(2012</w:t>
      </w:r>
      <w:r>
        <w:t xml:space="preserve">). In industry, </w:t>
      </w:r>
      <w:r w:rsidR="007513C8">
        <w:t>the growth in new formats</w:t>
      </w:r>
      <w:r>
        <w:t xml:space="preserve"> is reflected in the establishment of new professional bodies such as the Branded Content Marketing Association (BCMA)</w:t>
      </w:r>
      <w:r w:rsidR="00372958">
        <w:t xml:space="preserve"> with chapters in Europe, North and South America, the Middle East</w:t>
      </w:r>
      <w:r w:rsidR="00A60F7B">
        <w:t>,</w:t>
      </w:r>
      <w:r w:rsidR="00372958">
        <w:t xml:space="preserve"> and Africa</w:t>
      </w:r>
      <w:r>
        <w:t xml:space="preserve">. </w:t>
      </w:r>
      <w:r w:rsidR="00BE4BB9">
        <w:t>Along with ‘branded content’, a number of new descriptions of media content have entered the lexicon of marketers and media content producers including</w:t>
      </w:r>
      <w:r w:rsidR="007513C8">
        <w:t xml:space="preserve"> sponsored content, ‘native advertising’ </w:t>
      </w:r>
      <w:r w:rsidR="007513C8" w:rsidRPr="007B38AE">
        <w:rPr>
          <w:lang w:val="en-GB"/>
        </w:rPr>
        <w:t xml:space="preserve">(paid </w:t>
      </w:r>
      <w:r w:rsidR="007513C8">
        <w:rPr>
          <w:lang w:val="en-GB"/>
        </w:rPr>
        <w:t>content</w:t>
      </w:r>
      <w:r w:rsidR="007513C8" w:rsidRPr="007B38AE">
        <w:rPr>
          <w:lang w:val="en-GB"/>
        </w:rPr>
        <w:t xml:space="preserve"> that is presented</w:t>
      </w:r>
      <w:r w:rsidR="007513C8">
        <w:rPr>
          <w:lang w:val="en-GB"/>
        </w:rPr>
        <w:t xml:space="preserve"> </w:t>
      </w:r>
      <w:r w:rsidR="00C548E0">
        <w:rPr>
          <w:lang w:val="en-GB"/>
        </w:rPr>
        <w:t xml:space="preserve">in a way that does </w:t>
      </w:r>
      <w:r w:rsidR="007513C8">
        <w:rPr>
          <w:lang w:val="en-GB"/>
        </w:rPr>
        <w:t xml:space="preserve">not </w:t>
      </w:r>
      <w:r w:rsidR="007513C8" w:rsidRPr="007B38AE">
        <w:rPr>
          <w:lang w:val="en-GB"/>
        </w:rPr>
        <w:t>look like advertising)</w:t>
      </w:r>
      <w:r w:rsidR="007513C8">
        <w:rPr>
          <w:lang w:val="en-GB"/>
        </w:rPr>
        <w:t>,</w:t>
      </w:r>
      <w:r w:rsidR="007513C8" w:rsidRPr="007B38AE">
        <w:rPr>
          <w:lang w:val="en-GB"/>
        </w:rPr>
        <w:t xml:space="preserve"> </w:t>
      </w:r>
      <w:r w:rsidR="007513C8">
        <w:rPr>
          <w:lang w:val="en-GB"/>
        </w:rPr>
        <w:t>as well as a number of</w:t>
      </w:r>
      <w:r w:rsidR="007513C8" w:rsidRPr="007B38AE">
        <w:rPr>
          <w:lang w:val="en-GB"/>
        </w:rPr>
        <w:t xml:space="preserve"> other euphemistic terms such as </w:t>
      </w:r>
      <w:r w:rsidR="007513C8">
        <w:rPr>
          <w:lang w:val="en-GB"/>
        </w:rPr>
        <w:t>‘</w:t>
      </w:r>
      <w:r w:rsidR="007513C8" w:rsidRPr="007B38AE">
        <w:rPr>
          <w:lang w:val="en-GB"/>
        </w:rPr>
        <w:t>brand integration</w:t>
      </w:r>
      <w:r w:rsidR="007513C8">
        <w:rPr>
          <w:lang w:val="en-GB"/>
        </w:rPr>
        <w:t>’</w:t>
      </w:r>
      <w:r w:rsidR="007513C8" w:rsidRPr="007B38AE">
        <w:rPr>
          <w:lang w:val="en-GB"/>
        </w:rPr>
        <w:t xml:space="preserve">, </w:t>
      </w:r>
      <w:r w:rsidR="007513C8">
        <w:rPr>
          <w:lang w:val="en-GB"/>
        </w:rPr>
        <w:t xml:space="preserve">‘brand journalism’, </w:t>
      </w:r>
      <w:r w:rsidR="007513C8" w:rsidRPr="007B38AE">
        <w:rPr>
          <w:lang w:val="en-GB"/>
        </w:rPr>
        <w:t>‘embedded marketing’</w:t>
      </w:r>
      <w:r w:rsidR="007513C8">
        <w:rPr>
          <w:lang w:val="en-GB"/>
        </w:rPr>
        <w:t>, and ‘media partnerships’</w:t>
      </w:r>
      <w:r w:rsidR="007513C8" w:rsidRPr="007B38AE">
        <w:rPr>
          <w:lang w:val="en-GB"/>
        </w:rPr>
        <w:t xml:space="preserve"> (</w:t>
      </w:r>
      <w:r w:rsidR="007513C8" w:rsidRPr="00616D89">
        <w:rPr>
          <w:rFonts w:eastAsia="Batang"/>
          <w:bCs/>
          <w:lang w:eastAsia="ko-KR"/>
        </w:rPr>
        <w:t xml:space="preserve">Canter, </w:t>
      </w:r>
      <w:r w:rsidR="007513C8" w:rsidRPr="00616D89">
        <w:t>Kirby, McFarlane, &amp; Welland</w:t>
      </w:r>
      <w:r w:rsidR="007513C8" w:rsidRPr="00616D89">
        <w:rPr>
          <w:rFonts w:eastAsia="Batang"/>
          <w:bCs/>
          <w:lang w:eastAsia="ko-KR"/>
        </w:rPr>
        <w:t xml:space="preserve">, 2013; Glick &amp; </w:t>
      </w:r>
      <w:proofErr w:type="spellStart"/>
      <w:r w:rsidR="007513C8" w:rsidRPr="00616D89">
        <w:rPr>
          <w:rFonts w:eastAsia="Batang"/>
          <w:bCs/>
          <w:lang w:eastAsia="ko-KR"/>
        </w:rPr>
        <w:t>Neckes</w:t>
      </w:r>
      <w:proofErr w:type="spellEnd"/>
      <w:r w:rsidR="007513C8" w:rsidRPr="00616D89">
        <w:rPr>
          <w:rFonts w:eastAsia="Batang"/>
          <w:bCs/>
          <w:lang w:eastAsia="ko-KR"/>
        </w:rPr>
        <w:t xml:space="preserve">, </w:t>
      </w:r>
      <w:r w:rsidR="007513C8" w:rsidRPr="00616D89">
        <w:t xml:space="preserve">2013; </w:t>
      </w:r>
      <w:proofErr w:type="spellStart"/>
      <w:r w:rsidR="007513C8" w:rsidRPr="00616D89">
        <w:rPr>
          <w:rFonts w:eastAsia="Batang"/>
          <w:bCs/>
          <w:lang w:eastAsia="ko-KR"/>
        </w:rPr>
        <w:t>Kokemuller</w:t>
      </w:r>
      <w:proofErr w:type="spellEnd"/>
      <w:r w:rsidR="007513C8" w:rsidRPr="00616D89">
        <w:rPr>
          <w:rFonts w:eastAsia="Batang"/>
          <w:bCs/>
          <w:lang w:eastAsia="ko-KR"/>
        </w:rPr>
        <w:t>, 2013</w:t>
      </w:r>
      <w:r w:rsidR="007513C8">
        <w:rPr>
          <w:rFonts w:eastAsia="Batang"/>
          <w:bCs/>
          <w:lang w:eastAsia="ko-KR"/>
        </w:rPr>
        <w:t xml:space="preserve">; </w:t>
      </w:r>
      <w:r w:rsidR="007513C8">
        <w:rPr>
          <w:lang w:val="en-GB"/>
        </w:rPr>
        <w:t>Macnamara, 2014</w:t>
      </w:r>
      <w:r w:rsidR="00E21F9E">
        <w:rPr>
          <w:lang w:val="en-GB"/>
        </w:rPr>
        <w:t>a</w:t>
      </w:r>
      <w:r w:rsidR="007513C8">
        <w:rPr>
          <w:lang w:val="en-GB"/>
        </w:rPr>
        <w:t xml:space="preserve">, </w:t>
      </w:r>
      <w:r w:rsidR="007513C8" w:rsidRPr="007B38AE">
        <w:rPr>
          <w:lang w:val="en-GB"/>
        </w:rPr>
        <w:t>2015</w:t>
      </w:r>
      <w:r w:rsidR="007513C8">
        <w:rPr>
          <w:lang w:val="en-GB"/>
        </w:rPr>
        <w:t xml:space="preserve">; </w:t>
      </w:r>
      <w:proofErr w:type="spellStart"/>
      <w:r w:rsidR="007513C8">
        <w:rPr>
          <w:lang w:val="en-GB"/>
        </w:rPr>
        <w:t>Verčič</w:t>
      </w:r>
      <w:proofErr w:type="spellEnd"/>
      <w:r w:rsidR="007513C8">
        <w:rPr>
          <w:lang w:val="en-GB"/>
        </w:rPr>
        <w:t xml:space="preserve"> &amp; </w:t>
      </w:r>
      <w:proofErr w:type="spellStart"/>
      <w:r w:rsidR="007513C8">
        <w:rPr>
          <w:lang w:val="en-GB"/>
        </w:rPr>
        <w:t>Tkalac</w:t>
      </w:r>
      <w:proofErr w:type="spellEnd"/>
      <w:r w:rsidR="007513C8">
        <w:rPr>
          <w:lang w:val="en-GB"/>
        </w:rPr>
        <w:t xml:space="preserve"> </w:t>
      </w:r>
      <w:proofErr w:type="spellStart"/>
      <w:r w:rsidR="007513C8">
        <w:rPr>
          <w:lang w:val="en-GB"/>
        </w:rPr>
        <w:t>Verčič</w:t>
      </w:r>
      <w:proofErr w:type="spellEnd"/>
      <w:r w:rsidR="007513C8">
        <w:rPr>
          <w:lang w:val="en-GB"/>
        </w:rPr>
        <w:t>, 2015</w:t>
      </w:r>
      <w:r w:rsidR="007513C8" w:rsidRPr="007B38AE">
        <w:rPr>
          <w:lang w:val="en-GB"/>
        </w:rPr>
        <w:t>).</w:t>
      </w:r>
      <w:r w:rsidR="00BE4BB9">
        <w:rPr>
          <w:lang w:val="en-GB"/>
        </w:rPr>
        <w:t xml:space="preserve"> </w:t>
      </w:r>
      <w:r w:rsidR="00320B77">
        <w:t xml:space="preserve">A study </w:t>
      </w:r>
      <w:r w:rsidR="00C548A1">
        <w:t xml:space="preserve">by Macnamara and Dessaix </w:t>
      </w:r>
      <w:r w:rsidR="00320B77">
        <w:t xml:space="preserve">identified 25 terms used largely synonymously in advertising, digital marketing, PR, entertainment, and infotainment </w:t>
      </w:r>
      <w:r w:rsidR="00A75C54">
        <w:t xml:space="preserve">to describe new hybrid formats </w:t>
      </w:r>
      <w:r w:rsidR="00320B77">
        <w:t>(2014, p. 1).</w:t>
      </w:r>
      <w:r w:rsidR="00320B77" w:rsidRPr="00320B77">
        <w:t xml:space="preserve"> </w:t>
      </w:r>
    </w:p>
    <w:p w14:paraId="35EC9216" w14:textId="146BAF33" w:rsidR="0090234B" w:rsidRDefault="00A75C54" w:rsidP="00775827">
      <w:pPr>
        <w:ind w:firstLine="426"/>
      </w:pPr>
      <w:r>
        <w:t xml:space="preserve">Sponsored content is broadly described by </w:t>
      </w:r>
      <w:proofErr w:type="spellStart"/>
      <w:r>
        <w:t>Tutaj</w:t>
      </w:r>
      <w:proofErr w:type="spellEnd"/>
      <w:r>
        <w:t xml:space="preserve"> and van </w:t>
      </w:r>
      <w:proofErr w:type="spellStart"/>
      <w:r>
        <w:t>Reijmersdal</w:t>
      </w:r>
      <w:proofErr w:type="spellEnd"/>
      <w:r>
        <w:t xml:space="preserve"> (2012) as media content that is produced by a brand or organization in a similar form as original content on a publisher’s platform, often in collaboration with the media outlet. So-called native advertising is defined as “advertiser-produced content that is designed to appear to the user as similar to editorial content” (Howe &amp; </w:t>
      </w:r>
      <w:proofErr w:type="spellStart"/>
      <w:r>
        <w:t>Teufel</w:t>
      </w:r>
      <w:proofErr w:type="spellEnd"/>
      <w:r>
        <w:t xml:space="preserve">, 2014, p. 79). However, </w:t>
      </w:r>
      <w:r w:rsidR="00320B77">
        <w:t xml:space="preserve">Campbell and Marks </w:t>
      </w:r>
      <w:r w:rsidR="00320B77" w:rsidRPr="005C1217">
        <w:t>note that</w:t>
      </w:r>
      <w:r w:rsidR="00320B77">
        <w:t xml:space="preserve"> </w:t>
      </w:r>
      <w:r w:rsidR="00320B77" w:rsidRPr="005C1217">
        <w:t>the ter</w:t>
      </w:r>
      <w:r w:rsidR="00320B77">
        <w:t xml:space="preserve">m ‘native advertising’ is being </w:t>
      </w:r>
      <w:r w:rsidR="00320B77" w:rsidRPr="005C1217">
        <w:t>used to describe va</w:t>
      </w:r>
      <w:r w:rsidR="00320B77">
        <w:t>rious types of online marketing communications and that</w:t>
      </w:r>
      <w:r w:rsidR="00320B77" w:rsidRPr="005C1217">
        <w:t xml:space="preserve"> </w:t>
      </w:r>
      <w:r w:rsidR="00A60F7B">
        <w:t>“</w:t>
      </w:r>
      <w:r w:rsidR="00320B77" w:rsidRPr="005C1217">
        <w:t>t</w:t>
      </w:r>
      <w:r w:rsidR="00320B77">
        <w:t xml:space="preserve">here is little agreement on the </w:t>
      </w:r>
      <w:r w:rsidR="00320B77" w:rsidRPr="005C1217">
        <w:t>term’s definition or meaning</w:t>
      </w:r>
      <w:r w:rsidR="00320B77">
        <w:t>” (2015, p. 600).</w:t>
      </w:r>
      <w:r w:rsidR="00321CF3">
        <w:rPr>
          <w:rFonts w:eastAsia="Batang"/>
          <w:bCs/>
          <w:lang w:eastAsia="ko-KR"/>
        </w:rPr>
        <w:t xml:space="preserve"> </w:t>
      </w:r>
    </w:p>
    <w:p w14:paraId="592645C4" w14:textId="141914EF" w:rsidR="00CE2A1D" w:rsidRDefault="00B01EE3" w:rsidP="00775827">
      <w:pPr>
        <w:ind w:firstLine="426"/>
      </w:pPr>
      <w:r>
        <w:t>As a number of researchers note, paid media content in forms other than traditional advertising is not new (</w:t>
      </w:r>
      <w:proofErr w:type="spellStart"/>
      <w:r>
        <w:t>Balasubramanian</w:t>
      </w:r>
      <w:proofErr w:type="spellEnd"/>
      <w:r>
        <w:t>, 1994)</w:t>
      </w:r>
      <w:r w:rsidR="004971C4">
        <w:t xml:space="preserve">. For instance, </w:t>
      </w:r>
      <w:r w:rsidR="00337A8B">
        <w:t xml:space="preserve">product placement has a long history (Gupta &amp; Lord, 1998) and the </w:t>
      </w:r>
      <w:r w:rsidR="006F18D3">
        <w:t xml:space="preserve">previous </w:t>
      </w:r>
      <w:r w:rsidR="00337A8B">
        <w:t xml:space="preserve">definitions could just as easily describe </w:t>
      </w:r>
      <w:r w:rsidR="004971C4">
        <w:t xml:space="preserve">‘advertorial’ </w:t>
      </w:r>
      <w:r w:rsidR="00337A8B">
        <w:t xml:space="preserve">that </w:t>
      </w:r>
      <w:r w:rsidR="004971C4">
        <w:t>has been used in the PR industry for many years (</w:t>
      </w:r>
      <w:proofErr w:type="spellStart"/>
      <w:r w:rsidR="00321CF3">
        <w:t>Erjavec</w:t>
      </w:r>
      <w:proofErr w:type="spellEnd"/>
      <w:r w:rsidR="00321CF3">
        <w:t xml:space="preserve"> &amp; </w:t>
      </w:r>
      <w:proofErr w:type="spellStart"/>
      <w:r w:rsidR="00321CF3">
        <w:t>Kovačič</w:t>
      </w:r>
      <w:proofErr w:type="spellEnd"/>
      <w:r w:rsidR="00321CF3">
        <w:t xml:space="preserve">, 2010; </w:t>
      </w:r>
      <w:r w:rsidR="004971C4">
        <w:t>Ki</w:t>
      </w:r>
      <w:r w:rsidR="00337A8B">
        <w:t xml:space="preserve">m, </w:t>
      </w:r>
      <w:proofErr w:type="spellStart"/>
      <w:r w:rsidR="00337A8B">
        <w:t>Pasadeos</w:t>
      </w:r>
      <w:proofErr w:type="spellEnd"/>
      <w:r w:rsidR="00337A8B">
        <w:t xml:space="preserve">, &amp; </w:t>
      </w:r>
      <w:proofErr w:type="spellStart"/>
      <w:r w:rsidR="00337A8B">
        <w:t>Barban</w:t>
      </w:r>
      <w:proofErr w:type="spellEnd"/>
      <w:r w:rsidR="00337A8B">
        <w:t>, 2001)</w:t>
      </w:r>
      <w:r>
        <w:t xml:space="preserve">. </w:t>
      </w:r>
      <w:r w:rsidR="00320B77">
        <w:t xml:space="preserve">However, </w:t>
      </w:r>
      <w:r w:rsidR="00EC5050">
        <w:t xml:space="preserve">Macnamara and Dessaix (2014) </w:t>
      </w:r>
      <w:r w:rsidR="00C05CE3">
        <w:t xml:space="preserve">have </w:t>
      </w:r>
      <w:r w:rsidR="00320B77">
        <w:t>described</w:t>
      </w:r>
      <w:r w:rsidR="00EC5050">
        <w:t xml:space="preserve"> emerging sponsored</w:t>
      </w:r>
      <w:r w:rsidR="00C66AB4">
        <w:t>, ‘native’,</w:t>
      </w:r>
      <w:r w:rsidR="00EC5050">
        <w:t xml:space="preserve"> and embedded formats </w:t>
      </w:r>
      <w:r w:rsidR="006F18D3">
        <w:t xml:space="preserve">as </w:t>
      </w:r>
      <w:r w:rsidR="00EC5050">
        <w:t>“advertorial on steroids” (2014, p. 1)</w:t>
      </w:r>
      <w:r w:rsidR="00C05CE3">
        <w:t>. W</w:t>
      </w:r>
      <w:r w:rsidR="00EC5050">
        <w:t xml:space="preserve">hile noting that “the term ‘native advertising’ remains murky”, </w:t>
      </w:r>
      <w:r w:rsidR="00337A8B">
        <w:t xml:space="preserve">the industry journal </w:t>
      </w:r>
      <w:r w:rsidR="00337A8B" w:rsidRPr="00EC5050">
        <w:rPr>
          <w:i/>
        </w:rPr>
        <w:t>e-Marketer</w:t>
      </w:r>
      <w:r w:rsidR="00337A8B">
        <w:t xml:space="preserve"> </w:t>
      </w:r>
      <w:r w:rsidR="00EC5050">
        <w:t xml:space="preserve">(2014) </w:t>
      </w:r>
      <w:r w:rsidR="00337A8B">
        <w:t>reported</w:t>
      </w:r>
      <w:r w:rsidR="00EC5050">
        <w:t xml:space="preserve"> research predicting that </w:t>
      </w:r>
      <w:r w:rsidR="00B83964">
        <w:t>spending on this media format will reach</w:t>
      </w:r>
      <w:r w:rsidR="00EC5050">
        <w:t xml:space="preserve"> almost US$6 billion in 2016 and</w:t>
      </w:r>
      <w:r w:rsidR="00B83964">
        <w:t xml:space="preserve"> grow</w:t>
      </w:r>
      <w:r w:rsidR="00EC5050">
        <w:t xml:space="preserve"> to almost US$9 billion by 2018.</w:t>
      </w:r>
      <w:r w:rsidR="00C05CE3">
        <w:t xml:space="preserve"> These emerging media formats and practices therefore warrant further close attention.</w:t>
      </w:r>
      <w:r w:rsidR="00CE2A1D">
        <w:t xml:space="preserve"> On one hand, they are seen as offering new opportunities to marketers and media organizations and have been </w:t>
      </w:r>
      <w:r w:rsidR="00CE2A1D" w:rsidRPr="00900AC0">
        <w:rPr>
          <w:rFonts w:eastAsia="Batang"/>
          <w:bCs/>
          <w:lang w:eastAsia="ko-KR"/>
        </w:rPr>
        <w:t>hailed as the possible “salvation” of the troubled advertising industry (Wasserman, 2013)</w:t>
      </w:r>
      <w:r w:rsidR="00CE2A1D">
        <w:rPr>
          <w:rFonts w:eastAsia="Batang"/>
          <w:bCs/>
          <w:lang w:eastAsia="ko-KR"/>
        </w:rPr>
        <w:t>. On the other hand, there are serious implications for media independence, ethics, and the public interest</w:t>
      </w:r>
      <w:r w:rsidR="00C96901">
        <w:rPr>
          <w:rFonts w:eastAsia="Batang"/>
          <w:bCs/>
          <w:lang w:eastAsia="ko-KR"/>
        </w:rPr>
        <w:t xml:space="preserve"> in media strategies that blur the boundaries that have traditionally existed between paid, earned, shared, and owned media</w:t>
      </w:r>
      <w:r w:rsidR="00CE2A1D">
        <w:rPr>
          <w:rFonts w:eastAsia="Batang"/>
          <w:bCs/>
          <w:lang w:eastAsia="ko-KR"/>
        </w:rPr>
        <w:t>.</w:t>
      </w:r>
    </w:p>
    <w:p w14:paraId="2147C931" w14:textId="0298E4C8" w:rsidR="00C05CE3" w:rsidRPr="00F9574F" w:rsidRDefault="00C05CE3" w:rsidP="00775827">
      <w:pPr>
        <w:ind w:firstLine="426"/>
        <w:rPr>
          <w:bCs/>
          <w:lang w:val="en-US"/>
        </w:rPr>
      </w:pPr>
      <w:r>
        <w:t xml:space="preserve">A number of public relations scholars have examined these formats and their </w:t>
      </w:r>
      <w:r w:rsidRPr="00C05CE3">
        <w:t xml:space="preserve">implications including </w:t>
      </w:r>
      <w:r>
        <w:t xml:space="preserve">Bowen (2013), Hallahan (2014), </w:t>
      </w:r>
      <w:proofErr w:type="spellStart"/>
      <w:r>
        <w:t>Taiminen</w:t>
      </w:r>
      <w:proofErr w:type="spellEnd"/>
      <w:r>
        <w:t xml:space="preserve">, Luoma-Aho, and </w:t>
      </w:r>
      <w:proofErr w:type="spellStart"/>
      <w:r>
        <w:t>Tolvanen</w:t>
      </w:r>
      <w:proofErr w:type="spellEnd"/>
      <w:r>
        <w:t xml:space="preserve"> (</w:t>
      </w:r>
      <w:r w:rsidR="00285B7B">
        <w:t xml:space="preserve">2015), and </w:t>
      </w:r>
      <w:proofErr w:type="spellStart"/>
      <w:r w:rsidRPr="00C05CE3">
        <w:rPr>
          <w:bCs/>
          <w:lang w:val="en-US"/>
        </w:rPr>
        <w:t>Verčič</w:t>
      </w:r>
      <w:proofErr w:type="spellEnd"/>
      <w:r w:rsidRPr="00C05CE3">
        <w:rPr>
          <w:bCs/>
          <w:lang w:val="en-US"/>
        </w:rPr>
        <w:t xml:space="preserve"> and </w:t>
      </w:r>
      <w:proofErr w:type="spellStart"/>
      <w:r w:rsidRPr="00C05CE3">
        <w:rPr>
          <w:bCs/>
          <w:lang w:val="en-US"/>
        </w:rPr>
        <w:t>Tkalac</w:t>
      </w:r>
      <w:proofErr w:type="spellEnd"/>
      <w:r w:rsidRPr="00C05CE3">
        <w:rPr>
          <w:bCs/>
          <w:lang w:val="en-US"/>
        </w:rPr>
        <w:t xml:space="preserve"> </w:t>
      </w:r>
      <w:proofErr w:type="spellStart"/>
      <w:r w:rsidRPr="00C05CE3">
        <w:rPr>
          <w:bCs/>
          <w:lang w:val="en-US"/>
        </w:rPr>
        <w:t>Verčič</w:t>
      </w:r>
      <w:proofErr w:type="spellEnd"/>
      <w:r w:rsidRPr="00C05CE3">
        <w:rPr>
          <w:bCs/>
          <w:lang w:val="en-US"/>
        </w:rPr>
        <w:t xml:space="preserve"> (2015</w:t>
      </w:r>
      <w:r w:rsidR="00285B7B">
        <w:rPr>
          <w:bCs/>
          <w:lang w:val="en-US"/>
        </w:rPr>
        <w:t>).</w:t>
      </w:r>
      <w:r w:rsidR="00740174">
        <w:rPr>
          <w:bCs/>
          <w:lang w:val="en-US"/>
        </w:rPr>
        <w:t xml:space="preserve"> Bowen (2013) has called for avoidance of deception, </w:t>
      </w:r>
      <w:r w:rsidR="00372958">
        <w:rPr>
          <w:bCs/>
          <w:lang w:val="en-US"/>
        </w:rPr>
        <w:t xml:space="preserve">increased </w:t>
      </w:r>
      <w:r w:rsidR="00740174">
        <w:rPr>
          <w:bCs/>
          <w:lang w:val="en-US"/>
        </w:rPr>
        <w:t>transparency, and full disclosure of the nature and source of media content in the interests of ethics.</w:t>
      </w:r>
      <w:r w:rsidR="00CE2A1D">
        <w:rPr>
          <w:bCs/>
          <w:lang w:val="en-US"/>
        </w:rPr>
        <w:t xml:space="preserve"> </w:t>
      </w:r>
      <w:r w:rsidR="00740174">
        <w:rPr>
          <w:bCs/>
          <w:lang w:val="en-US"/>
        </w:rPr>
        <w:t>However, little information is available on the extent of these formats and practices in public relations</w:t>
      </w:r>
      <w:r w:rsidR="00745153">
        <w:rPr>
          <w:bCs/>
          <w:lang w:val="en-US"/>
        </w:rPr>
        <w:t xml:space="preserve"> and corporate communication</w:t>
      </w:r>
      <w:r w:rsidR="00740174">
        <w:rPr>
          <w:bCs/>
          <w:lang w:val="en-US"/>
        </w:rPr>
        <w:t xml:space="preserve">, or perspectives on the future of the </w:t>
      </w:r>
      <w:r w:rsidR="00745153">
        <w:rPr>
          <w:bCs/>
          <w:lang w:val="en-US"/>
        </w:rPr>
        <w:t xml:space="preserve">traditional </w:t>
      </w:r>
      <w:r w:rsidR="00740174">
        <w:rPr>
          <w:bCs/>
          <w:lang w:val="en-US"/>
        </w:rPr>
        <w:t>paid, owned, shared, earned (PESO) model of media</w:t>
      </w:r>
      <w:r w:rsidR="00745153">
        <w:rPr>
          <w:bCs/>
          <w:lang w:val="en-US"/>
        </w:rPr>
        <w:t xml:space="preserve"> use by organizations.</w:t>
      </w:r>
      <w:r w:rsidR="00740174">
        <w:rPr>
          <w:bCs/>
          <w:lang w:val="en-US"/>
        </w:rPr>
        <w:t xml:space="preserve"> </w:t>
      </w:r>
    </w:p>
    <w:p w14:paraId="4DB5ADFF" w14:textId="14436F45" w:rsidR="00437D52" w:rsidRPr="00C03C34" w:rsidRDefault="00437D52" w:rsidP="00775827">
      <w:pPr>
        <w:ind w:firstLine="426"/>
        <w:rPr>
          <w:rFonts w:eastAsia="Times New Roman"/>
          <w:lang w:eastAsia="en-AU"/>
        </w:rPr>
      </w:pPr>
      <w:r>
        <w:rPr>
          <w:lang w:val="en"/>
        </w:rPr>
        <w:lastRenderedPageBreak/>
        <w:t xml:space="preserve">Preferred media channels and formats </w:t>
      </w:r>
      <w:r w:rsidR="00B95956">
        <w:rPr>
          <w:lang w:val="en"/>
        </w:rPr>
        <w:t>as well as</w:t>
      </w:r>
      <w:r>
        <w:rPr>
          <w:lang w:val="en"/>
        </w:rPr>
        <w:t xml:space="preserve"> media practices were among a number of issues explored in the first </w:t>
      </w:r>
      <w:r w:rsidR="00372958">
        <w:rPr>
          <w:i/>
          <w:lang w:val="en"/>
        </w:rPr>
        <w:t>Asia-Pacific</w:t>
      </w:r>
      <w:r w:rsidRPr="00437D52">
        <w:rPr>
          <w:i/>
          <w:lang w:val="en"/>
        </w:rPr>
        <w:t xml:space="preserve"> Communication Monitor</w:t>
      </w:r>
      <w:r>
        <w:rPr>
          <w:lang w:val="en"/>
        </w:rPr>
        <w:t xml:space="preserve">, a survey of PR and communication practitioners across 23 </w:t>
      </w:r>
      <w:r w:rsidR="00372958">
        <w:rPr>
          <w:lang w:val="en"/>
        </w:rPr>
        <w:t>Asia-Pacific</w:t>
      </w:r>
      <w:r>
        <w:rPr>
          <w:lang w:val="en"/>
        </w:rPr>
        <w:t xml:space="preserve"> </w:t>
      </w:r>
      <w:r w:rsidR="004B2B23">
        <w:rPr>
          <w:lang w:val="en"/>
        </w:rPr>
        <w:t xml:space="preserve">(APAC) </w:t>
      </w:r>
      <w:r>
        <w:rPr>
          <w:lang w:val="en"/>
        </w:rPr>
        <w:t xml:space="preserve">countries </w:t>
      </w:r>
      <w:r w:rsidR="005C11CF">
        <w:rPr>
          <w:lang w:val="en"/>
        </w:rPr>
        <w:t>that was conducted in 2015 by a collaboration of 16 universities</w:t>
      </w:r>
      <w:r>
        <w:rPr>
          <w:lang w:val="en"/>
        </w:rPr>
        <w:t xml:space="preserve">. This article reports a number of significant changes in media relations and </w:t>
      </w:r>
      <w:r w:rsidR="00B95956">
        <w:rPr>
          <w:lang w:val="en"/>
        </w:rPr>
        <w:t xml:space="preserve">in </w:t>
      </w:r>
      <w:r>
        <w:rPr>
          <w:lang w:val="en"/>
        </w:rPr>
        <w:t xml:space="preserve">content production and distribution </w:t>
      </w:r>
      <w:r w:rsidR="00C84EC7">
        <w:rPr>
          <w:lang w:val="en"/>
        </w:rPr>
        <w:t xml:space="preserve">identified in this research </w:t>
      </w:r>
      <w:r>
        <w:rPr>
          <w:lang w:val="en"/>
        </w:rPr>
        <w:t>that flip the PESO model on its head and identify new priorities and practices.</w:t>
      </w:r>
      <w:r w:rsidR="00C84EC7">
        <w:rPr>
          <w:lang w:val="en"/>
        </w:rPr>
        <w:t xml:space="preserve"> </w:t>
      </w:r>
      <w:r w:rsidR="003D074C">
        <w:rPr>
          <w:lang w:val="en"/>
        </w:rPr>
        <w:t>I</w:t>
      </w:r>
      <w:r w:rsidR="00C84EC7">
        <w:rPr>
          <w:lang w:val="en"/>
        </w:rPr>
        <w:t>t goes beyond celebratory discussion of new opportunities to critically examine ethical concerns raised by some new practices that, as yet, have been insufficiently identified and examined.</w:t>
      </w:r>
    </w:p>
    <w:p w14:paraId="4DE0F40B" w14:textId="77777777" w:rsidR="00EF3E05" w:rsidRDefault="00EF3E05" w:rsidP="00775827">
      <w:pPr>
        <w:rPr>
          <w:lang w:val="en"/>
        </w:rPr>
      </w:pPr>
    </w:p>
    <w:p w14:paraId="49FF1839" w14:textId="7871CE56" w:rsidR="006B5178" w:rsidRPr="00D06FF8" w:rsidRDefault="00D83113" w:rsidP="00775827">
      <w:pPr>
        <w:ind w:left="426" w:hanging="426"/>
        <w:rPr>
          <w:b/>
          <w:sz w:val="28"/>
          <w:szCs w:val="28"/>
        </w:rPr>
      </w:pPr>
      <w:r>
        <w:rPr>
          <w:b/>
          <w:sz w:val="28"/>
          <w:szCs w:val="28"/>
        </w:rPr>
        <w:t xml:space="preserve">3. </w:t>
      </w:r>
      <w:r>
        <w:rPr>
          <w:b/>
          <w:sz w:val="28"/>
          <w:szCs w:val="28"/>
        </w:rPr>
        <w:tab/>
      </w:r>
      <w:r w:rsidR="006B5178">
        <w:rPr>
          <w:b/>
          <w:sz w:val="28"/>
          <w:szCs w:val="28"/>
        </w:rPr>
        <w:t>Research question</w:t>
      </w:r>
      <w:r w:rsidR="005A0A44">
        <w:rPr>
          <w:b/>
          <w:sz w:val="28"/>
          <w:szCs w:val="28"/>
        </w:rPr>
        <w:t>s</w:t>
      </w:r>
    </w:p>
    <w:p w14:paraId="1B79476B" w14:textId="77777777" w:rsidR="00877C55" w:rsidRDefault="00877C55" w:rsidP="00775827">
      <w:pPr>
        <w:ind w:firstLine="426"/>
      </w:pPr>
    </w:p>
    <w:p w14:paraId="48C003BD" w14:textId="7A105A8B" w:rsidR="001043F0" w:rsidRDefault="001043F0" w:rsidP="00775827">
      <w:pPr>
        <w:ind w:firstLine="426"/>
      </w:pPr>
      <w:r>
        <w:t xml:space="preserve">The </w:t>
      </w:r>
      <w:r w:rsidR="00372958">
        <w:rPr>
          <w:i/>
        </w:rPr>
        <w:t>Asia-Pacific</w:t>
      </w:r>
      <w:r w:rsidRPr="001043F0">
        <w:rPr>
          <w:i/>
        </w:rPr>
        <w:t xml:space="preserve"> Communication Monitor</w:t>
      </w:r>
      <w:r>
        <w:t xml:space="preserve"> asked </w:t>
      </w:r>
      <w:r w:rsidR="00A60F7B">
        <w:t xml:space="preserve">PR and </w:t>
      </w:r>
      <w:r w:rsidR="00372958">
        <w:t xml:space="preserve">communication practitioners in the APAC region </w:t>
      </w:r>
      <w:r>
        <w:t>a range of questions in relation to media strategies</w:t>
      </w:r>
      <w:r>
        <w:rPr>
          <w:rStyle w:val="EndnoteReference"/>
        </w:rPr>
        <w:endnoteReference w:id="1"/>
      </w:r>
      <w:r>
        <w:t xml:space="preserve">, measurement and evaluation, issues of concern, skills, and job satisfaction. </w:t>
      </w:r>
      <w:r w:rsidR="006F18D3">
        <w:t xml:space="preserve">Based on the </w:t>
      </w:r>
      <w:r w:rsidR="00C548E0">
        <w:t>evidence of change in media practices as outlined, this analysis explored t</w:t>
      </w:r>
      <w:r w:rsidR="004B2B23">
        <w:t>hree research questions as follows:</w:t>
      </w:r>
    </w:p>
    <w:p w14:paraId="1BC323C6" w14:textId="77777777" w:rsidR="001043F0" w:rsidRDefault="001043F0" w:rsidP="00775827">
      <w:pPr>
        <w:ind w:firstLine="426"/>
      </w:pPr>
    </w:p>
    <w:p w14:paraId="4A8CC254" w14:textId="4E1A9BEC" w:rsidR="00BB571A" w:rsidRPr="00595632" w:rsidRDefault="006F18D3" w:rsidP="00775827">
      <w:pPr>
        <w:ind w:left="426"/>
        <w:rPr>
          <w:lang w:val="en-GB"/>
        </w:rPr>
      </w:pPr>
      <w:r>
        <w:rPr>
          <w:lang w:val="en-GB"/>
        </w:rPr>
        <w:t>RQ</w:t>
      </w:r>
      <w:r w:rsidR="00595632">
        <w:rPr>
          <w:lang w:val="en-GB"/>
        </w:rPr>
        <w:t>1</w:t>
      </w:r>
      <w:r w:rsidR="00C548E0">
        <w:rPr>
          <w:lang w:val="en-GB"/>
        </w:rPr>
        <w:t>.</w:t>
      </w:r>
      <w:r w:rsidR="00E37069">
        <w:rPr>
          <w:lang w:val="en-GB"/>
        </w:rPr>
        <w:t xml:space="preserve"> </w:t>
      </w:r>
      <w:r w:rsidR="00BB571A" w:rsidRPr="00595632">
        <w:rPr>
          <w:lang w:val="en-GB"/>
        </w:rPr>
        <w:t xml:space="preserve">What are the </w:t>
      </w:r>
      <w:r w:rsidR="00C66AB4">
        <w:rPr>
          <w:lang w:val="en-GB"/>
        </w:rPr>
        <w:t>most important</w:t>
      </w:r>
      <w:r w:rsidR="00BB571A" w:rsidRPr="00595632">
        <w:rPr>
          <w:lang w:val="en-GB"/>
        </w:rPr>
        <w:t xml:space="preserve"> media channels and content formats that APAC practitioners use today?</w:t>
      </w:r>
    </w:p>
    <w:p w14:paraId="4151F843" w14:textId="77777777" w:rsidR="00E37069" w:rsidRPr="00877C55" w:rsidRDefault="00E37069" w:rsidP="00775827">
      <w:pPr>
        <w:ind w:left="426"/>
        <w:rPr>
          <w:sz w:val="16"/>
          <w:szCs w:val="16"/>
          <w:lang w:val="en-GB"/>
        </w:rPr>
      </w:pPr>
    </w:p>
    <w:p w14:paraId="2CE70B70" w14:textId="4D540A89" w:rsidR="00E37069" w:rsidRDefault="006F18D3" w:rsidP="00775827">
      <w:pPr>
        <w:ind w:left="426"/>
        <w:rPr>
          <w:lang w:val="en-GB"/>
        </w:rPr>
      </w:pPr>
      <w:r>
        <w:rPr>
          <w:lang w:val="en-GB"/>
        </w:rPr>
        <w:t>RQ2</w:t>
      </w:r>
      <w:r w:rsidR="00C548E0">
        <w:rPr>
          <w:lang w:val="en-GB"/>
        </w:rPr>
        <w:t>.</w:t>
      </w:r>
      <w:r w:rsidR="00E37069">
        <w:rPr>
          <w:lang w:val="en-GB"/>
        </w:rPr>
        <w:t xml:space="preserve"> </w:t>
      </w:r>
      <w:r w:rsidR="00BB571A" w:rsidRPr="00595632">
        <w:rPr>
          <w:lang w:val="en-GB"/>
        </w:rPr>
        <w:t xml:space="preserve">What are the </w:t>
      </w:r>
      <w:r w:rsidR="00C66AB4">
        <w:rPr>
          <w:lang w:val="en-GB"/>
        </w:rPr>
        <w:t>most important</w:t>
      </w:r>
      <w:r w:rsidR="00BB571A" w:rsidRPr="00595632">
        <w:rPr>
          <w:lang w:val="en-GB"/>
        </w:rPr>
        <w:t xml:space="preserve"> media channels and content formats that practitioners expect to use in the next three years (i.e., by 2018)?</w:t>
      </w:r>
    </w:p>
    <w:p w14:paraId="61A335CE" w14:textId="77777777" w:rsidR="00E37069" w:rsidRPr="00877C55" w:rsidRDefault="00E37069" w:rsidP="00775827">
      <w:pPr>
        <w:ind w:left="426"/>
        <w:rPr>
          <w:sz w:val="16"/>
          <w:szCs w:val="16"/>
          <w:lang w:val="en-GB"/>
        </w:rPr>
      </w:pPr>
    </w:p>
    <w:p w14:paraId="79EDA0C5" w14:textId="2C24F66C" w:rsidR="00BB571A" w:rsidRPr="00595632" w:rsidRDefault="006F18D3" w:rsidP="00775827">
      <w:pPr>
        <w:ind w:left="426"/>
        <w:rPr>
          <w:lang w:val="en-GB"/>
        </w:rPr>
      </w:pPr>
      <w:r>
        <w:rPr>
          <w:lang w:val="en-GB"/>
        </w:rPr>
        <w:t>RQ3</w:t>
      </w:r>
      <w:r w:rsidR="00C548E0">
        <w:rPr>
          <w:lang w:val="en-GB"/>
        </w:rPr>
        <w:t>.</w:t>
      </w:r>
      <w:r w:rsidR="00E37069">
        <w:rPr>
          <w:lang w:val="en-GB"/>
        </w:rPr>
        <w:t xml:space="preserve"> </w:t>
      </w:r>
      <w:r w:rsidR="00BB571A" w:rsidRPr="00595632">
        <w:rPr>
          <w:lang w:val="en-GB"/>
        </w:rPr>
        <w:t>Specifically, what is the relative importance of paid</w:t>
      </w:r>
      <w:r w:rsidR="001043F0" w:rsidRPr="00595632">
        <w:rPr>
          <w:lang w:val="en-GB"/>
        </w:rPr>
        <w:t xml:space="preserve"> (including strategic partnerships)</w:t>
      </w:r>
      <w:r w:rsidR="00BB571A" w:rsidRPr="00595632">
        <w:rPr>
          <w:lang w:val="en-GB"/>
        </w:rPr>
        <w:t xml:space="preserve">, earned, owned, and </w:t>
      </w:r>
      <w:r w:rsidR="001043F0" w:rsidRPr="00595632">
        <w:rPr>
          <w:lang w:val="en-GB"/>
        </w:rPr>
        <w:t xml:space="preserve">shared </w:t>
      </w:r>
      <w:r w:rsidR="00BB571A" w:rsidRPr="00595632">
        <w:rPr>
          <w:lang w:val="en-GB"/>
        </w:rPr>
        <w:t>social media</w:t>
      </w:r>
      <w:r w:rsidR="00CF13D0" w:rsidRPr="00595632">
        <w:rPr>
          <w:lang w:val="en-GB"/>
        </w:rPr>
        <w:t xml:space="preserve"> </w:t>
      </w:r>
      <w:r w:rsidR="00BA09DC">
        <w:rPr>
          <w:lang w:val="en-GB"/>
        </w:rPr>
        <w:t>now</w:t>
      </w:r>
      <w:r w:rsidR="00CF13D0" w:rsidRPr="00595632">
        <w:rPr>
          <w:lang w:val="en-GB"/>
        </w:rPr>
        <w:t xml:space="preserve"> and over the next three years (i.e., by 2018)</w:t>
      </w:r>
      <w:r w:rsidR="00372958">
        <w:rPr>
          <w:lang w:val="en-GB"/>
        </w:rPr>
        <w:t>?</w:t>
      </w:r>
    </w:p>
    <w:p w14:paraId="72A490D7" w14:textId="77777777" w:rsidR="006B5178" w:rsidRDefault="006B5178" w:rsidP="00775827">
      <w:pPr>
        <w:rPr>
          <w:lang w:val="en"/>
        </w:rPr>
      </w:pPr>
    </w:p>
    <w:p w14:paraId="2E558F5A" w14:textId="76DB3D3F" w:rsidR="00D06FF8" w:rsidRPr="00D06FF8" w:rsidRDefault="00BA2F19" w:rsidP="00775827">
      <w:pPr>
        <w:ind w:left="426" w:hanging="426"/>
        <w:rPr>
          <w:b/>
          <w:sz w:val="28"/>
          <w:szCs w:val="28"/>
        </w:rPr>
      </w:pPr>
      <w:r>
        <w:rPr>
          <w:b/>
          <w:sz w:val="28"/>
          <w:szCs w:val="28"/>
        </w:rPr>
        <w:t>4</w:t>
      </w:r>
      <w:r w:rsidR="00D83113">
        <w:rPr>
          <w:b/>
          <w:sz w:val="28"/>
          <w:szCs w:val="28"/>
        </w:rPr>
        <w:t xml:space="preserve">. </w:t>
      </w:r>
      <w:r w:rsidR="00D83113">
        <w:rPr>
          <w:b/>
          <w:sz w:val="28"/>
          <w:szCs w:val="28"/>
        </w:rPr>
        <w:tab/>
      </w:r>
      <w:r w:rsidR="00D06FF8" w:rsidRPr="00D06FF8">
        <w:rPr>
          <w:b/>
          <w:sz w:val="28"/>
          <w:szCs w:val="28"/>
        </w:rPr>
        <w:t>Methodology</w:t>
      </w:r>
    </w:p>
    <w:p w14:paraId="2369444B" w14:textId="77777777" w:rsidR="00D06FF8" w:rsidRDefault="00D06FF8" w:rsidP="00775827"/>
    <w:p w14:paraId="186DA77F" w14:textId="4F91A8BD" w:rsidR="001F4E8E" w:rsidRDefault="00D06FF8" w:rsidP="00775827">
      <w:pPr>
        <w:ind w:firstLine="426"/>
        <w:rPr>
          <w:lang w:val="en-GB"/>
        </w:rPr>
      </w:pPr>
      <w:r w:rsidRPr="00D06FF8">
        <w:rPr>
          <w:lang w:val="en-GB"/>
        </w:rPr>
        <w:t xml:space="preserve">The </w:t>
      </w:r>
      <w:r w:rsidRPr="001F4E8E">
        <w:rPr>
          <w:i/>
          <w:lang w:val="en-GB"/>
        </w:rPr>
        <w:t>Asia-Pacific Communication Monitor</w:t>
      </w:r>
      <w:r w:rsidRPr="00D06FF8">
        <w:rPr>
          <w:lang w:val="en-GB"/>
        </w:rPr>
        <w:t xml:space="preserve"> (APCM) is a transnational survey </w:t>
      </w:r>
      <w:r w:rsidR="001F4E8E">
        <w:rPr>
          <w:lang w:val="en-GB"/>
        </w:rPr>
        <w:t xml:space="preserve">of PR and </w:t>
      </w:r>
      <w:r w:rsidR="00733411">
        <w:rPr>
          <w:lang w:val="en-GB"/>
        </w:rPr>
        <w:t xml:space="preserve">corporate </w:t>
      </w:r>
      <w:r w:rsidR="001F4E8E">
        <w:rPr>
          <w:lang w:val="en-GB"/>
        </w:rPr>
        <w:t xml:space="preserve">communication practitioners modelled on the </w:t>
      </w:r>
      <w:r w:rsidR="001F4E8E" w:rsidRPr="001F4E8E">
        <w:rPr>
          <w:i/>
          <w:lang w:val="en-GB"/>
        </w:rPr>
        <w:t>European Communication Monitor</w:t>
      </w:r>
      <w:r w:rsidR="001F4E8E">
        <w:rPr>
          <w:lang w:val="en-GB"/>
        </w:rPr>
        <w:t xml:space="preserve"> </w:t>
      </w:r>
      <w:r w:rsidR="001F4E8E" w:rsidRPr="005D04E0">
        <w:rPr>
          <w:lang w:val="en-GB"/>
        </w:rPr>
        <w:t>(ECM) that has been conducted annually since 2007</w:t>
      </w:r>
      <w:r w:rsidR="005D04E0" w:rsidRPr="005D04E0">
        <w:rPr>
          <w:lang w:val="en-GB"/>
        </w:rPr>
        <w:t xml:space="preserve"> (e.g., </w:t>
      </w:r>
      <w:proofErr w:type="spellStart"/>
      <w:r w:rsidR="00E37069">
        <w:rPr>
          <w:bCs/>
          <w:lang w:val="en-GB"/>
        </w:rPr>
        <w:t>Zerfass</w:t>
      </w:r>
      <w:proofErr w:type="spellEnd"/>
      <w:r w:rsidR="00E37069">
        <w:rPr>
          <w:bCs/>
          <w:lang w:val="en-GB"/>
        </w:rPr>
        <w:t xml:space="preserve">, </w:t>
      </w:r>
      <w:proofErr w:type="spellStart"/>
      <w:r w:rsidR="00E37069">
        <w:rPr>
          <w:bCs/>
          <w:lang w:val="en-GB"/>
        </w:rPr>
        <w:t>Verčič</w:t>
      </w:r>
      <w:proofErr w:type="spellEnd"/>
      <w:r w:rsidR="00E37069">
        <w:rPr>
          <w:bCs/>
          <w:lang w:val="en-GB"/>
        </w:rPr>
        <w:t xml:space="preserve">, </w:t>
      </w:r>
      <w:proofErr w:type="spellStart"/>
      <w:r w:rsidR="00E37069">
        <w:rPr>
          <w:bCs/>
          <w:lang w:val="en-GB"/>
        </w:rPr>
        <w:t>Verhoeven</w:t>
      </w:r>
      <w:proofErr w:type="spellEnd"/>
      <w:r w:rsidR="00E37069">
        <w:rPr>
          <w:bCs/>
          <w:lang w:val="en-GB"/>
        </w:rPr>
        <w:t xml:space="preserve">, </w:t>
      </w:r>
      <w:r w:rsidR="005D04E0" w:rsidRPr="00372958">
        <w:rPr>
          <w:bCs/>
          <w:lang w:val="en-GB"/>
        </w:rPr>
        <w:t>Moreno, &amp; Tench, 2015)</w:t>
      </w:r>
      <w:r w:rsidR="001F4E8E" w:rsidRPr="005D04E0">
        <w:rPr>
          <w:lang w:val="en-GB"/>
        </w:rPr>
        <w:t>. An APCM study was conducted for the first time in 2015</w:t>
      </w:r>
      <w:r w:rsidR="005C11CF">
        <w:rPr>
          <w:lang w:val="en-GB"/>
        </w:rPr>
        <w:t xml:space="preserve"> through a collaboration of European and </w:t>
      </w:r>
      <w:r w:rsidR="00E37069">
        <w:rPr>
          <w:lang w:val="en-GB"/>
        </w:rPr>
        <w:t>APAC</w:t>
      </w:r>
      <w:r w:rsidR="005C11CF">
        <w:rPr>
          <w:lang w:val="en-GB"/>
        </w:rPr>
        <w:t xml:space="preserve"> universities with support from a number of industry organizations</w:t>
      </w:r>
      <w:r w:rsidR="001F4E8E" w:rsidRPr="005D04E0">
        <w:rPr>
          <w:lang w:val="en-GB"/>
        </w:rPr>
        <w:t xml:space="preserve">. It involved a </w:t>
      </w:r>
      <w:r w:rsidR="001F4E8E">
        <w:rPr>
          <w:lang w:val="en-GB"/>
        </w:rPr>
        <w:t xml:space="preserve">structured online survey questionnaire that was completed by 1,200 practitioners in 23 </w:t>
      </w:r>
      <w:r w:rsidR="004B2B23">
        <w:rPr>
          <w:lang w:val="en-GB"/>
        </w:rPr>
        <w:t>APAC</w:t>
      </w:r>
      <w:r w:rsidR="001F4E8E">
        <w:rPr>
          <w:lang w:val="en-GB"/>
        </w:rPr>
        <w:t xml:space="preserve"> countries.</w:t>
      </w:r>
    </w:p>
    <w:p w14:paraId="41BF7A18" w14:textId="77777777" w:rsidR="001F4E8E" w:rsidRDefault="001F4E8E" w:rsidP="00775827">
      <w:pPr>
        <w:rPr>
          <w:lang w:val="en-GB"/>
        </w:rPr>
      </w:pPr>
    </w:p>
    <w:p w14:paraId="69BBC514" w14:textId="6923B90C" w:rsidR="001F4E8E" w:rsidRPr="00EA07BA" w:rsidRDefault="00595632" w:rsidP="00775827">
      <w:pPr>
        <w:ind w:left="426" w:hanging="426"/>
        <w:rPr>
          <w:i/>
          <w:lang w:val="en-GB"/>
        </w:rPr>
      </w:pPr>
      <w:r>
        <w:rPr>
          <w:i/>
          <w:lang w:val="en-GB"/>
        </w:rPr>
        <w:t>4</w:t>
      </w:r>
      <w:r w:rsidR="00D83113">
        <w:rPr>
          <w:i/>
          <w:lang w:val="en-GB"/>
        </w:rPr>
        <w:t>.1</w:t>
      </w:r>
      <w:r w:rsidR="00D83113">
        <w:rPr>
          <w:i/>
          <w:lang w:val="en-GB"/>
        </w:rPr>
        <w:tab/>
      </w:r>
      <w:r w:rsidR="001F4E8E" w:rsidRPr="00EA07BA">
        <w:rPr>
          <w:i/>
          <w:lang w:val="en-GB"/>
        </w:rPr>
        <w:t>Sample</w:t>
      </w:r>
    </w:p>
    <w:p w14:paraId="655AFBCF" w14:textId="4749B377" w:rsidR="001E0A4C" w:rsidRPr="004A2C5E" w:rsidRDefault="00ED42EB" w:rsidP="00775827">
      <w:pPr>
        <w:ind w:firstLine="426"/>
      </w:pPr>
      <w:r w:rsidRPr="001F4E8E">
        <w:rPr>
          <w:lang w:val="en-GB"/>
        </w:rPr>
        <w:t xml:space="preserve">More than 21,000 </w:t>
      </w:r>
      <w:r>
        <w:rPr>
          <w:lang w:val="en-GB"/>
        </w:rPr>
        <w:t>communication practitioners</w:t>
      </w:r>
      <w:r w:rsidRPr="001F4E8E">
        <w:rPr>
          <w:lang w:val="en-GB"/>
        </w:rPr>
        <w:t xml:space="preserve"> </w:t>
      </w:r>
      <w:r>
        <w:rPr>
          <w:lang w:val="en-GB"/>
        </w:rPr>
        <w:t>in</w:t>
      </w:r>
      <w:r w:rsidRPr="001F4E8E">
        <w:rPr>
          <w:lang w:val="en-GB"/>
        </w:rPr>
        <w:t xml:space="preserve"> </w:t>
      </w:r>
      <w:r w:rsidR="00E37069">
        <w:rPr>
          <w:lang w:val="en-GB"/>
        </w:rPr>
        <w:t>APAC</w:t>
      </w:r>
      <w:r w:rsidRPr="001F4E8E">
        <w:rPr>
          <w:lang w:val="en-GB"/>
        </w:rPr>
        <w:t xml:space="preserve"> </w:t>
      </w:r>
      <w:r w:rsidR="00643250">
        <w:rPr>
          <w:lang w:val="en-GB"/>
        </w:rPr>
        <w:t xml:space="preserve">whose contact details are held in a </w:t>
      </w:r>
      <w:r w:rsidR="00643250" w:rsidRPr="001F4E8E">
        <w:rPr>
          <w:lang w:val="en-GB"/>
        </w:rPr>
        <w:t xml:space="preserve">database </w:t>
      </w:r>
      <w:r w:rsidR="00643250">
        <w:rPr>
          <w:lang w:val="en-GB"/>
        </w:rPr>
        <w:t>of</w:t>
      </w:r>
      <w:r w:rsidR="00643250" w:rsidRPr="001F4E8E">
        <w:rPr>
          <w:lang w:val="en-GB"/>
        </w:rPr>
        <w:t xml:space="preserve"> the Asia-Pacific Association of Communication Directors (APACD)</w:t>
      </w:r>
      <w:r w:rsidR="00643250">
        <w:rPr>
          <w:lang w:val="en-GB"/>
        </w:rPr>
        <w:t xml:space="preserve"> </w:t>
      </w:r>
      <w:r w:rsidRPr="001F4E8E">
        <w:rPr>
          <w:lang w:val="en-GB"/>
        </w:rPr>
        <w:t xml:space="preserve">were invited </w:t>
      </w:r>
      <w:r>
        <w:rPr>
          <w:lang w:val="en-GB"/>
        </w:rPr>
        <w:t xml:space="preserve">to participate via </w:t>
      </w:r>
      <w:r w:rsidR="00C84EC7">
        <w:rPr>
          <w:lang w:val="en-GB"/>
        </w:rPr>
        <w:t>e-mail invitation</w:t>
      </w:r>
      <w:r w:rsidR="00643250">
        <w:rPr>
          <w:lang w:val="en-GB"/>
        </w:rPr>
        <w:t xml:space="preserve">. </w:t>
      </w:r>
      <w:r w:rsidRPr="001F4E8E">
        <w:rPr>
          <w:lang w:val="en-GB"/>
        </w:rPr>
        <w:t xml:space="preserve">Additional invitations were </w:t>
      </w:r>
      <w:r>
        <w:rPr>
          <w:lang w:val="en-GB"/>
        </w:rPr>
        <w:t xml:space="preserve">distributed </w:t>
      </w:r>
      <w:r w:rsidR="00C84EC7">
        <w:rPr>
          <w:lang w:val="en-GB"/>
        </w:rPr>
        <w:t xml:space="preserve">by </w:t>
      </w:r>
      <w:r w:rsidR="00A60F7B">
        <w:rPr>
          <w:lang w:val="en-GB"/>
        </w:rPr>
        <w:t xml:space="preserve">supporting universities and </w:t>
      </w:r>
      <w:r w:rsidRPr="001F4E8E">
        <w:rPr>
          <w:lang w:val="en-GB"/>
        </w:rPr>
        <w:t xml:space="preserve">professional </w:t>
      </w:r>
      <w:r>
        <w:rPr>
          <w:lang w:val="en-GB"/>
        </w:rPr>
        <w:t xml:space="preserve">PR and communication </w:t>
      </w:r>
      <w:r w:rsidRPr="001F4E8E">
        <w:rPr>
          <w:lang w:val="en-GB"/>
        </w:rPr>
        <w:t>associations</w:t>
      </w:r>
      <w:r>
        <w:rPr>
          <w:lang w:val="en-GB"/>
        </w:rPr>
        <w:t xml:space="preserve"> in the region</w:t>
      </w:r>
      <w:r w:rsidR="00643250">
        <w:rPr>
          <w:lang w:val="en-GB"/>
        </w:rPr>
        <w:t xml:space="preserve"> to their members</w:t>
      </w:r>
      <w:r w:rsidRPr="001F4E8E">
        <w:rPr>
          <w:lang w:val="en-GB"/>
        </w:rPr>
        <w:t xml:space="preserve">. </w:t>
      </w:r>
      <w:r w:rsidR="00643250">
        <w:rPr>
          <w:lang w:val="en-GB"/>
        </w:rPr>
        <w:t xml:space="preserve">This participant recruitment approach </w:t>
      </w:r>
      <w:r w:rsidR="00B95956">
        <w:rPr>
          <w:lang w:val="en-GB"/>
        </w:rPr>
        <w:t>provided</w:t>
      </w:r>
      <w:r w:rsidR="00643250">
        <w:rPr>
          <w:lang w:val="en-GB"/>
        </w:rPr>
        <w:t xml:space="preserve"> </w:t>
      </w:r>
      <w:r w:rsidR="001E0A4C">
        <w:rPr>
          <w:lang w:val="en-GB"/>
        </w:rPr>
        <w:t>sampling validity, as the questionnaire was made available to pre-qualified participants across a wide range of PR and communication roles and functions</w:t>
      </w:r>
      <w:r w:rsidR="00643250">
        <w:rPr>
          <w:lang w:val="en-GB"/>
        </w:rPr>
        <w:t xml:space="preserve">. </w:t>
      </w:r>
      <w:r w:rsidR="001E0A4C" w:rsidRPr="004A2C5E">
        <w:t xml:space="preserve">The online survey was pre-tested in July 2015 with 68 communication professionals in 14 </w:t>
      </w:r>
      <w:r w:rsidR="00E37069">
        <w:t>APAC</w:t>
      </w:r>
      <w:r w:rsidR="001E0A4C" w:rsidRPr="004A2C5E">
        <w:t xml:space="preserve"> countries. Amendments were made where appropriate and the final questionnaire was activated for four weeks in August 2015. </w:t>
      </w:r>
    </w:p>
    <w:p w14:paraId="373F388B" w14:textId="033E591D" w:rsidR="0003250B" w:rsidRDefault="00ED42EB" w:rsidP="00775827">
      <w:pPr>
        <w:ind w:firstLine="426"/>
        <w:rPr>
          <w:lang w:val="en-GB"/>
        </w:rPr>
      </w:pPr>
      <w:r>
        <w:rPr>
          <w:lang w:val="en-GB"/>
        </w:rPr>
        <w:t xml:space="preserve">A total of </w:t>
      </w:r>
      <w:r w:rsidRPr="001F4E8E">
        <w:rPr>
          <w:lang w:val="en-GB"/>
        </w:rPr>
        <w:t xml:space="preserve">2,154 </w:t>
      </w:r>
      <w:r>
        <w:rPr>
          <w:lang w:val="en-GB"/>
        </w:rPr>
        <w:t>participants</w:t>
      </w:r>
      <w:r w:rsidRPr="001F4E8E">
        <w:rPr>
          <w:lang w:val="en-GB"/>
        </w:rPr>
        <w:t xml:space="preserve"> started the survey</w:t>
      </w:r>
      <w:r>
        <w:rPr>
          <w:lang w:val="en-GB"/>
        </w:rPr>
        <w:t xml:space="preserve">, with </w:t>
      </w:r>
      <w:r w:rsidRPr="001F4E8E">
        <w:rPr>
          <w:lang w:val="en-GB"/>
        </w:rPr>
        <w:t xml:space="preserve">1,200 </w:t>
      </w:r>
      <w:r w:rsidR="001E0A4C">
        <w:rPr>
          <w:lang w:val="en-GB"/>
        </w:rPr>
        <w:t>submitting</w:t>
      </w:r>
      <w:r>
        <w:rPr>
          <w:lang w:val="en-GB"/>
        </w:rPr>
        <w:t xml:space="preserve"> fully completed questionnaires – an initial participation rate of almost 10% and a completion rate of 5%.</w:t>
      </w:r>
      <w:r w:rsidR="00C84EC7">
        <w:rPr>
          <w:lang w:val="en-GB"/>
        </w:rPr>
        <w:t xml:space="preserve"> Only completed survey questionnaires were used in the analysis.</w:t>
      </w:r>
      <w:r w:rsidR="0029215C">
        <w:rPr>
          <w:lang w:val="en-GB"/>
        </w:rPr>
        <w:t xml:space="preserve"> </w:t>
      </w:r>
      <w:r w:rsidR="001E0A4C">
        <w:rPr>
          <w:lang w:val="en-GB"/>
        </w:rPr>
        <w:t>The</w:t>
      </w:r>
      <w:r w:rsidR="0003250B">
        <w:rPr>
          <w:lang w:val="en-GB"/>
        </w:rPr>
        <w:t xml:space="preserve"> countries with </w:t>
      </w:r>
      <w:r w:rsidR="0003250B" w:rsidRPr="001F4E8E">
        <w:rPr>
          <w:lang w:val="en-GB"/>
        </w:rPr>
        <w:t xml:space="preserve">the largest </w:t>
      </w:r>
      <w:r w:rsidR="0003250B" w:rsidRPr="001F4E8E">
        <w:rPr>
          <w:lang w:val="en-GB"/>
        </w:rPr>
        <w:lastRenderedPageBreak/>
        <w:t xml:space="preserve">number of </w:t>
      </w:r>
      <w:r w:rsidR="0003250B">
        <w:rPr>
          <w:lang w:val="en-GB"/>
        </w:rPr>
        <w:t>participants were India, Australia, Singa</w:t>
      </w:r>
      <w:r w:rsidR="0003250B" w:rsidRPr="001F4E8E">
        <w:rPr>
          <w:lang w:val="en-GB"/>
        </w:rPr>
        <w:t>pore, Hong Kong and China, followed by Vietnam, Thailand</w:t>
      </w:r>
      <w:r w:rsidR="00650618">
        <w:rPr>
          <w:lang w:val="en-GB"/>
        </w:rPr>
        <w:t>,</w:t>
      </w:r>
      <w:r w:rsidR="0003250B" w:rsidRPr="001F4E8E">
        <w:rPr>
          <w:lang w:val="en-GB"/>
        </w:rPr>
        <w:t xml:space="preserve"> and Malaysia.</w:t>
      </w:r>
    </w:p>
    <w:p w14:paraId="49EE70E2" w14:textId="15B13AD3" w:rsidR="007B38AE" w:rsidRDefault="007D55A8" w:rsidP="00775827">
      <w:pPr>
        <w:ind w:firstLine="426"/>
        <w:rPr>
          <w:lang w:val="en-GB"/>
        </w:rPr>
      </w:pPr>
      <w:r w:rsidRPr="004A2C5E">
        <w:t xml:space="preserve">Three-quarters of the respondents hold senior communication leadership or management roles. Of these, 43.8% hold the most senior communication position </w:t>
      </w:r>
      <w:r w:rsidR="00650618">
        <w:t xml:space="preserve">in their organization </w:t>
      </w:r>
      <w:r w:rsidRPr="004A2C5E">
        <w:t>as head of communication or CEO of a communication consultancy, and 33.2% are unit leaders or in charge of a commun</w:t>
      </w:r>
      <w:r w:rsidR="002352CF">
        <w:t>ication discipline in an organiz</w:t>
      </w:r>
      <w:r w:rsidRPr="004A2C5E">
        <w:t xml:space="preserve">ation (e.g., media relations). Almost two-thirds (62.7%) of the </w:t>
      </w:r>
      <w:r w:rsidR="00650618">
        <w:t>respondents</w:t>
      </w:r>
      <w:r w:rsidRPr="004A2C5E">
        <w:t xml:space="preserve"> have more than 10 years of experience in </w:t>
      </w:r>
      <w:r w:rsidR="00650618">
        <w:t>PR or corporate communication</w:t>
      </w:r>
      <w:r w:rsidRPr="004A2C5E">
        <w:t xml:space="preserve">. Most are highly educated, with 96.9% holding a diploma or degree and 55.9% holding at least one university degree. More than half (56.9%) of </w:t>
      </w:r>
      <w:r w:rsidR="00650618">
        <w:t xml:space="preserve">the </w:t>
      </w:r>
      <w:r w:rsidRPr="004A2C5E">
        <w:t xml:space="preserve">respondents are female and the average age across the sample is 41 years. </w:t>
      </w:r>
      <w:r w:rsidR="00EA07BA">
        <w:rPr>
          <w:lang w:val="en-GB"/>
        </w:rPr>
        <w:t>Therefore, the study reported the views of experienced, well-educated, senior practitioners in the region.</w:t>
      </w:r>
    </w:p>
    <w:p w14:paraId="0CDDB562" w14:textId="5FD9B00E" w:rsidR="00EA07BA" w:rsidRDefault="00EA07BA" w:rsidP="00775827">
      <w:pPr>
        <w:keepNext/>
        <w:ind w:firstLine="426"/>
        <w:rPr>
          <w:lang w:val="en-GB"/>
        </w:rPr>
      </w:pPr>
      <w:r>
        <w:rPr>
          <w:lang w:val="en-GB"/>
        </w:rPr>
        <w:t>Slightly more than one</w:t>
      </w:r>
      <w:r w:rsidRPr="001F4E8E">
        <w:rPr>
          <w:lang w:val="en-GB"/>
        </w:rPr>
        <w:t xml:space="preserve"> quarter of the </w:t>
      </w:r>
      <w:r>
        <w:rPr>
          <w:lang w:val="en-GB"/>
        </w:rPr>
        <w:t>participants (25.7%</w:t>
      </w:r>
      <w:r w:rsidRPr="001F4E8E">
        <w:rPr>
          <w:lang w:val="en-GB"/>
        </w:rPr>
        <w:t>) work in multinational</w:t>
      </w:r>
      <w:r w:rsidR="00BB074A">
        <w:rPr>
          <w:lang w:val="en-GB"/>
        </w:rPr>
        <w:t xml:space="preserve"> </w:t>
      </w:r>
      <w:r>
        <w:rPr>
          <w:lang w:val="en-GB"/>
        </w:rPr>
        <w:t>organiz</w:t>
      </w:r>
      <w:r w:rsidRPr="001F4E8E">
        <w:rPr>
          <w:lang w:val="en-GB"/>
        </w:rPr>
        <w:t xml:space="preserve">ations </w:t>
      </w:r>
      <w:r w:rsidR="00650618">
        <w:rPr>
          <w:lang w:val="en-GB"/>
        </w:rPr>
        <w:t>founded or based</w:t>
      </w:r>
      <w:r w:rsidR="0003250B">
        <w:rPr>
          <w:lang w:val="en-GB"/>
        </w:rPr>
        <w:t xml:space="preserve"> in </w:t>
      </w:r>
      <w:r w:rsidR="00E37069">
        <w:rPr>
          <w:lang w:val="en-GB"/>
        </w:rPr>
        <w:t>APAC</w:t>
      </w:r>
      <w:r w:rsidR="0003250B">
        <w:rPr>
          <w:lang w:val="en-GB"/>
        </w:rPr>
        <w:t xml:space="preserve">. Another 31.8% </w:t>
      </w:r>
      <w:r w:rsidR="007D55A8">
        <w:rPr>
          <w:lang w:val="en-GB"/>
        </w:rPr>
        <w:t>represent multinational organiz</w:t>
      </w:r>
      <w:r w:rsidRPr="001F4E8E">
        <w:rPr>
          <w:lang w:val="en-GB"/>
        </w:rPr>
        <w:t>ations headquartered in</w:t>
      </w:r>
      <w:r w:rsidR="0003250B">
        <w:rPr>
          <w:lang w:val="en-GB"/>
        </w:rPr>
        <w:t xml:space="preserve"> another continent, while </w:t>
      </w:r>
      <w:r w:rsidR="007D55A8" w:rsidRPr="004A2C5E">
        <w:t xml:space="preserve">38.8% </w:t>
      </w:r>
      <w:r w:rsidR="007D55A8">
        <w:t>of respondents work</w:t>
      </w:r>
      <w:r w:rsidR="007D55A8" w:rsidRPr="004A2C5E">
        <w:t xml:space="preserve"> for national or local </w:t>
      </w:r>
      <w:r w:rsidR="007D55A8">
        <w:t>organiz</w:t>
      </w:r>
      <w:r w:rsidR="007D55A8" w:rsidRPr="004A2C5E">
        <w:t>ations in the country in which they are located</w:t>
      </w:r>
      <w:r w:rsidR="007D55A8">
        <w:t>.</w:t>
      </w:r>
      <w:r w:rsidR="007D55A8">
        <w:rPr>
          <w:lang w:val="en-GB"/>
        </w:rPr>
        <w:t xml:space="preserve"> </w:t>
      </w:r>
      <w:r w:rsidR="007D55A8" w:rsidRPr="004A2C5E">
        <w:t xml:space="preserve">Almost three out of four respondents work </w:t>
      </w:r>
      <w:r w:rsidR="007D55A8">
        <w:t>internally in organiz</w:t>
      </w:r>
      <w:r w:rsidR="007D55A8" w:rsidRPr="004A2C5E">
        <w:t>ations – 38.3% in public companies, 17.1% in private companies; 11.9% in government</w:t>
      </w:r>
      <w:r w:rsidR="002352CF">
        <w:t>, and 7.8% in non-profit organiz</w:t>
      </w:r>
      <w:r w:rsidR="007D55A8" w:rsidRPr="004A2C5E">
        <w:t>ations – while 24.9% are communication consultants working freelance or for agencies.</w:t>
      </w:r>
      <w:r w:rsidR="0003250B">
        <w:rPr>
          <w:lang w:val="en-GB"/>
        </w:rPr>
        <w:t xml:space="preserve"> </w:t>
      </w:r>
    </w:p>
    <w:p w14:paraId="3084390F" w14:textId="77777777" w:rsidR="00ED42EB" w:rsidRDefault="00ED42EB" w:rsidP="00775827">
      <w:pPr>
        <w:rPr>
          <w:lang w:val="en-GB"/>
        </w:rPr>
      </w:pPr>
    </w:p>
    <w:p w14:paraId="5B8DC0BA" w14:textId="12FEDEEC" w:rsidR="00ED42EB" w:rsidRPr="0003250B" w:rsidRDefault="00595632" w:rsidP="00775827">
      <w:pPr>
        <w:ind w:left="426" w:hanging="426"/>
        <w:rPr>
          <w:i/>
          <w:lang w:val="en-GB"/>
        </w:rPr>
      </w:pPr>
      <w:r>
        <w:rPr>
          <w:i/>
          <w:lang w:val="en-GB"/>
        </w:rPr>
        <w:t>4</w:t>
      </w:r>
      <w:r w:rsidR="00A247E4">
        <w:rPr>
          <w:i/>
          <w:lang w:val="en-GB"/>
        </w:rPr>
        <w:t>.2</w:t>
      </w:r>
      <w:r w:rsidR="00D83113">
        <w:rPr>
          <w:i/>
          <w:lang w:val="en-GB"/>
        </w:rPr>
        <w:tab/>
      </w:r>
      <w:r w:rsidR="00ED42EB" w:rsidRPr="0003250B">
        <w:rPr>
          <w:i/>
          <w:lang w:val="en-GB"/>
        </w:rPr>
        <w:t>Survey questionnaire</w:t>
      </w:r>
    </w:p>
    <w:p w14:paraId="682775F6" w14:textId="235710C5" w:rsidR="00EA07BA" w:rsidRDefault="00ED42EB" w:rsidP="00775827">
      <w:pPr>
        <w:ind w:firstLine="426"/>
        <w:rPr>
          <w:lang w:val="en-GB"/>
        </w:rPr>
      </w:pPr>
      <w:r>
        <w:rPr>
          <w:lang w:val="en-GB"/>
        </w:rPr>
        <w:t xml:space="preserve">The survey contained </w:t>
      </w:r>
      <w:r w:rsidR="001F4E8E" w:rsidRPr="001F4E8E">
        <w:rPr>
          <w:lang w:val="en-GB"/>
        </w:rPr>
        <w:t>26 questions arra</w:t>
      </w:r>
      <w:r w:rsidR="001F4E8E">
        <w:rPr>
          <w:lang w:val="en-GB"/>
        </w:rPr>
        <w:t xml:space="preserve">nged in 14 </w:t>
      </w:r>
      <w:r>
        <w:rPr>
          <w:lang w:val="en-GB"/>
        </w:rPr>
        <w:t xml:space="preserve">themed </w:t>
      </w:r>
      <w:r w:rsidR="001F4E8E">
        <w:rPr>
          <w:lang w:val="en-GB"/>
        </w:rPr>
        <w:t>sections. The instru</w:t>
      </w:r>
      <w:r w:rsidR="001F4E8E" w:rsidRPr="001F4E8E">
        <w:rPr>
          <w:lang w:val="en-GB"/>
        </w:rPr>
        <w:t>ment</w:t>
      </w:r>
      <w:r>
        <w:rPr>
          <w:lang w:val="en-GB"/>
        </w:rPr>
        <w:t xml:space="preserve"> was based largely on the </w:t>
      </w:r>
      <w:r w:rsidRPr="00ED42EB">
        <w:rPr>
          <w:i/>
          <w:lang w:val="en-GB"/>
        </w:rPr>
        <w:t>European Communication Monitor</w:t>
      </w:r>
      <w:r>
        <w:rPr>
          <w:lang w:val="en-GB"/>
        </w:rPr>
        <w:t xml:space="preserve">, which provided criterion validity and also afforded comparative data. However, some customization was undertaken to adapt language to local cultures and allow for insertion of some questions of local significance. </w:t>
      </w:r>
      <w:r w:rsidR="00EA07BA">
        <w:rPr>
          <w:lang w:val="en-GB"/>
        </w:rPr>
        <w:t xml:space="preserve">The questionnaire was administered in English only based on the </w:t>
      </w:r>
      <w:r w:rsidR="00A247E4">
        <w:rPr>
          <w:lang w:val="en-GB"/>
        </w:rPr>
        <w:t>education levels and seniority of the sample.</w:t>
      </w:r>
      <w:r w:rsidR="003756B4">
        <w:rPr>
          <w:lang w:val="en-GB"/>
        </w:rPr>
        <w:t xml:space="preserve"> The analysis pr</w:t>
      </w:r>
      <w:r w:rsidR="00BA2F19">
        <w:rPr>
          <w:lang w:val="en-GB"/>
        </w:rPr>
        <w:t>esented here is</w:t>
      </w:r>
      <w:r w:rsidR="003756B4">
        <w:rPr>
          <w:lang w:val="en-GB"/>
        </w:rPr>
        <w:t xml:space="preserve"> based on </w:t>
      </w:r>
      <w:r w:rsidR="00F14DDC">
        <w:rPr>
          <w:lang w:val="en-GB"/>
        </w:rPr>
        <w:t xml:space="preserve">socio-demographic questions and </w:t>
      </w:r>
      <w:r w:rsidR="00B83964">
        <w:rPr>
          <w:lang w:val="en-GB"/>
        </w:rPr>
        <w:t>questions</w:t>
      </w:r>
      <w:r w:rsidR="00F14DDC">
        <w:rPr>
          <w:lang w:val="en-GB"/>
        </w:rPr>
        <w:t xml:space="preserve"> measuring </w:t>
      </w:r>
      <w:r w:rsidR="006F3DB5">
        <w:rPr>
          <w:lang w:val="en-GB"/>
        </w:rPr>
        <w:t xml:space="preserve">the </w:t>
      </w:r>
      <w:r w:rsidR="00886651">
        <w:rPr>
          <w:lang w:val="en-GB"/>
        </w:rPr>
        <w:t>current and future</w:t>
      </w:r>
      <w:r w:rsidR="00F14DDC">
        <w:rPr>
          <w:lang w:val="en-GB"/>
        </w:rPr>
        <w:t xml:space="preserve"> </w:t>
      </w:r>
      <w:r w:rsidR="0062574B">
        <w:rPr>
          <w:lang w:val="en-GB"/>
        </w:rPr>
        <w:t>importance o</w:t>
      </w:r>
      <w:r w:rsidR="006F3DB5">
        <w:rPr>
          <w:lang w:val="en-GB"/>
        </w:rPr>
        <w:t xml:space="preserve">f various media channels, formats, and practices using </w:t>
      </w:r>
      <w:r w:rsidR="00F14DDC">
        <w:rPr>
          <w:lang w:val="en-GB"/>
        </w:rPr>
        <w:t>5-point Likert scales</w:t>
      </w:r>
      <w:r w:rsidR="003756B4">
        <w:rPr>
          <w:lang w:val="en-GB"/>
        </w:rPr>
        <w:t xml:space="preserve"> </w:t>
      </w:r>
      <w:r w:rsidR="00F14DDC">
        <w:rPr>
          <w:lang w:val="en-GB"/>
        </w:rPr>
        <w:t>(“not important</w:t>
      </w:r>
      <w:r w:rsidR="00886651">
        <w:rPr>
          <w:lang w:val="en-GB"/>
        </w:rPr>
        <w:t>”</w:t>
      </w:r>
      <w:r w:rsidR="006F3DB5">
        <w:rPr>
          <w:lang w:val="en-GB"/>
        </w:rPr>
        <w:t xml:space="preserve"> to “very important”;</w:t>
      </w:r>
      <w:r w:rsidR="00F14DDC">
        <w:rPr>
          <w:lang w:val="en-GB"/>
        </w:rPr>
        <w:t xml:space="preserve"> “lose a lot </w:t>
      </w:r>
      <w:r w:rsidR="006F3DB5">
        <w:rPr>
          <w:lang w:val="en-GB"/>
        </w:rPr>
        <w:t>in</w:t>
      </w:r>
      <w:r w:rsidR="00F14DDC">
        <w:rPr>
          <w:lang w:val="en-GB"/>
        </w:rPr>
        <w:t xml:space="preserve"> importance” to “gain a lot </w:t>
      </w:r>
      <w:r w:rsidR="006F3DB5">
        <w:rPr>
          <w:lang w:val="en-GB"/>
        </w:rPr>
        <w:t>in</w:t>
      </w:r>
      <w:r w:rsidR="00F14DDC">
        <w:rPr>
          <w:lang w:val="en-GB"/>
        </w:rPr>
        <w:t xml:space="preserve"> importance”).</w:t>
      </w:r>
      <w:r w:rsidR="0062574B">
        <w:rPr>
          <w:lang w:val="en-GB"/>
        </w:rPr>
        <w:t xml:space="preserve"> Percentages reported in the findings indicate the agreement of respondents based on scale points 4 and 5.</w:t>
      </w:r>
    </w:p>
    <w:p w14:paraId="4CE548C4" w14:textId="77777777" w:rsidR="00EA07BA" w:rsidRDefault="00EA07BA" w:rsidP="00775827">
      <w:pPr>
        <w:rPr>
          <w:lang w:val="en-GB"/>
        </w:rPr>
      </w:pPr>
    </w:p>
    <w:p w14:paraId="13255E59" w14:textId="552D179D" w:rsidR="001F4E8E" w:rsidRPr="00A247E4" w:rsidRDefault="00595632" w:rsidP="00775827">
      <w:pPr>
        <w:ind w:left="426" w:hanging="426"/>
        <w:rPr>
          <w:i/>
          <w:lang w:val="en-GB"/>
        </w:rPr>
      </w:pPr>
      <w:r>
        <w:rPr>
          <w:i/>
          <w:lang w:val="en-GB"/>
        </w:rPr>
        <w:t>4</w:t>
      </w:r>
      <w:r w:rsidR="00D83113">
        <w:rPr>
          <w:i/>
          <w:lang w:val="en-GB"/>
        </w:rPr>
        <w:t>.3</w:t>
      </w:r>
      <w:r w:rsidR="00D83113">
        <w:rPr>
          <w:i/>
          <w:lang w:val="en-GB"/>
        </w:rPr>
        <w:tab/>
      </w:r>
      <w:r w:rsidR="001F4E8E" w:rsidRPr="00A247E4">
        <w:rPr>
          <w:i/>
          <w:lang w:val="en-GB"/>
        </w:rPr>
        <w:t>Data analysis</w:t>
      </w:r>
    </w:p>
    <w:p w14:paraId="1BA13954" w14:textId="5E2B2D75" w:rsidR="001F4E8E" w:rsidRDefault="001F4E8E" w:rsidP="00775827">
      <w:pPr>
        <w:ind w:firstLine="426"/>
        <w:rPr>
          <w:lang w:val="en-GB"/>
        </w:rPr>
      </w:pPr>
      <w:r w:rsidRPr="001F4E8E">
        <w:rPr>
          <w:lang w:val="en-GB"/>
        </w:rPr>
        <w:t xml:space="preserve">The Statistical Package for the Social Sciences (SPSS) was used for data analysis. Results </w:t>
      </w:r>
      <w:r w:rsidR="00F631F1">
        <w:rPr>
          <w:lang w:val="en-GB"/>
        </w:rPr>
        <w:t>were</w:t>
      </w:r>
      <w:r w:rsidRPr="001F4E8E">
        <w:rPr>
          <w:lang w:val="en-GB"/>
        </w:rPr>
        <w:t xml:space="preserve"> tested statistically with, dep</w:t>
      </w:r>
      <w:r w:rsidR="00650618">
        <w:rPr>
          <w:lang w:val="en-GB"/>
        </w:rPr>
        <w:t>ending on the variable, Pearson’</w:t>
      </w:r>
      <w:r w:rsidRPr="001F4E8E">
        <w:rPr>
          <w:lang w:val="en-GB"/>
        </w:rPr>
        <w:t>s chi-square tests (χ²), ANOVA/</w:t>
      </w:r>
      <w:proofErr w:type="spellStart"/>
      <w:r w:rsidRPr="001F4E8E">
        <w:rPr>
          <w:lang w:val="en-GB"/>
        </w:rPr>
        <w:t>Scheffe</w:t>
      </w:r>
      <w:proofErr w:type="spellEnd"/>
      <w:r w:rsidRPr="001F4E8E">
        <w:rPr>
          <w:lang w:val="en-GB"/>
        </w:rPr>
        <w:t xml:space="preserve"> post-hoc tests,</w:t>
      </w:r>
      <w:r w:rsidR="004D605B">
        <w:rPr>
          <w:lang w:val="en-GB"/>
        </w:rPr>
        <w:t xml:space="preserve"> Kendall rank correlation, and </w:t>
      </w:r>
      <w:r w:rsidR="004D605B" w:rsidRPr="004D605B">
        <w:rPr>
          <w:i/>
          <w:lang w:val="en-GB"/>
        </w:rPr>
        <w:t>t</w:t>
      </w:r>
      <w:r w:rsidR="004D605B">
        <w:rPr>
          <w:lang w:val="en-GB"/>
        </w:rPr>
        <w:t>-t</w:t>
      </w:r>
      <w:r w:rsidRPr="001F4E8E">
        <w:rPr>
          <w:lang w:val="en-GB"/>
        </w:rPr>
        <w:t xml:space="preserve">ests, </w:t>
      </w:r>
      <w:r w:rsidR="00F631F1">
        <w:rPr>
          <w:lang w:val="en-GB"/>
        </w:rPr>
        <w:t>Results</w:t>
      </w:r>
      <w:r w:rsidRPr="001F4E8E">
        <w:rPr>
          <w:lang w:val="en-GB"/>
        </w:rPr>
        <w:t xml:space="preserve"> </w:t>
      </w:r>
      <w:r w:rsidR="00886651">
        <w:rPr>
          <w:lang w:val="en-GB"/>
        </w:rPr>
        <w:t>were</w:t>
      </w:r>
      <w:r w:rsidR="00886651" w:rsidRPr="001F4E8E">
        <w:rPr>
          <w:lang w:val="en-GB"/>
        </w:rPr>
        <w:t xml:space="preserve"> </w:t>
      </w:r>
      <w:r w:rsidRPr="001F4E8E">
        <w:rPr>
          <w:lang w:val="en-GB"/>
        </w:rPr>
        <w:t>class</w:t>
      </w:r>
      <w:r w:rsidR="004D605B">
        <w:rPr>
          <w:lang w:val="en-GB"/>
        </w:rPr>
        <w:t>ified as significant (p ≤ 0.05)</w:t>
      </w:r>
      <w:r w:rsidRPr="001F4E8E">
        <w:rPr>
          <w:lang w:val="en-GB"/>
        </w:rPr>
        <w:t xml:space="preserve"> or</w:t>
      </w:r>
      <w:r w:rsidR="0007497E">
        <w:rPr>
          <w:lang w:val="en-GB"/>
        </w:rPr>
        <w:t xml:space="preserve"> highly significant (p ≤ 0.01)</w:t>
      </w:r>
      <w:r w:rsidR="00F631F1">
        <w:rPr>
          <w:lang w:val="en-GB"/>
        </w:rPr>
        <w:t>.</w:t>
      </w:r>
      <w:r w:rsidR="00F14DDC">
        <w:rPr>
          <w:lang w:val="en-GB"/>
        </w:rPr>
        <w:t xml:space="preserve"> </w:t>
      </w:r>
    </w:p>
    <w:p w14:paraId="1320F973" w14:textId="77777777" w:rsidR="00650618" w:rsidRDefault="00650618" w:rsidP="00775827">
      <w:pPr>
        <w:rPr>
          <w:lang w:val="en-GB"/>
        </w:rPr>
      </w:pPr>
    </w:p>
    <w:p w14:paraId="49214CA1" w14:textId="52E7732F" w:rsidR="00A247E4" w:rsidRPr="00A247E4" w:rsidRDefault="003D2155" w:rsidP="00775827">
      <w:pPr>
        <w:ind w:left="426" w:hanging="426"/>
        <w:rPr>
          <w:b/>
          <w:sz w:val="28"/>
          <w:szCs w:val="28"/>
          <w:lang w:val="en-GB"/>
        </w:rPr>
      </w:pPr>
      <w:r>
        <w:rPr>
          <w:b/>
          <w:sz w:val="28"/>
          <w:szCs w:val="28"/>
          <w:lang w:val="en-GB"/>
        </w:rPr>
        <w:t>5</w:t>
      </w:r>
      <w:r w:rsidR="00D83113">
        <w:rPr>
          <w:b/>
          <w:sz w:val="28"/>
          <w:szCs w:val="28"/>
          <w:lang w:val="en-GB"/>
        </w:rPr>
        <w:t xml:space="preserve">. </w:t>
      </w:r>
      <w:r w:rsidR="00D83113">
        <w:rPr>
          <w:b/>
          <w:sz w:val="28"/>
          <w:szCs w:val="28"/>
          <w:lang w:val="en-GB"/>
        </w:rPr>
        <w:tab/>
      </w:r>
      <w:r w:rsidR="00A247E4" w:rsidRPr="00A247E4">
        <w:rPr>
          <w:b/>
          <w:sz w:val="28"/>
          <w:szCs w:val="28"/>
          <w:lang w:val="en-GB"/>
        </w:rPr>
        <w:t>Findings</w:t>
      </w:r>
    </w:p>
    <w:p w14:paraId="764DA329" w14:textId="77777777" w:rsidR="00877C55" w:rsidRDefault="00877C55" w:rsidP="00775827">
      <w:pPr>
        <w:ind w:left="426" w:hanging="426"/>
        <w:rPr>
          <w:i/>
          <w:lang w:val="en-GB"/>
        </w:rPr>
      </w:pPr>
    </w:p>
    <w:p w14:paraId="2A7D13D3" w14:textId="33ADB387" w:rsidR="002C4F16" w:rsidRPr="002C4F16" w:rsidRDefault="00595632" w:rsidP="00775827">
      <w:pPr>
        <w:ind w:left="426" w:hanging="426"/>
        <w:rPr>
          <w:i/>
          <w:lang w:val="en-GB"/>
        </w:rPr>
      </w:pPr>
      <w:r>
        <w:rPr>
          <w:i/>
          <w:lang w:val="en-GB"/>
        </w:rPr>
        <w:t>5</w:t>
      </w:r>
      <w:r w:rsidR="00D83113">
        <w:rPr>
          <w:i/>
          <w:lang w:val="en-GB"/>
        </w:rPr>
        <w:t>.1</w:t>
      </w:r>
      <w:r w:rsidR="00D83113">
        <w:rPr>
          <w:i/>
          <w:lang w:val="en-GB"/>
        </w:rPr>
        <w:tab/>
      </w:r>
      <w:r w:rsidR="002C4F16" w:rsidRPr="002C4F16">
        <w:rPr>
          <w:i/>
          <w:lang w:val="en-GB"/>
        </w:rPr>
        <w:t>Traditional media remain important</w:t>
      </w:r>
    </w:p>
    <w:p w14:paraId="2D64278A" w14:textId="16B5A087" w:rsidR="00877C55" w:rsidRPr="00877C55" w:rsidRDefault="005D0ADE" w:rsidP="00877C55">
      <w:pPr>
        <w:ind w:firstLine="426"/>
        <w:rPr>
          <w:lang w:val="en-GB"/>
        </w:rPr>
      </w:pPr>
      <w:r>
        <w:rPr>
          <w:lang w:val="en-GB"/>
        </w:rPr>
        <w:t>The most important media channels continue to be traditional media</w:t>
      </w:r>
      <w:r w:rsidR="0085499E">
        <w:rPr>
          <w:lang w:val="en-GB"/>
        </w:rPr>
        <w:t xml:space="preserve"> (newspapers, radio, TV, </w:t>
      </w:r>
      <w:r w:rsidR="00733411">
        <w:rPr>
          <w:lang w:val="en-GB"/>
        </w:rPr>
        <w:t xml:space="preserve">and </w:t>
      </w:r>
      <w:r w:rsidR="0085499E">
        <w:rPr>
          <w:lang w:val="en-GB"/>
        </w:rPr>
        <w:t>magazines)</w:t>
      </w:r>
      <w:r>
        <w:rPr>
          <w:lang w:val="en-GB"/>
        </w:rPr>
        <w:t xml:space="preserve">, rated highest by </w:t>
      </w:r>
      <w:r>
        <w:t xml:space="preserve">76.5% of </w:t>
      </w:r>
      <w:r w:rsidR="00E37069">
        <w:t>APAC</w:t>
      </w:r>
      <w:r>
        <w:t xml:space="preserve"> PR and corporate communication practitioners</w:t>
      </w:r>
      <w:r w:rsidR="0085499E">
        <w:t xml:space="preserve"> – albeit only by a slim margin</w:t>
      </w:r>
      <w:r w:rsidR="002C4F16">
        <w:rPr>
          <w:lang w:val="en-GB"/>
        </w:rPr>
        <w:t>.</w:t>
      </w:r>
      <w:r>
        <w:rPr>
          <w:lang w:val="en-GB"/>
        </w:rPr>
        <w:t xml:space="preserve"> Communication professionals say they u</w:t>
      </w:r>
      <w:r w:rsidRPr="007B38AE">
        <w:rPr>
          <w:lang w:val="en-GB"/>
        </w:rPr>
        <w:t>se mass media to monitor news and public opi</w:t>
      </w:r>
      <w:r>
        <w:rPr>
          <w:lang w:val="en-GB"/>
        </w:rPr>
        <w:t>nion (76.3%</w:t>
      </w:r>
      <w:r w:rsidRPr="007B38AE">
        <w:rPr>
          <w:lang w:val="en-GB"/>
        </w:rPr>
        <w:t>) as much as they do for distributing information about the</w:t>
      </w:r>
      <w:r w:rsidR="002352CF">
        <w:rPr>
          <w:lang w:val="en-GB"/>
        </w:rPr>
        <w:t>ir organiz</w:t>
      </w:r>
      <w:r w:rsidRPr="007B38AE">
        <w:rPr>
          <w:lang w:val="en-GB"/>
        </w:rPr>
        <w:t>ation, its prod</w:t>
      </w:r>
      <w:r>
        <w:rPr>
          <w:lang w:val="en-GB"/>
        </w:rPr>
        <w:t>ucts, or services (76.1%). This implies listening and two-way communication</w:t>
      </w:r>
      <w:r w:rsidR="00733411">
        <w:rPr>
          <w:lang w:val="en-GB"/>
        </w:rPr>
        <w:t>,</w:t>
      </w:r>
      <w:r w:rsidRPr="007B38AE">
        <w:rPr>
          <w:lang w:val="en-GB"/>
        </w:rPr>
        <w:t xml:space="preserve"> but monitoring is mostly </w:t>
      </w:r>
      <w:r w:rsidR="00733411">
        <w:rPr>
          <w:lang w:val="en-GB"/>
        </w:rPr>
        <w:t>done</w:t>
      </w:r>
      <w:r>
        <w:rPr>
          <w:lang w:val="en-GB"/>
        </w:rPr>
        <w:t xml:space="preserve"> for </w:t>
      </w:r>
      <w:r w:rsidRPr="007B38AE">
        <w:rPr>
          <w:lang w:val="en-GB"/>
        </w:rPr>
        <w:t xml:space="preserve">self-serving purposes </w:t>
      </w:r>
      <w:r w:rsidR="00733411">
        <w:rPr>
          <w:lang w:val="en-GB"/>
        </w:rPr>
        <w:t xml:space="preserve">such as gaining intelligence on competitors and for targeting audiences, </w:t>
      </w:r>
      <w:r>
        <w:rPr>
          <w:lang w:val="en-GB"/>
        </w:rPr>
        <w:t>according to other studies (e.g., Macnamara, 2016)</w:t>
      </w:r>
      <w:r w:rsidRPr="007B38AE">
        <w:rPr>
          <w:lang w:val="en-GB"/>
        </w:rPr>
        <w:t>.</w:t>
      </w:r>
      <w:r w:rsidR="00877C55">
        <w:rPr>
          <w:i/>
          <w:lang w:val="en-GB"/>
        </w:rPr>
        <w:br w:type="page"/>
      </w:r>
    </w:p>
    <w:p w14:paraId="7B974BAC" w14:textId="3C3DE417" w:rsidR="002C4F16" w:rsidRPr="002C4F16" w:rsidRDefault="00595632" w:rsidP="00775827">
      <w:pPr>
        <w:ind w:left="426" w:hanging="426"/>
        <w:rPr>
          <w:i/>
          <w:lang w:val="en-GB"/>
        </w:rPr>
      </w:pPr>
      <w:r>
        <w:rPr>
          <w:i/>
          <w:lang w:val="en-GB"/>
        </w:rPr>
        <w:lastRenderedPageBreak/>
        <w:t>5</w:t>
      </w:r>
      <w:r w:rsidR="00BC7ECE">
        <w:rPr>
          <w:i/>
          <w:lang w:val="en-GB"/>
        </w:rPr>
        <w:t xml:space="preserve">.2 </w:t>
      </w:r>
      <w:r w:rsidR="00D83113">
        <w:rPr>
          <w:i/>
          <w:lang w:val="en-GB"/>
        </w:rPr>
        <w:tab/>
      </w:r>
      <w:r w:rsidR="00733411">
        <w:rPr>
          <w:i/>
          <w:lang w:val="en-GB"/>
        </w:rPr>
        <w:t>Digital and s</w:t>
      </w:r>
      <w:r w:rsidR="002C4F16" w:rsidRPr="002C4F16">
        <w:rPr>
          <w:i/>
          <w:lang w:val="en-GB"/>
        </w:rPr>
        <w:t>ocial media</w:t>
      </w:r>
      <w:r w:rsidR="00733411">
        <w:rPr>
          <w:i/>
          <w:lang w:val="en-GB"/>
        </w:rPr>
        <w:t xml:space="preserve"> </w:t>
      </w:r>
      <w:r w:rsidR="00733411" w:rsidRPr="002C4F16">
        <w:rPr>
          <w:i/>
          <w:lang w:val="en-GB"/>
        </w:rPr>
        <w:t>(shared and owned)</w:t>
      </w:r>
      <w:r w:rsidR="002C4F16">
        <w:rPr>
          <w:i/>
          <w:lang w:val="en-GB"/>
        </w:rPr>
        <w:t xml:space="preserve"> </w:t>
      </w:r>
      <w:r w:rsidR="0062574B">
        <w:rPr>
          <w:i/>
          <w:lang w:val="en-GB"/>
        </w:rPr>
        <w:t xml:space="preserve">are </w:t>
      </w:r>
      <w:r w:rsidR="002C4F16">
        <w:rPr>
          <w:i/>
          <w:lang w:val="en-GB"/>
        </w:rPr>
        <w:t>the ‘big movers’</w:t>
      </w:r>
    </w:p>
    <w:p w14:paraId="763EED8F" w14:textId="045B3C36" w:rsidR="002C4F16" w:rsidRDefault="002C4F16" w:rsidP="00775827">
      <w:pPr>
        <w:ind w:firstLine="426"/>
        <w:rPr>
          <w:lang w:val="en-GB"/>
        </w:rPr>
      </w:pPr>
      <w:r>
        <w:rPr>
          <w:lang w:val="en-GB"/>
        </w:rPr>
        <w:t xml:space="preserve">Notwithstanding continuing use of traditional media managed through traditional media relations, the “big movers” in </w:t>
      </w:r>
      <w:r w:rsidR="00E37069">
        <w:rPr>
          <w:lang w:val="en-GB"/>
        </w:rPr>
        <w:t>APAC</w:t>
      </w:r>
      <w:r>
        <w:rPr>
          <w:lang w:val="en-GB"/>
        </w:rPr>
        <w:t xml:space="preserve"> PR and communication practice are social media. </w:t>
      </w:r>
      <w:r w:rsidR="0088568F">
        <w:rPr>
          <w:lang w:val="en-GB"/>
        </w:rPr>
        <w:t xml:space="preserve">Earned and owned media is expected to gain more importance within the next three years by a majority of practitioners (72.8% / 56.3%), with very few believing </w:t>
      </w:r>
      <w:r w:rsidR="006F3DB5">
        <w:rPr>
          <w:lang w:val="en-GB"/>
        </w:rPr>
        <w:t>that these will decline in importance</w:t>
      </w:r>
      <w:r w:rsidR="0088568F">
        <w:rPr>
          <w:lang w:val="en-GB"/>
        </w:rPr>
        <w:t xml:space="preserve">. On the contrary, respondents have mixed opinions about </w:t>
      </w:r>
      <w:r w:rsidR="00883DCD">
        <w:rPr>
          <w:lang w:val="en-GB"/>
        </w:rPr>
        <w:t>p</w:t>
      </w:r>
      <w:r>
        <w:rPr>
          <w:lang w:val="en-GB"/>
        </w:rPr>
        <w:t>aid media (advertising)</w:t>
      </w:r>
      <w:r w:rsidR="00883DCD">
        <w:rPr>
          <w:lang w:val="en-GB"/>
        </w:rPr>
        <w:t xml:space="preserve">. Only one third of practitioners </w:t>
      </w:r>
      <w:r w:rsidR="006F3DB5">
        <w:rPr>
          <w:lang w:val="en-GB"/>
        </w:rPr>
        <w:t xml:space="preserve">believe paid media will become more important, with around </w:t>
      </w:r>
      <w:r w:rsidR="00883DCD">
        <w:rPr>
          <w:lang w:val="en-GB"/>
        </w:rPr>
        <w:t xml:space="preserve">the same number (29.9%) </w:t>
      </w:r>
      <w:r w:rsidR="006F3DB5">
        <w:rPr>
          <w:lang w:val="en-GB"/>
        </w:rPr>
        <w:t>saying</w:t>
      </w:r>
      <w:r w:rsidR="00883DCD">
        <w:rPr>
          <w:lang w:val="en-GB"/>
        </w:rPr>
        <w:t xml:space="preserve"> it will lose importance</w:t>
      </w:r>
      <w:r w:rsidR="005D0ADE">
        <w:rPr>
          <w:lang w:val="en-GB"/>
        </w:rPr>
        <w:t>. This finding</w:t>
      </w:r>
      <w:r>
        <w:rPr>
          <w:lang w:val="en-GB"/>
        </w:rPr>
        <w:t xml:space="preserve"> has to be taken ‘with a grain of salt’ given that participants in the study were PR, not advertising practitioners, and most advertising and marketing research predicts continuing modest growth in paid advertising</w:t>
      </w:r>
      <w:r w:rsidR="005D0ADE">
        <w:rPr>
          <w:lang w:val="en-GB"/>
        </w:rPr>
        <w:t xml:space="preserve"> (e.g., </w:t>
      </w:r>
      <w:proofErr w:type="spellStart"/>
      <w:r w:rsidR="005D0ADE">
        <w:rPr>
          <w:lang w:val="en-GB"/>
        </w:rPr>
        <w:t>Statista</w:t>
      </w:r>
      <w:proofErr w:type="spellEnd"/>
      <w:r w:rsidR="005D0ADE">
        <w:rPr>
          <w:lang w:val="en-GB"/>
        </w:rPr>
        <w:t>, 2016</w:t>
      </w:r>
      <w:r w:rsidR="006C4BF7">
        <w:rPr>
          <w:lang w:val="en-GB"/>
        </w:rPr>
        <w:t>a</w:t>
      </w:r>
      <w:r w:rsidR="005D0ADE">
        <w:rPr>
          <w:lang w:val="en-GB"/>
        </w:rPr>
        <w:t>)</w:t>
      </w:r>
      <w:r>
        <w:rPr>
          <w:lang w:val="en-GB"/>
        </w:rPr>
        <w:t xml:space="preserve">. However, the rapid rise of new </w:t>
      </w:r>
      <w:r w:rsidR="005D0ADE">
        <w:rPr>
          <w:lang w:val="en-GB"/>
        </w:rPr>
        <w:t xml:space="preserve">channels and content </w:t>
      </w:r>
      <w:r>
        <w:rPr>
          <w:lang w:val="en-GB"/>
        </w:rPr>
        <w:t>formats is unquestionable.</w:t>
      </w:r>
    </w:p>
    <w:p w14:paraId="2E44A337" w14:textId="0260EA4D" w:rsidR="00CA3AC6" w:rsidRPr="00CA3AC6" w:rsidRDefault="005D0ADE" w:rsidP="00775827">
      <w:pPr>
        <w:ind w:firstLine="426"/>
      </w:pPr>
      <w:r w:rsidRPr="00F55165">
        <w:t xml:space="preserve">Social media are now almost level-pegging with traditional media in terms of perceived importance in </w:t>
      </w:r>
      <w:r w:rsidR="00E37069">
        <w:t>APAC</w:t>
      </w:r>
      <w:r>
        <w:t>, with 75.0%</w:t>
      </w:r>
      <w:r w:rsidRPr="00F55165">
        <w:t xml:space="preserve"> of </w:t>
      </w:r>
      <w:r>
        <w:t xml:space="preserve">PR and </w:t>
      </w:r>
      <w:r w:rsidRPr="00F55165">
        <w:t xml:space="preserve">communication </w:t>
      </w:r>
      <w:r>
        <w:t>practitioners</w:t>
      </w:r>
      <w:r w:rsidRPr="00F55165">
        <w:t xml:space="preserve"> rating social media import</w:t>
      </w:r>
      <w:r>
        <w:t xml:space="preserve">ant, compared with </w:t>
      </w:r>
      <w:r w:rsidR="0085499E">
        <w:t xml:space="preserve">the </w:t>
      </w:r>
      <w:r>
        <w:t>76.5%</w:t>
      </w:r>
      <w:r w:rsidRPr="00F55165">
        <w:t xml:space="preserve"> who </w:t>
      </w:r>
      <w:r w:rsidR="0085499E">
        <w:t>rate</w:t>
      </w:r>
      <w:r w:rsidRPr="00F55165">
        <w:t xml:space="preserve"> traditional media </w:t>
      </w:r>
      <w:r w:rsidR="0083688D">
        <w:t xml:space="preserve">relations </w:t>
      </w:r>
      <w:r w:rsidRPr="00F55165">
        <w:t xml:space="preserve">as important. </w:t>
      </w:r>
      <w:r w:rsidR="00CA3AC6" w:rsidRPr="00F55165">
        <w:t xml:space="preserve">Social media are rated </w:t>
      </w:r>
      <w:r w:rsidR="00733411">
        <w:t>highest in terms of importance</w:t>
      </w:r>
      <w:r w:rsidR="00CA3AC6" w:rsidRPr="00F55165">
        <w:t xml:space="preserve"> in the Philippines, Taiwan, Thailand, Malaysia, Vietna</w:t>
      </w:r>
      <w:r w:rsidR="00CA3AC6">
        <w:t xml:space="preserve">m, and China, while traditional media are seen to be of continuing importance mainly </w:t>
      </w:r>
      <w:r w:rsidR="00CA3AC6" w:rsidRPr="00F55165">
        <w:t>in Japan, India, Hong Kong, and Malaysia.</w:t>
      </w:r>
      <w:r w:rsidR="00CA3AC6" w:rsidRPr="00F55165">
        <w:rPr>
          <w:lang w:val="en-GB"/>
        </w:rPr>
        <w:t xml:space="preserve"> </w:t>
      </w:r>
    </w:p>
    <w:p w14:paraId="2E5598AA" w14:textId="54627CD3" w:rsidR="00CA3AC6" w:rsidRDefault="00CA3AC6" w:rsidP="00775827">
      <w:pPr>
        <w:ind w:firstLine="426"/>
      </w:pPr>
      <w:r w:rsidRPr="00F55165">
        <w:t xml:space="preserve">Increasing use of social media potentially expands opportunities for two-way communication and dialogue, which are </w:t>
      </w:r>
      <w:r>
        <w:t xml:space="preserve">advocated as essential for excellence and best practice in PR </w:t>
      </w:r>
      <w:r w:rsidRPr="00F55165">
        <w:t xml:space="preserve">(L. </w:t>
      </w:r>
      <w:proofErr w:type="spellStart"/>
      <w:r w:rsidRPr="00F55165">
        <w:t>Grunig</w:t>
      </w:r>
      <w:proofErr w:type="spellEnd"/>
      <w:r w:rsidRPr="00F55165">
        <w:t xml:space="preserve">, J. </w:t>
      </w:r>
      <w:proofErr w:type="spellStart"/>
      <w:r w:rsidRPr="00F55165">
        <w:t>Grunig</w:t>
      </w:r>
      <w:proofErr w:type="spellEnd"/>
      <w:r w:rsidRPr="00F55165">
        <w:t>, &amp; Dozier, 2002; Kent &amp; Taylor, 2002; Taylor &amp; Kent, 2014)</w:t>
      </w:r>
      <w:r>
        <w:t>.</w:t>
      </w:r>
      <w:r w:rsidRPr="00F55165">
        <w:t xml:space="preserve"> </w:t>
      </w:r>
      <w:r>
        <w:t xml:space="preserve">However, </w:t>
      </w:r>
      <w:r w:rsidR="00F058D0">
        <w:t xml:space="preserve">other research shows that </w:t>
      </w:r>
      <w:r w:rsidRPr="00F55165">
        <w:t xml:space="preserve">the interactive affordances of social media are not being </w:t>
      </w:r>
      <w:r>
        <w:t>utilized</w:t>
      </w:r>
      <w:r w:rsidRPr="00F55165">
        <w:t xml:space="preserve"> by </w:t>
      </w:r>
      <w:r w:rsidR="00F058D0">
        <w:t xml:space="preserve">most </w:t>
      </w:r>
      <w:r>
        <w:t xml:space="preserve">PR and corporate communication practitioners </w:t>
      </w:r>
      <w:r w:rsidRPr="00F55165">
        <w:t xml:space="preserve">(Kent, 2013; </w:t>
      </w:r>
      <w:r>
        <w:t xml:space="preserve">Taylor &amp; Kent, 2014; Wright &amp; Hinson, 2012). </w:t>
      </w:r>
      <w:r w:rsidRPr="00F55165">
        <w:t xml:space="preserve">Kent concluded: “If we look at the use of social media by most large corporations, we see that the communication tools that were invented for ‘sociality’ are typically used in a one-way fashion to push messages out to publics” (2013, p. 342). </w:t>
      </w:r>
      <w:r>
        <w:t xml:space="preserve">Even more recently, </w:t>
      </w:r>
      <w:r w:rsidRPr="00F55165">
        <w:t>Taylor and Kent reported that social media use is a “one-way communication process” (2014, p. 386).</w:t>
      </w:r>
      <w:r w:rsidR="00F058D0">
        <w:t xml:space="preserve"> Whether this one-way use of social media is a factor of the relative ‘newness’ of these channels and a need for greater familiarization and maturation, or whether so-called ‘social’ media are being colonized rather than shared is a question for ongoing research.</w:t>
      </w:r>
      <w:r w:rsidR="00733411">
        <w:t xml:space="preserve"> This study did find a self-professed low level of skills in relation to new forms of digital and social media among PR and communication professionals, which suggests </w:t>
      </w:r>
      <w:r w:rsidR="006F3DB5">
        <w:t xml:space="preserve">one explanation for why </w:t>
      </w:r>
      <w:r w:rsidR="00733411">
        <w:t xml:space="preserve">the opportunities presented by social media growth are not being </w:t>
      </w:r>
      <w:r w:rsidR="0096761D">
        <w:t>realized.</w:t>
      </w:r>
    </w:p>
    <w:p w14:paraId="1FF6FEFA" w14:textId="799E3ADF" w:rsidR="005D0ADE" w:rsidRPr="00F55165" w:rsidRDefault="005D0ADE" w:rsidP="00775827">
      <w:pPr>
        <w:ind w:firstLine="426"/>
      </w:pPr>
      <w:r w:rsidRPr="00F55165">
        <w:t>Online communication via Web sites, intranets, and e-mail</w:t>
      </w:r>
      <w:r w:rsidR="00F058D0">
        <w:t xml:space="preserve"> </w:t>
      </w:r>
      <w:r w:rsidRPr="00F55165">
        <w:t>are also seen as slight</w:t>
      </w:r>
      <w:r w:rsidR="00CA3AC6">
        <w:t>ly more important (73.6%</w:t>
      </w:r>
      <w:r w:rsidRPr="00F55165">
        <w:t>) than media relations with online newspapers or ma</w:t>
      </w:r>
      <w:r w:rsidR="00CA3AC6">
        <w:t>gazines (73.2%</w:t>
      </w:r>
      <w:r w:rsidRPr="00F55165">
        <w:t>)</w:t>
      </w:r>
      <w:r w:rsidR="00F058D0">
        <w:t>, indicating growing interest in owned media that can be fully controlled</w:t>
      </w:r>
      <w:r w:rsidRPr="00F55165">
        <w:t xml:space="preserve">. </w:t>
      </w:r>
      <w:r w:rsidR="00955165">
        <w:rPr>
          <w:lang w:val="en-GB"/>
        </w:rPr>
        <w:t>I</w:t>
      </w:r>
      <w:r w:rsidR="00955165" w:rsidRPr="00955165">
        <w:rPr>
          <w:lang w:val="en-GB"/>
        </w:rPr>
        <w:t xml:space="preserve">nfluencing media ‘gatekeepers’ and media agendas are </w:t>
      </w:r>
      <w:r w:rsidR="00955165">
        <w:rPr>
          <w:lang w:val="en-GB"/>
        </w:rPr>
        <w:t xml:space="preserve">now seen as </w:t>
      </w:r>
      <w:r w:rsidR="00955165" w:rsidRPr="00955165">
        <w:rPr>
          <w:lang w:val="en-GB"/>
        </w:rPr>
        <w:t>less important than dir</w:t>
      </w:r>
      <w:r w:rsidR="00955165">
        <w:rPr>
          <w:lang w:val="en-GB"/>
        </w:rPr>
        <w:t>ect distribution of information.</w:t>
      </w:r>
    </w:p>
    <w:p w14:paraId="63F53A49" w14:textId="615B9EDD" w:rsidR="005D0ADE" w:rsidRDefault="0085499E" w:rsidP="00775827">
      <w:pPr>
        <w:ind w:firstLine="426"/>
      </w:pPr>
      <w:r>
        <w:t xml:space="preserve">The forecast trend </w:t>
      </w:r>
      <w:r w:rsidR="0096761D">
        <w:t xml:space="preserve">for the future </w:t>
      </w:r>
      <w:r>
        <w:t>is the most interesting and significant finding in relation to media channels. W</w:t>
      </w:r>
      <w:r w:rsidR="005D0ADE" w:rsidRPr="00F55165">
        <w:t>hen communication professionals look three years into t</w:t>
      </w:r>
      <w:r>
        <w:t>he future to 2018, only 46.9%</w:t>
      </w:r>
      <w:r w:rsidR="005D0ADE" w:rsidRPr="00F55165">
        <w:t xml:space="preserve"> see traditional media relations with print media </w:t>
      </w:r>
      <w:r>
        <w:t xml:space="preserve">as important and 53.7% </w:t>
      </w:r>
      <w:r w:rsidR="005D0ADE" w:rsidRPr="00F55165">
        <w:t>see media relations with radio and TV as importa</w:t>
      </w:r>
      <w:r>
        <w:t>nt</w:t>
      </w:r>
      <w:r w:rsidR="004A4E23">
        <w:t xml:space="preserve"> (see Table 1)</w:t>
      </w:r>
      <w:r>
        <w:t>. In comparison, 92.2%</w:t>
      </w:r>
      <w:r w:rsidR="005D0ADE" w:rsidRPr="00F55165">
        <w:t xml:space="preserve"> rate social media such as blogs, </w:t>
      </w:r>
      <w:r>
        <w:t xml:space="preserve">Facebook, </w:t>
      </w:r>
      <w:r w:rsidR="005D0ADE" w:rsidRPr="00F55165">
        <w:t xml:space="preserve">Twitter, </w:t>
      </w:r>
      <w:r>
        <w:t xml:space="preserve">YouTube, </w:t>
      </w:r>
      <w:proofErr w:type="spellStart"/>
      <w:r>
        <w:t>Sina</w:t>
      </w:r>
      <w:proofErr w:type="spellEnd"/>
      <w:r>
        <w:t xml:space="preserve"> </w:t>
      </w:r>
      <w:r w:rsidR="005D0ADE" w:rsidRPr="00F55165">
        <w:t>Weibo, and so on, as important for strategic</w:t>
      </w:r>
      <w:r>
        <w:t xml:space="preserve"> communication and 85.6% </w:t>
      </w:r>
      <w:proofErr w:type="spellStart"/>
      <w:r w:rsidR="005D0ADE" w:rsidRPr="00F55165">
        <w:t>favor</w:t>
      </w:r>
      <w:proofErr w:type="spellEnd"/>
      <w:r w:rsidR="005D0ADE" w:rsidRPr="00F55165">
        <w:t xml:space="preserve"> websites, intranets</w:t>
      </w:r>
      <w:r w:rsidR="006F3DB5">
        <w:t>,</w:t>
      </w:r>
      <w:r w:rsidR="005D0ADE" w:rsidRPr="00F55165">
        <w:t xml:space="preserve"> and e-mail. This </w:t>
      </w:r>
      <w:r w:rsidR="0096761D">
        <w:t xml:space="preserve">shift in media use </w:t>
      </w:r>
      <w:r w:rsidR="005D0ADE" w:rsidRPr="00F55165">
        <w:t xml:space="preserve">reflects the findings of </w:t>
      </w:r>
      <w:r w:rsidR="00D56745">
        <w:t xml:space="preserve">previous </w:t>
      </w:r>
      <w:r w:rsidR="005D0ADE" w:rsidRPr="00F55165">
        <w:t xml:space="preserve">academic studies of media and </w:t>
      </w:r>
      <w:r w:rsidR="00C97A2E">
        <w:t>PR</w:t>
      </w:r>
      <w:r w:rsidR="005D0ADE" w:rsidRPr="00F55165">
        <w:t xml:space="preserve"> (e.g., </w:t>
      </w:r>
      <w:r w:rsidR="00C55D70">
        <w:t>McChesney, 2013</w:t>
      </w:r>
      <w:r w:rsidR="005D0ADE" w:rsidRPr="00F55165">
        <w:t>; Macnamara, 2014</w:t>
      </w:r>
      <w:r w:rsidR="00E21F9E">
        <w:t>b</w:t>
      </w:r>
      <w:r w:rsidR="005D0ADE" w:rsidRPr="00F55165">
        <w:t xml:space="preserve">; </w:t>
      </w:r>
      <w:proofErr w:type="spellStart"/>
      <w:r w:rsidR="005D0ADE" w:rsidRPr="00F55165">
        <w:t>Siapera</w:t>
      </w:r>
      <w:proofErr w:type="spellEnd"/>
      <w:r w:rsidR="005D0ADE" w:rsidRPr="00F55165">
        <w:t>, 2012</w:t>
      </w:r>
      <w:r>
        <w:t>; Wright &amp; Hinson, 2012</w:t>
      </w:r>
      <w:r w:rsidR="005D0ADE" w:rsidRPr="00F55165">
        <w:t>). </w:t>
      </w:r>
    </w:p>
    <w:p w14:paraId="3176C503" w14:textId="77777777" w:rsidR="00775827" w:rsidRDefault="00775827" w:rsidP="00775827">
      <w:pPr>
        <w:ind w:firstLine="426"/>
      </w:pPr>
      <w:r>
        <w:tab/>
        <w:t xml:space="preserve">Almost all (93.7%) </w:t>
      </w:r>
      <w:r w:rsidRPr="00F55165">
        <w:t xml:space="preserve">of </w:t>
      </w:r>
      <w:r>
        <w:t>APAC</w:t>
      </w:r>
      <w:r w:rsidRPr="00F55165">
        <w:t xml:space="preserve"> communication professionals</w:t>
      </w:r>
      <w:r>
        <w:t xml:space="preserve"> also </w:t>
      </w:r>
      <w:r w:rsidRPr="00F55165">
        <w:t>see mobile communication as important by 2018, compared with two-thirds</w:t>
      </w:r>
      <w:r>
        <w:t xml:space="preserve"> (66.5%)</w:t>
      </w:r>
      <w:r w:rsidRPr="00F55165">
        <w:t xml:space="preserve"> of practitioners who see it as important today.</w:t>
      </w:r>
      <w:r w:rsidRPr="00F55165">
        <w:rPr>
          <w:lang w:val="en-GB"/>
        </w:rPr>
        <w:t xml:space="preserve"> </w:t>
      </w:r>
      <w:r>
        <w:t>Mobile applica</w:t>
      </w:r>
      <w:r w:rsidRPr="00F55165">
        <w:t>tions are seen as most important in Malaysia, the Phi</w:t>
      </w:r>
      <w:r>
        <w:t xml:space="preserve">lippines, Thailand, and Taiwan. This reflects the trend of ‘leapfrogging’ in technologies in </w:t>
      </w:r>
      <w:r>
        <w:lastRenderedPageBreak/>
        <w:t xml:space="preserve">which developing countries without large investments in ‘legacy’ systems </w:t>
      </w:r>
      <w:r w:rsidRPr="004A2C5E">
        <w:t xml:space="preserve">bypass incumbent technologies </w:t>
      </w:r>
      <w:r>
        <w:t xml:space="preserve">to quickly adopt new technologies </w:t>
      </w:r>
      <w:r w:rsidRPr="00EC7F7A">
        <w:rPr>
          <w:i/>
        </w:rPr>
        <w:t>(</w:t>
      </w:r>
      <w:r w:rsidRPr="00EC7F7A">
        <w:rPr>
          <w:rStyle w:val="HTMLCite"/>
          <w:i w:val="0"/>
        </w:rPr>
        <w:t xml:space="preserve">Davison, Vogel, </w:t>
      </w:r>
      <w:r>
        <w:rPr>
          <w:rStyle w:val="HTMLCite"/>
          <w:i w:val="0"/>
        </w:rPr>
        <w:t xml:space="preserve">&amp; </w:t>
      </w:r>
      <w:r w:rsidRPr="00EC7F7A">
        <w:rPr>
          <w:rStyle w:val="HTMLCite"/>
          <w:i w:val="0"/>
        </w:rPr>
        <w:t>Harris, 2000</w:t>
      </w:r>
      <w:r>
        <w:rPr>
          <w:rStyle w:val="HTMLCite"/>
          <w:i w:val="0"/>
        </w:rPr>
        <w:t>).</w:t>
      </w:r>
    </w:p>
    <w:p w14:paraId="3470E3D9" w14:textId="77777777" w:rsidR="00775827" w:rsidRPr="00F55165" w:rsidRDefault="00775827" w:rsidP="00775827"/>
    <w:p w14:paraId="2B90E584" w14:textId="17C86F5F" w:rsidR="00775827" w:rsidRPr="00775827" w:rsidRDefault="00775827" w:rsidP="00775827">
      <w:pPr>
        <w:jc w:val="both"/>
        <w:rPr>
          <w:sz w:val="20"/>
          <w:szCs w:val="20"/>
        </w:rPr>
      </w:pPr>
      <w:r w:rsidRPr="00775827">
        <w:rPr>
          <w:sz w:val="20"/>
          <w:szCs w:val="20"/>
        </w:rPr>
        <w:t>Table 1. Percentage of practitioners rating various forms of media and communication as important looking three years ahead to 2018.</w:t>
      </w:r>
    </w:p>
    <w:p w14:paraId="70C1B08C" w14:textId="77777777" w:rsidR="00775827" w:rsidRDefault="00775827" w:rsidP="00775827">
      <w:pPr>
        <w:jc w:val="both"/>
      </w:pPr>
    </w:p>
    <w:tbl>
      <w:tblPr>
        <w:tblStyle w:val="PlainTable31"/>
        <w:tblW w:w="9498" w:type="dxa"/>
        <w:tblLook w:val="0600" w:firstRow="0" w:lastRow="0" w:firstColumn="0" w:lastColumn="0" w:noHBand="1" w:noVBand="1"/>
      </w:tblPr>
      <w:tblGrid>
        <w:gridCol w:w="1554"/>
        <w:gridCol w:w="1281"/>
        <w:gridCol w:w="1418"/>
        <w:gridCol w:w="1417"/>
        <w:gridCol w:w="1418"/>
        <w:gridCol w:w="1276"/>
        <w:gridCol w:w="1134"/>
      </w:tblGrid>
      <w:tr w:rsidR="00775827" w:rsidRPr="004A4E23" w14:paraId="3C9D24A4" w14:textId="77777777" w:rsidTr="00E46A83">
        <w:trPr>
          <w:trHeight w:val="208"/>
        </w:trPr>
        <w:tc>
          <w:tcPr>
            <w:tcW w:w="1554" w:type="dxa"/>
            <w:tcBorders>
              <w:top w:val="single" w:sz="12" w:space="0" w:color="auto"/>
              <w:bottom w:val="single" w:sz="12" w:space="0" w:color="auto"/>
            </w:tcBorders>
            <w:hideMark/>
          </w:tcPr>
          <w:p w14:paraId="519EE285" w14:textId="77777777" w:rsidR="00775827" w:rsidRPr="004A4E23" w:rsidRDefault="00775827" w:rsidP="00775827">
            <w:pPr>
              <w:rPr>
                <w:rFonts w:asciiTheme="minorHAnsi" w:hAnsiTheme="minorHAnsi" w:cs="Arial"/>
                <w:b/>
                <w:sz w:val="20"/>
                <w:szCs w:val="20"/>
              </w:rPr>
            </w:pPr>
            <w:r w:rsidRPr="004A4E23">
              <w:rPr>
                <w:rFonts w:asciiTheme="minorHAnsi" w:hAnsiTheme="minorHAnsi" w:cs="Arial"/>
                <w:b/>
                <w:sz w:val="20"/>
                <w:szCs w:val="20"/>
                <w:lang w:val="de-DE"/>
              </w:rPr>
              <w:t>Region</w:t>
            </w:r>
          </w:p>
        </w:tc>
        <w:tc>
          <w:tcPr>
            <w:tcW w:w="1281" w:type="dxa"/>
            <w:tcBorders>
              <w:top w:val="single" w:sz="12" w:space="0" w:color="auto"/>
              <w:bottom w:val="single" w:sz="12" w:space="0" w:color="auto"/>
            </w:tcBorders>
            <w:hideMark/>
          </w:tcPr>
          <w:p w14:paraId="5764E54D" w14:textId="5E3D0040" w:rsidR="00775827" w:rsidRPr="004A4E23" w:rsidRDefault="00775827" w:rsidP="00E46A83">
            <w:pPr>
              <w:jc w:val="right"/>
              <w:rPr>
                <w:rFonts w:asciiTheme="minorHAnsi" w:hAnsiTheme="minorHAnsi" w:cs="Arial"/>
                <w:b/>
                <w:sz w:val="20"/>
                <w:szCs w:val="20"/>
              </w:rPr>
            </w:pPr>
            <w:r w:rsidRPr="004A4E23">
              <w:rPr>
                <w:rFonts w:asciiTheme="minorHAnsi" w:hAnsiTheme="minorHAnsi" w:cs="Arial"/>
                <w:b/>
                <w:sz w:val="20"/>
                <w:szCs w:val="20"/>
                <w:lang w:val="en-US"/>
              </w:rPr>
              <w:t xml:space="preserve">Print media (newspapers </w:t>
            </w:r>
            <w:r>
              <w:rPr>
                <w:rFonts w:asciiTheme="minorHAnsi" w:hAnsiTheme="minorHAnsi" w:cs="Arial"/>
                <w:b/>
                <w:sz w:val="20"/>
                <w:szCs w:val="20"/>
                <w:lang w:val="en-US"/>
              </w:rPr>
              <w:t xml:space="preserve"> m</w:t>
            </w:r>
            <w:r w:rsidRPr="004A4E23">
              <w:rPr>
                <w:rFonts w:asciiTheme="minorHAnsi" w:hAnsiTheme="minorHAnsi" w:cs="Arial"/>
                <w:b/>
                <w:sz w:val="20"/>
                <w:szCs w:val="20"/>
                <w:lang w:val="en-US"/>
              </w:rPr>
              <w:t>agazines)</w:t>
            </w:r>
          </w:p>
        </w:tc>
        <w:tc>
          <w:tcPr>
            <w:tcW w:w="1418" w:type="dxa"/>
            <w:tcBorders>
              <w:top w:val="single" w:sz="12" w:space="0" w:color="auto"/>
              <w:bottom w:val="single" w:sz="12" w:space="0" w:color="auto"/>
            </w:tcBorders>
            <w:hideMark/>
          </w:tcPr>
          <w:p w14:paraId="54BDA4C5" w14:textId="653F90EE" w:rsidR="00775827" w:rsidRPr="004A4E23" w:rsidRDefault="00775827" w:rsidP="00E46A83">
            <w:pPr>
              <w:jc w:val="right"/>
              <w:rPr>
                <w:rFonts w:asciiTheme="minorHAnsi" w:hAnsiTheme="minorHAnsi" w:cs="Arial"/>
                <w:b/>
                <w:sz w:val="20"/>
                <w:szCs w:val="20"/>
              </w:rPr>
            </w:pPr>
            <w:r w:rsidRPr="004A4E23">
              <w:rPr>
                <w:rFonts w:asciiTheme="minorHAnsi" w:hAnsiTheme="minorHAnsi" w:cs="Arial"/>
                <w:b/>
                <w:sz w:val="20"/>
                <w:szCs w:val="20"/>
                <w:lang w:val="en-US"/>
              </w:rPr>
              <w:t xml:space="preserve">Social </w:t>
            </w:r>
            <w:r>
              <w:rPr>
                <w:rFonts w:asciiTheme="minorHAnsi" w:hAnsiTheme="minorHAnsi" w:cs="Arial"/>
                <w:b/>
                <w:sz w:val="20"/>
                <w:szCs w:val="20"/>
                <w:lang w:val="en-US"/>
              </w:rPr>
              <w:t xml:space="preserve"> </w:t>
            </w:r>
            <w:r w:rsidR="00E46A83">
              <w:rPr>
                <w:rFonts w:asciiTheme="minorHAnsi" w:hAnsiTheme="minorHAnsi" w:cs="Arial"/>
                <w:b/>
                <w:sz w:val="20"/>
                <w:szCs w:val="20"/>
                <w:lang w:val="en-US"/>
              </w:rPr>
              <w:t xml:space="preserve">   </w:t>
            </w:r>
            <w:r w:rsidRPr="004A4E23">
              <w:rPr>
                <w:rFonts w:asciiTheme="minorHAnsi" w:hAnsiTheme="minorHAnsi" w:cs="Arial"/>
                <w:b/>
                <w:sz w:val="20"/>
                <w:szCs w:val="20"/>
                <w:lang w:val="en-US"/>
              </w:rPr>
              <w:t xml:space="preserve">media </w:t>
            </w:r>
          </w:p>
        </w:tc>
        <w:tc>
          <w:tcPr>
            <w:tcW w:w="1417" w:type="dxa"/>
            <w:tcBorders>
              <w:top w:val="single" w:sz="12" w:space="0" w:color="auto"/>
              <w:bottom w:val="single" w:sz="12" w:space="0" w:color="auto"/>
            </w:tcBorders>
            <w:hideMark/>
          </w:tcPr>
          <w:p w14:paraId="0A6705B1" w14:textId="1D61AAF5" w:rsidR="00775827" w:rsidRPr="004A4E23" w:rsidRDefault="00775827" w:rsidP="00E46A83">
            <w:pPr>
              <w:jc w:val="right"/>
              <w:rPr>
                <w:rFonts w:asciiTheme="minorHAnsi" w:hAnsiTheme="minorHAnsi" w:cs="Arial"/>
                <w:b/>
                <w:sz w:val="20"/>
                <w:szCs w:val="20"/>
              </w:rPr>
            </w:pPr>
            <w:r w:rsidRPr="00372958">
              <w:rPr>
                <w:rFonts w:asciiTheme="minorHAnsi" w:hAnsiTheme="minorHAnsi" w:cs="Arial"/>
                <w:b/>
                <w:sz w:val="20"/>
                <w:szCs w:val="20"/>
                <w:lang w:val="en-GB"/>
              </w:rPr>
              <w:t xml:space="preserve">Web sites, </w:t>
            </w:r>
            <w:r>
              <w:rPr>
                <w:rFonts w:asciiTheme="minorHAnsi" w:hAnsiTheme="minorHAnsi" w:cs="Arial"/>
                <w:b/>
                <w:sz w:val="20"/>
                <w:szCs w:val="20"/>
              </w:rPr>
              <w:t xml:space="preserve">    </w:t>
            </w:r>
            <w:r w:rsidRPr="00372958">
              <w:rPr>
                <w:rFonts w:asciiTheme="minorHAnsi" w:hAnsiTheme="minorHAnsi" w:cs="Arial"/>
                <w:b/>
                <w:sz w:val="20"/>
                <w:szCs w:val="20"/>
                <w:lang w:val="en-GB"/>
              </w:rPr>
              <w:t xml:space="preserve">e-mail, intranets </w:t>
            </w:r>
            <w:r w:rsidRPr="00372958">
              <w:rPr>
                <w:rFonts w:asciiTheme="minorHAnsi" w:hAnsiTheme="minorHAnsi" w:cs="Arial"/>
                <w:i/>
                <w:sz w:val="20"/>
                <w:szCs w:val="20"/>
                <w:lang w:val="en-GB"/>
              </w:rPr>
              <w:t>(owned)</w:t>
            </w:r>
          </w:p>
        </w:tc>
        <w:tc>
          <w:tcPr>
            <w:tcW w:w="1418" w:type="dxa"/>
            <w:tcBorders>
              <w:top w:val="single" w:sz="12" w:space="0" w:color="auto"/>
              <w:bottom w:val="single" w:sz="12" w:space="0" w:color="auto"/>
            </w:tcBorders>
            <w:hideMark/>
          </w:tcPr>
          <w:p w14:paraId="2D520EE6" w14:textId="77777777" w:rsidR="00775827" w:rsidRPr="004A4E23" w:rsidRDefault="00775827" w:rsidP="00E46A83">
            <w:pPr>
              <w:jc w:val="right"/>
              <w:rPr>
                <w:rFonts w:asciiTheme="minorHAnsi" w:hAnsiTheme="minorHAnsi" w:cs="Arial"/>
                <w:b/>
                <w:sz w:val="20"/>
                <w:szCs w:val="20"/>
              </w:rPr>
            </w:pPr>
            <w:r w:rsidRPr="004A4E23">
              <w:rPr>
                <w:rFonts w:asciiTheme="minorHAnsi" w:hAnsiTheme="minorHAnsi" w:cs="Arial"/>
                <w:b/>
                <w:sz w:val="20"/>
                <w:szCs w:val="20"/>
                <w:lang w:val="en-US"/>
              </w:rPr>
              <w:t xml:space="preserve">Online newspapers </w:t>
            </w:r>
            <w:r>
              <w:rPr>
                <w:rFonts w:asciiTheme="minorHAnsi" w:hAnsiTheme="minorHAnsi" w:cs="Arial"/>
                <w:b/>
                <w:sz w:val="20"/>
                <w:szCs w:val="20"/>
                <w:lang w:val="en-US"/>
              </w:rPr>
              <w:t xml:space="preserve"> </w:t>
            </w:r>
            <w:r w:rsidRPr="004A4E23">
              <w:rPr>
                <w:rFonts w:asciiTheme="minorHAnsi" w:hAnsiTheme="minorHAnsi" w:cs="Arial"/>
                <w:b/>
                <w:sz w:val="20"/>
                <w:szCs w:val="20"/>
                <w:lang w:val="en-US"/>
              </w:rPr>
              <w:t>&amp;</w:t>
            </w:r>
            <w:r>
              <w:rPr>
                <w:rFonts w:asciiTheme="minorHAnsi" w:hAnsiTheme="minorHAnsi" w:cs="Arial"/>
                <w:b/>
                <w:sz w:val="20"/>
                <w:szCs w:val="20"/>
              </w:rPr>
              <w:t xml:space="preserve"> </w:t>
            </w:r>
            <w:r w:rsidRPr="004A4E23">
              <w:rPr>
                <w:rFonts w:asciiTheme="minorHAnsi" w:hAnsiTheme="minorHAnsi" w:cs="Arial"/>
                <w:b/>
                <w:sz w:val="20"/>
                <w:szCs w:val="20"/>
                <w:lang w:val="en-US"/>
              </w:rPr>
              <w:t>magazines</w:t>
            </w:r>
          </w:p>
        </w:tc>
        <w:tc>
          <w:tcPr>
            <w:tcW w:w="1276" w:type="dxa"/>
            <w:tcBorders>
              <w:top w:val="single" w:sz="12" w:space="0" w:color="auto"/>
              <w:bottom w:val="single" w:sz="12" w:space="0" w:color="auto"/>
            </w:tcBorders>
            <w:hideMark/>
          </w:tcPr>
          <w:p w14:paraId="40125EDA" w14:textId="11311E78" w:rsidR="00775827" w:rsidRPr="00D76AE6" w:rsidRDefault="00E46A83" w:rsidP="00E46A83">
            <w:pPr>
              <w:jc w:val="right"/>
              <w:rPr>
                <w:rFonts w:asciiTheme="minorHAnsi" w:hAnsiTheme="minorHAnsi" w:cs="Arial"/>
                <w:b/>
                <w:sz w:val="20"/>
                <w:szCs w:val="20"/>
                <w:lang w:val="de-DE"/>
              </w:rPr>
            </w:pPr>
            <w:r>
              <w:rPr>
                <w:rFonts w:asciiTheme="minorHAnsi" w:hAnsiTheme="minorHAnsi" w:cs="Arial"/>
                <w:b/>
                <w:sz w:val="20"/>
                <w:szCs w:val="20"/>
                <w:lang w:val="de-DE"/>
              </w:rPr>
              <w:t xml:space="preserve">Face to      </w:t>
            </w:r>
            <w:r w:rsidR="00775827">
              <w:rPr>
                <w:rFonts w:asciiTheme="minorHAnsi" w:hAnsiTheme="minorHAnsi" w:cs="Arial"/>
                <w:b/>
                <w:sz w:val="20"/>
                <w:szCs w:val="20"/>
                <w:lang w:val="de-DE"/>
              </w:rPr>
              <w:t>face</w:t>
            </w:r>
          </w:p>
        </w:tc>
        <w:tc>
          <w:tcPr>
            <w:tcW w:w="1134" w:type="dxa"/>
            <w:tcBorders>
              <w:top w:val="single" w:sz="12" w:space="0" w:color="auto"/>
              <w:bottom w:val="single" w:sz="12" w:space="0" w:color="auto"/>
            </w:tcBorders>
            <w:hideMark/>
          </w:tcPr>
          <w:p w14:paraId="1BCDAE1C" w14:textId="77777777" w:rsidR="00775827" w:rsidRPr="004A4E23" w:rsidRDefault="00775827" w:rsidP="00E46A83">
            <w:pPr>
              <w:jc w:val="right"/>
              <w:rPr>
                <w:rFonts w:asciiTheme="minorHAnsi" w:hAnsiTheme="minorHAnsi"/>
                <w:b/>
                <w:sz w:val="20"/>
                <w:szCs w:val="20"/>
              </w:rPr>
            </w:pPr>
            <w:r w:rsidRPr="004A4E23">
              <w:rPr>
                <w:rFonts w:asciiTheme="minorHAnsi" w:hAnsiTheme="minorHAnsi"/>
                <w:b/>
                <w:sz w:val="20"/>
                <w:szCs w:val="20"/>
                <w:lang w:val="en-US"/>
              </w:rPr>
              <w:t>TV and radio</w:t>
            </w:r>
          </w:p>
        </w:tc>
      </w:tr>
      <w:tr w:rsidR="00775827" w:rsidRPr="004A4E23" w14:paraId="0D7609D7" w14:textId="77777777" w:rsidTr="00E46A83">
        <w:trPr>
          <w:trHeight w:val="325"/>
        </w:trPr>
        <w:tc>
          <w:tcPr>
            <w:tcW w:w="1554" w:type="dxa"/>
            <w:tcBorders>
              <w:top w:val="single" w:sz="12" w:space="0" w:color="auto"/>
            </w:tcBorders>
            <w:hideMark/>
          </w:tcPr>
          <w:p w14:paraId="73937174" w14:textId="77777777" w:rsidR="00775827" w:rsidRPr="004A4E23" w:rsidRDefault="00775827" w:rsidP="00775827">
            <w:pPr>
              <w:rPr>
                <w:rFonts w:asciiTheme="minorHAnsi" w:hAnsiTheme="minorHAnsi" w:cs="Arial"/>
                <w:sz w:val="20"/>
                <w:szCs w:val="20"/>
              </w:rPr>
            </w:pPr>
            <w:r w:rsidRPr="004A4E23">
              <w:rPr>
                <w:rFonts w:asciiTheme="minorHAnsi" w:hAnsiTheme="minorHAnsi" w:cs="Arial"/>
                <w:sz w:val="20"/>
                <w:szCs w:val="20"/>
                <w:lang w:val="de-DE"/>
              </w:rPr>
              <w:t>Australia</w:t>
            </w:r>
          </w:p>
        </w:tc>
        <w:tc>
          <w:tcPr>
            <w:tcW w:w="1281" w:type="dxa"/>
            <w:tcBorders>
              <w:top w:val="single" w:sz="12" w:space="0" w:color="auto"/>
            </w:tcBorders>
            <w:hideMark/>
          </w:tcPr>
          <w:p w14:paraId="7A747316"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38.6%</w:t>
            </w:r>
          </w:p>
        </w:tc>
        <w:tc>
          <w:tcPr>
            <w:tcW w:w="1418" w:type="dxa"/>
            <w:tcBorders>
              <w:top w:val="single" w:sz="12" w:space="0" w:color="auto"/>
            </w:tcBorders>
            <w:hideMark/>
          </w:tcPr>
          <w:p w14:paraId="60700E3F"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91.5%</w:t>
            </w:r>
          </w:p>
        </w:tc>
        <w:tc>
          <w:tcPr>
            <w:tcW w:w="1417" w:type="dxa"/>
            <w:tcBorders>
              <w:top w:val="single" w:sz="12" w:space="0" w:color="auto"/>
            </w:tcBorders>
            <w:hideMark/>
          </w:tcPr>
          <w:p w14:paraId="45DF7F72"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88.2%</w:t>
            </w:r>
          </w:p>
        </w:tc>
        <w:tc>
          <w:tcPr>
            <w:tcW w:w="1418" w:type="dxa"/>
            <w:tcBorders>
              <w:top w:val="single" w:sz="12" w:space="0" w:color="auto"/>
            </w:tcBorders>
            <w:hideMark/>
          </w:tcPr>
          <w:p w14:paraId="2A291C38"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76.6%</w:t>
            </w:r>
          </w:p>
        </w:tc>
        <w:tc>
          <w:tcPr>
            <w:tcW w:w="1276" w:type="dxa"/>
            <w:tcBorders>
              <w:top w:val="single" w:sz="12" w:space="0" w:color="auto"/>
            </w:tcBorders>
            <w:hideMark/>
          </w:tcPr>
          <w:p w14:paraId="062C6817"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80.3%</w:t>
            </w:r>
          </w:p>
        </w:tc>
        <w:tc>
          <w:tcPr>
            <w:tcW w:w="1134" w:type="dxa"/>
            <w:tcBorders>
              <w:top w:val="single" w:sz="12" w:space="0" w:color="auto"/>
            </w:tcBorders>
            <w:hideMark/>
          </w:tcPr>
          <w:p w14:paraId="70A1E25D" w14:textId="77777777" w:rsidR="00775827" w:rsidRPr="004A4E23" w:rsidRDefault="00775827" w:rsidP="00E46A83">
            <w:pPr>
              <w:jc w:val="right"/>
              <w:rPr>
                <w:rFonts w:asciiTheme="minorHAnsi" w:hAnsiTheme="minorHAnsi"/>
                <w:sz w:val="20"/>
                <w:szCs w:val="20"/>
              </w:rPr>
            </w:pPr>
            <w:r w:rsidRPr="004A4E23">
              <w:rPr>
                <w:rFonts w:asciiTheme="minorHAnsi" w:hAnsiTheme="minorHAnsi"/>
                <w:sz w:val="20"/>
                <w:szCs w:val="20"/>
                <w:lang w:val="de-DE"/>
              </w:rPr>
              <w:t>44.7%</w:t>
            </w:r>
          </w:p>
        </w:tc>
      </w:tr>
      <w:tr w:rsidR="00775827" w:rsidRPr="004A4E23" w14:paraId="33FF65DE" w14:textId="77777777" w:rsidTr="00E46A83">
        <w:trPr>
          <w:trHeight w:val="325"/>
        </w:trPr>
        <w:tc>
          <w:tcPr>
            <w:tcW w:w="1554" w:type="dxa"/>
            <w:hideMark/>
          </w:tcPr>
          <w:p w14:paraId="046440EB" w14:textId="77777777" w:rsidR="00775827" w:rsidRPr="004A4E23" w:rsidRDefault="00775827" w:rsidP="00775827">
            <w:pPr>
              <w:rPr>
                <w:rFonts w:asciiTheme="minorHAnsi" w:hAnsiTheme="minorHAnsi" w:cs="Arial"/>
                <w:sz w:val="20"/>
                <w:szCs w:val="20"/>
              </w:rPr>
            </w:pPr>
            <w:r w:rsidRPr="004A4E23">
              <w:rPr>
                <w:rFonts w:asciiTheme="minorHAnsi" w:hAnsiTheme="minorHAnsi" w:cs="Arial"/>
                <w:sz w:val="20"/>
                <w:szCs w:val="20"/>
                <w:lang w:val="de-DE"/>
              </w:rPr>
              <w:t>China</w:t>
            </w:r>
          </w:p>
        </w:tc>
        <w:tc>
          <w:tcPr>
            <w:tcW w:w="1281" w:type="dxa"/>
            <w:hideMark/>
          </w:tcPr>
          <w:p w14:paraId="151B399C"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40.8%</w:t>
            </w:r>
          </w:p>
        </w:tc>
        <w:tc>
          <w:tcPr>
            <w:tcW w:w="1418" w:type="dxa"/>
            <w:hideMark/>
          </w:tcPr>
          <w:p w14:paraId="507DDF07"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88.1%</w:t>
            </w:r>
          </w:p>
        </w:tc>
        <w:tc>
          <w:tcPr>
            <w:tcW w:w="1417" w:type="dxa"/>
            <w:hideMark/>
          </w:tcPr>
          <w:p w14:paraId="07E1E2B8"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71.7%</w:t>
            </w:r>
          </w:p>
        </w:tc>
        <w:tc>
          <w:tcPr>
            <w:tcW w:w="1418" w:type="dxa"/>
            <w:hideMark/>
          </w:tcPr>
          <w:p w14:paraId="7FC351C8"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83.8%</w:t>
            </w:r>
          </w:p>
        </w:tc>
        <w:tc>
          <w:tcPr>
            <w:tcW w:w="1276" w:type="dxa"/>
            <w:hideMark/>
          </w:tcPr>
          <w:p w14:paraId="0325548E"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75.0%</w:t>
            </w:r>
          </w:p>
        </w:tc>
        <w:tc>
          <w:tcPr>
            <w:tcW w:w="1134" w:type="dxa"/>
            <w:hideMark/>
          </w:tcPr>
          <w:p w14:paraId="4A297878" w14:textId="77777777" w:rsidR="00775827" w:rsidRPr="004A4E23" w:rsidRDefault="00775827" w:rsidP="00E46A83">
            <w:pPr>
              <w:jc w:val="right"/>
              <w:rPr>
                <w:rFonts w:asciiTheme="minorHAnsi" w:hAnsiTheme="minorHAnsi"/>
                <w:sz w:val="20"/>
                <w:szCs w:val="20"/>
              </w:rPr>
            </w:pPr>
            <w:r w:rsidRPr="004A4E23">
              <w:rPr>
                <w:rFonts w:asciiTheme="minorHAnsi" w:hAnsiTheme="minorHAnsi"/>
                <w:sz w:val="20"/>
                <w:szCs w:val="20"/>
                <w:lang w:val="de-DE"/>
              </w:rPr>
              <w:t>42.4%</w:t>
            </w:r>
          </w:p>
        </w:tc>
      </w:tr>
      <w:tr w:rsidR="00775827" w:rsidRPr="004A4E23" w14:paraId="09C0F50C" w14:textId="77777777" w:rsidTr="00E46A83">
        <w:trPr>
          <w:trHeight w:val="325"/>
        </w:trPr>
        <w:tc>
          <w:tcPr>
            <w:tcW w:w="1554" w:type="dxa"/>
            <w:hideMark/>
          </w:tcPr>
          <w:p w14:paraId="67F3D10F" w14:textId="77777777" w:rsidR="00775827" w:rsidRPr="004A4E23" w:rsidRDefault="00775827" w:rsidP="00775827">
            <w:pPr>
              <w:rPr>
                <w:rFonts w:asciiTheme="minorHAnsi" w:hAnsiTheme="minorHAnsi" w:cs="Arial"/>
                <w:sz w:val="20"/>
                <w:szCs w:val="20"/>
              </w:rPr>
            </w:pPr>
            <w:r w:rsidRPr="004A4E23">
              <w:rPr>
                <w:rFonts w:asciiTheme="minorHAnsi" w:hAnsiTheme="minorHAnsi" w:cs="Arial"/>
                <w:sz w:val="20"/>
                <w:szCs w:val="20"/>
                <w:lang w:val="de-DE"/>
              </w:rPr>
              <w:t>Hong Kong</w:t>
            </w:r>
          </w:p>
        </w:tc>
        <w:tc>
          <w:tcPr>
            <w:tcW w:w="1281" w:type="dxa"/>
            <w:hideMark/>
          </w:tcPr>
          <w:p w14:paraId="0FA81D5F"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52.0%</w:t>
            </w:r>
          </w:p>
        </w:tc>
        <w:tc>
          <w:tcPr>
            <w:tcW w:w="1418" w:type="dxa"/>
            <w:hideMark/>
          </w:tcPr>
          <w:p w14:paraId="3F7B6EB9"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93.6%</w:t>
            </w:r>
          </w:p>
        </w:tc>
        <w:tc>
          <w:tcPr>
            <w:tcW w:w="1417" w:type="dxa"/>
            <w:hideMark/>
          </w:tcPr>
          <w:p w14:paraId="7D53854C"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82.3%</w:t>
            </w:r>
          </w:p>
        </w:tc>
        <w:tc>
          <w:tcPr>
            <w:tcW w:w="1418" w:type="dxa"/>
            <w:hideMark/>
          </w:tcPr>
          <w:p w14:paraId="082DA980"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89.7%</w:t>
            </w:r>
          </w:p>
        </w:tc>
        <w:tc>
          <w:tcPr>
            <w:tcW w:w="1276" w:type="dxa"/>
            <w:hideMark/>
          </w:tcPr>
          <w:p w14:paraId="5ACC54C3"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76.4%</w:t>
            </w:r>
          </w:p>
        </w:tc>
        <w:tc>
          <w:tcPr>
            <w:tcW w:w="1134" w:type="dxa"/>
            <w:hideMark/>
          </w:tcPr>
          <w:p w14:paraId="6BDC9EB2" w14:textId="77777777" w:rsidR="00775827" w:rsidRPr="004A4E23" w:rsidRDefault="00775827" w:rsidP="00E46A83">
            <w:pPr>
              <w:jc w:val="right"/>
              <w:rPr>
                <w:rFonts w:asciiTheme="minorHAnsi" w:hAnsiTheme="minorHAnsi"/>
                <w:sz w:val="20"/>
                <w:szCs w:val="20"/>
              </w:rPr>
            </w:pPr>
            <w:r w:rsidRPr="004A4E23">
              <w:rPr>
                <w:rFonts w:asciiTheme="minorHAnsi" w:hAnsiTheme="minorHAnsi"/>
                <w:sz w:val="20"/>
                <w:szCs w:val="20"/>
                <w:lang w:val="de-DE"/>
              </w:rPr>
              <w:t>42.4%</w:t>
            </w:r>
          </w:p>
        </w:tc>
      </w:tr>
      <w:tr w:rsidR="00775827" w:rsidRPr="004A4E23" w14:paraId="0E74029F" w14:textId="77777777" w:rsidTr="00E46A83">
        <w:trPr>
          <w:trHeight w:val="325"/>
        </w:trPr>
        <w:tc>
          <w:tcPr>
            <w:tcW w:w="1554" w:type="dxa"/>
            <w:hideMark/>
          </w:tcPr>
          <w:p w14:paraId="4A8593DE" w14:textId="77777777" w:rsidR="00775827" w:rsidRPr="004A4E23" w:rsidRDefault="00775827" w:rsidP="00775827">
            <w:pPr>
              <w:rPr>
                <w:rFonts w:asciiTheme="minorHAnsi" w:hAnsiTheme="minorHAnsi" w:cs="Arial"/>
                <w:sz w:val="20"/>
                <w:szCs w:val="20"/>
              </w:rPr>
            </w:pPr>
            <w:r w:rsidRPr="004A4E23">
              <w:rPr>
                <w:rFonts w:asciiTheme="minorHAnsi" w:hAnsiTheme="minorHAnsi" w:cs="Arial"/>
                <w:sz w:val="20"/>
                <w:szCs w:val="20"/>
                <w:lang w:val="de-DE"/>
              </w:rPr>
              <w:t>India</w:t>
            </w:r>
          </w:p>
        </w:tc>
        <w:tc>
          <w:tcPr>
            <w:tcW w:w="1281" w:type="dxa"/>
            <w:hideMark/>
          </w:tcPr>
          <w:p w14:paraId="01868292"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54.3%</w:t>
            </w:r>
          </w:p>
        </w:tc>
        <w:tc>
          <w:tcPr>
            <w:tcW w:w="1418" w:type="dxa"/>
            <w:hideMark/>
          </w:tcPr>
          <w:p w14:paraId="204BC321"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96.3%</w:t>
            </w:r>
          </w:p>
        </w:tc>
        <w:tc>
          <w:tcPr>
            <w:tcW w:w="1417" w:type="dxa"/>
            <w:hideMark/>
          </w:tcPr>
          <w:p w14:paraId="15898349"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90.8%</w:t>
            </w:r>
          </w:p>
        </w:tc>
        <w:tc>
          <w:tcPr>
            <w:tcW w:w="1418" w:type="dxa"/>
            <w:hideMark/>
          </w:tcPr>
          <w:p w14:paraId="577E52A2"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90.0%</w:t>
            </w:r>
          </w:p>
        </w:tc>
        <w:tc>
          <w:tcPr>
            <w:tcW w:w="1276" w:type="dxa"/>
            <w:hideMark/>
          </w:tcPr>
          <w:p w14:paraId="24350182"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65.8%</w:t>
            </w:r>
          </w:p>
        </w:tc>
        <w:tc>
          <w:tcPr>
            <w:tcW w:w="1134" w:type="dxa"/>
            <w:hideMark/>
          </w:tcPr>
          <w:p w14:paraId="2087A28F" w14:textId="77777777" w:rsidR="00775827" w:rsidRPr="004A4E23" w:rsidRDefault="00775827" w:rsidP="00E46A83">
            <w:pPr>
              <w:jc w:val="right"/>
              <w:rPr>
                <w:rFonts w:asciiTheme="minorHAnsi" w:hAnsiTheme="minorHAnsi"/>
                <w:sz w:val="20"/>
                <w:szCs w:val="20"/>
              </w:rPr>
            </w:pPr>
            <w:r w:rsidRPr="004A4E23">
              <w:rPr>
                <w:rFonts w:asciiTheme="minorHAnsi" w:hAnsiTheme="minorHAnsi"/>
                <w:sz w:val="20"/>
                <w:szCs w:val="20"/>
                <w:lang w:val="de-DE"/>
              </w:rPr>
              <w:t>64.2%</w:t>
            </w:r>
          </w:p>
        </w:tc>
      </w:tr>
      <w:tr w:rsidR="00775827" w:rsidRPr="004A4E23" w14:paraId="7C67DC7F" w14:textId="77777777" w:rsidTr="00E46A83">
        <w:trPr>
          <w:trHeight w:val="325"/>
        </w:trPr>
        <w:tc>
          <w:tcPr>
            <w:tcW w:w="1554" w:type="dxa"/>
            <w:hideMark/>
          </w:tcPr>
          <w:p w14:paraId="139549DB" w14:textId="77777777" w:rsidR="00775827" w:rsidRPr="004A4E23" w:rsidRDefault="00775827" w:rsidP="00775827">
            <w:pPr>
              <w:rPr>
                <w:rFonts w:asciiTheme="minorHAnsi" w:hAnsiTheme="minorHAnsi" w:cs="Arial"/>
                <w:sz w:val="20"/>
                <w:szCs w:val="20"/>
              </w:rPr>
            </w:pPr>
            <w:r w:rsidRPr="004A4E23">
              <w:rPr>
                <w:rFonts w:asciiTheme="minorHAnsi" w:hAnsiTheme="minorHAnsi" w:cs="Arial"/>
                <w:sz w:val="20"/>
                <w:szCs w:val="20"/>
                <w:lang w:val="de-DE"/>
              </w:rPr>
              <w:t>Indonesia</w:t>
            </w:r>
          </w:p>
        </w:tc>
        <w:tc>
          <w:tcPr>
            <w:tcW w:w="1281" w:type="dxa"/>
            <w:hideMark/>
          </w:tcPr>
          <w:p w14:paraId="613F23F5"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54.5%</w:t>
            </w:r>
          </w:p>
        </w:tc>
        <w:tc>
          <w:tcPr>
            <w:tcW w:w="1418" w:type="dxa"/>
            <w:hideMark/>
          </w:tcPr>
          <w:p w14:paraId="4E536032"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93.3%</w:t>
            </w:r>
          </w:p>
        </w:tc>
        <w:tc>
          <w:tcPr>
            <w:tcW w:w="1417" w:type="dxa"/>
            <w:hideMark/>
          </w:tcPr>
          <w:p w14:paraId="6F9E311B"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88.9%</w:t>
            </w:r>
          </w:p>
        </w:tc>
        <w:tc>
          <w:tcPr>
            <w:tcW w:w="1418" w:type="dxa"/>
            <w:hideMark/>
          </w:tcPr>
          <w:p w14:paraId="22CEDBEF"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86.7%</w:t>
            </w:r>
          </w:p>
        </w:tc>
        <w:tc>
          <w:tcPr>
            <w:tcW w:w="1276" w:type="dxa"/>
            <w:hideMark/>
          </w:tcPr>
          <w:p w14:paraId="74D834DD"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66.7%</w:t>
            </w:r>
          </w:p>
        </w:tc>
        <w:tc>
          <w:tcPr>
            <w:tcW w:w="1134" w:type="dxa"/>
            <w:hideMark/>
          </w:tcPr>
          <w:p w14:paraId="257108B5" w14:textId="77777777" w:rsidR="00775827" w:rsidRPr="004A4E23" w:rsidRDefault="00775827" w:rsidP="00E46A83">
            <w:pPr>
              <w:jc w:val="right"/>
              <w:rPr>
                <w:rFonts w:asciiTheme="minorHAnsi" w:hAnsiTheme="minorHAnsi"/>
                <w:sz w:val="20"/>
                <w:szCs w:val="20"/>
              </w:rPr>
            </w:pPr>
            <w:r w:rsidRPr="004A4E23">
              <w:rPr>
                <w:rFonts w:asciiTheme="minorHAnsi" w:hAnsiTheme="minorHAnsi"/>
                <w:sz w:val="20"/>
                <w:szCs w:val="20"/>
                <w:lang w:val="de-DE"/>
              </w:rPr>
              <w:t>62.2%</w:t>
            </w:r>
          </w:p>
        </w:tc>
      </w:tr>
      <w:tr w:rsidR="00775827" w:rsidRPr="004A4E23" w14:paraId="250C5B14" w14:textId="77777777" w:rsidTr="00E46A83">
        <w:trPr>
          <w:trHeight w:val="325"/>
        </w:trPr>
        <w:tc>
          <w:tcPr>
            <w:tcW w:w="1554" w:type="dxa"/>
            <w:hideMark/>
          </w:tcPr>
          <w:p w14:paraId="3782DEB0" w14:textId="77777777" w:rsidR="00775827" w:rsidRPr="004A4E23" w:rsidRDefault="00775827" w:rsidP="00775827">
            <w:pPr>
              <w:rPr>
                <w:rFonts w:asciiTheme="minorHAnsi" w:hAnsiTheme="minorHAnsi" w:cs="Arial"/>
                <w:sz w:val="20"/>
                <w:szCs w:val="20"/>
              </w:rPr>
            </w:pPr>
            <w:r w:rsidRPr="004A4E23">
              <w:rPr>
                <w:rFonts w:asciiTheme="minorHAnsi" w:hAnsiTheme="minorHAnsi" w:cs="Arial"/>
                <w:sz w:val="20"/>
                <w:szCs w:val="20"/>
                <w:lang w:val="de-DE"/>
              </w:rPr>
              <w:t>Japan</w:t>
            </w:r>
          </w:p>
        </w:tc>
        <w:tc>
          <w:tcPr>
            <w:tcW w:w="1281" w:type="dxa"/>
            <w:hideMark/>
          </w:tcPr>
          <w:p w14:paraId="32A5C4CE"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51.0%</w:t>
            </w:r>
          </w:p>
        </w:tc>
        <w:tc>
          <w:tcPr>
            <w:tcW w:w="1418" w:type="dxa"/>
            <w:hideMark/>
          </w:tcPr>
          <w:p w14:paraId="1C7BD586"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85.7%</w:t>
            </w:r>
          </w:p>
        </w:tc>
        <w:tc>
          <w:tcPr>
            <w:tcW w:w="1417" w:type="dxa"/>
            <w:hideMark/>
          </w:tcPr>
          <w:p w14:paraId="55BB427B"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85.4%</w:t>
            </w:r>
          </w:p>
        </w:tc>
        <w:tc>
          <w:tcPr>
            <w:tcW w:w="1418" w:type="dxa"/>
            <w:hideMark/>
          </w:tcPr>
          <w:p w14:paraId="0BF2497F"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87.8%</w:t>
            </w:r>
          </w:p>
        </w:tc>
        <w:tc>
          <w:tcPr>
            <w:tcW w:w="1276" w:type="dxa"/>
            <w:hideMark/>
          </w:tcPr>
          <w:p w14:paraId="68FA3452"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81.6%</w:t>
            </w:r>
          </w:p>
        </w:tc>
        <w:tc>
          <w:tcPr>
            <w:tcW w:w="1134" w:type="dxa"/>
            <w:hideMark/>
          </w:tcPr>
          <w:p w14:paraId="61B62DEA" w14:textId="77777777" w:rsidR="00775827" w:rsidRPr="004A4E23" w:rsidRDefault="00775827" w:rsidP="00E46A83">
            <w:pPr>
              <w:jc w:val="right"/>
              <w:rPr>
                <w:rFonts w:asciiTheme="minorHAnsi" w:hAnsiTheme="minorHAnsi"/>
                <w:sz w:val="20"/>
                <w:szCs w:val="20"/>
              </w:rPr>
            </w:pPr>
            <w:r w:rsidRPr="004A4E23">
              <w:rPr>
                <w:rFonts w:asciiTheme="minorHAnsi" w:hAnsiTheme="minorHAnsi"/>
                <w:sz w:val="20"/>
                <w:szCs w:val="20"/>
                <w:lang w:val="de-DE"/>
              </w:rPr>
              <w:t>49.0%</w:t>
            </w:r>
          </w:p>
        </w:tc>
      </w:tr>
      <w:tr w:rsidR="00775827" w:rsidRPr="004A4E23" w14:paraId="71EFCD5F" w14:textId="77777777" w:rsidTr="00E46A83">
        <w:trPr>
          <w:trHeight w:val="325"/>
        </w:trPr>
        <w:tc>
          <w:tcPr>
            <w:tcW w:w="1554" w:type="dxa"/>
            <w:hideMark/>
          </w:tcPr>
          <w:p w14:paraId="660EC569" w14:textId="77777777" w:rsidR="00775827" w:rsidRPr="004A4E23" w:rsidRDefault="00775827" w:rsidP="00775827">
            <w:pPr>
              <w:rPr>
                <w:rFonts w:asciiTheme="minorHAnsi" w:hAnsiTheme="minorHAnsi" w:cs="Arial"/>
                <w:sz w:val="20"/>
                <w:szCs w:val="20"/>
              </w:rPr>
            </w:pPr>
            <w:r w:rsidRPr="004A4E23">
              <w:rPr>
                <w:rFonts w:asciiTheme="minorHAnsi" w:hAnsiTheme="minorHAnsi" w:cs="Arial"/>
                <w:sz w:val="20"/>
                <w:szCs w:val="20"/>
                <w:lang w:val="de-DE"/>
              </w:rPr>
              <w:t>Korea</w:t>
            </w:r>
          </w:p>
        </w:tc>
        <w:tc>
          <w:tcPr>
            <w:tcW w:w="1281" w:type="dxa"/>
            <w:hideMark/>
          </w:tcPr>
          <w:p w14:paraId="5FB8415B"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42.4%</w:t>
            </w:r>
          </w:p>
        </w:tc>
        <w:tc>
          <w:tcPr>
            <w:tcW w:w="1418" w:type="dxa"/>
            <w:hideMark/>
          </w:tcPr>
          <w:p w14:paraId="3AB035B2"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84.8%</w:t>
            </w:r>
          </w:p>
        </w:tc>
        <w:tc>
          <w:tcPr>
            <w:tcW w:w="1417" w:type="dxa"/>
            <w:hideMark/>
          </w:tcPr>
          <w:p w14:paraId="1508CE40"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63.6%</w:t>
            </w:r>
          </w:p>
        </w:tc>
        <w:tc>
          <w:tcPr>
            <w:tcW w:w="1418" w:type="dxa"/>
            <w:hideMark/>
          </w:tcPr>
          <w:p w14:paraId="0DDD25E6"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84.4%</w:t>
            </w:r>
          </w:p>
        </w:tc>
        <w:tc>
          <w:tcPr>
            <w:tcW w:w="1276" w:type="dxa"/>
            <w:hideMark/>
          </w:tcPr>
          <w:p w14:paraId="7803A851"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57.6%</w:t>
            </w:r>
          </w:p>
        </w:tc>
        <w:tc>
          <w:tcPr>
            <w:tcW w:w="1134" w:type="dxa"/>
            <w:hideMark/>
          </w:tcPr>
          <w:p w14:paraId="3F5D1B5E" w14:textId="77777777" w:rsidR="00775827" w:rsidRPr="004A4E23" w:rsidRDefault="00775827" w:rsidP="00E46A83">
            <w:pPr>
              <w:jc w:val="right"/>
              <w:rPr>
                <w:rFonts w:asciiTheme="minorHAnsi" w:hAnsiTheme="minorHAnsi"/>
                <w:sz w:val="20"/>
                <w:szCs w:val="20"/>
              </w:rPr>
            </w:pPr>
            <w:r w:rsidRPr="004A4E23">
              <w:rPr>
                <w:rFonts w:asciiTheme="minorHAnsi" w:hAnsiTheme="minorHAnsi"/>
                <w:sz w:val="20"/>
                <w:szCs w:val="20"/>
                <w:lang w:val="de-DE"/>
              </w:rPr>
              <w:t>62.5%</w:t>
            </w:r>
          </w:p>
        </w:tc>
      </w:tr>
      <w:tr w:rsidR="00775827" w:rsidRPr="004A4E23" w14:paraId="3103E1C5" w14:textId="77777777" w:rsidTr="00E46A83">
        <w:trPr>
          <w:trHeight w:val="325"/>
        </w:trPr>
        <w:tc>
          <w:tcPr>
            <w:tcW w:w="1554" w:type="dxa"/>
            <w:hideMark/>
          </w:tcPr>
          <w:p w14:paraId="17A6A8C1" w14:textId="77777777" w:rsidR="00775827" w:rsidRPr="004A4E23" w:rsidRDefault="00775827" w:rsidP="00775827">
            <w:pPr>
              <w:rPr>
                <w:rFonts w:asciiTheme="minorHAnsi" w:hAnsiTheme="minorHAnsi" w:cs="Arial"/>
                <w:sz w:val="20"/>
                <w:szCs w:val="20"/>
              </w:rPr>
            </w:pPr>
            <w:r w:rsidRPr="004A4E23">
              <w:rPr>
                <w:rFonts w:asciiTheme="minorHAnsi" w:hAnsiTheme="minorHAnsi" w:cs="Arial"/>
                <w:sz w:val="20"/>
                <w:szCs w:val="20"/>
                <w:lang w:val="de-DE"/>
              </w:rPr>
              <w:t>Malaysia</w:t>
            </w:r>
          </w:p>
        </w:tc>
        <w:tc>
          <w:tcPr>
            <w:tcW w:w="1281" w:type="dxa"/>
            <w:hideMark/>
          </w:tcPr>
          <w:p w14:paraId="6FA4B5AC"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52.5%</w:t>
            </w:r>
          </w:p>
        </w:tc>
        <w:tc>
          <w:tcPr>
            <w:tcW w:w="1418" w:type="dxa"/>
            <w:hideMark/>
          </w:tcPr>
          <w:p w14:paraId="1CDA8537"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96.7%</w:t>
            </w:r>
          </w:p>
        </w:tc>
        <w:tc>
          <w:tcPr>
            <w:tcW w:w="1417" w:type="dxa"/>
            <w:hideMark/>
          </w:tcPr>
          <w:p w14:paraId="06356108"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85.2%</w:t>
            </w:r>
          </w:p>
        </w:tc>
        <w:tc>
          <w:tcPr>
            <w:tcW w:w="1418" w:type="dxa"/>
            <w:hideMark/>
          </w:tcPr>
          <w:p w14:paraId="48D81F69"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86.7%</w:t>
            </w:r>
          </w:p>
        </w:tc>
        <w:tc>
          <w:tcPr>
            <w:tcW w:w="1276" w:type="dxa"/>
            <w:hideMark/>
          </w:tcPr>
          <w:p w14:paraId="2639DF21"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72.1%</w:t>
            </w:r>
          </w:p>
        </w:tc>
        <w:tc>
          <w:tcPr>
            <w:tcW w:w="1134" w:type="dxa"/>
            <w:hideMark/>
          </w:tcPr>
          <w:p w14:paraId="1531C29E" w14:textId="77777777" w:rsidR="00775827" w:rsidRPr="004A4E23" w:rsidRDefault="00775827" w:rsidP="00E46A83">
            <w:pPr>
              <w:jc w:val="right"/>
              <w:rPr>
                <w:rFonts w:asciiTheme="minorHAnsi" w:hAnsiTheme="minorHAnsi"/>
                <w:sz w:val="20"/>
                <w:szCs w:val="20"/>
              </w:rPr>
            </w:pPr>
            <w:r w:rsidRPr="004A4E23">
              <w:rPr>
                <w:rFonts w:asciiTheme="minorHAnsi" w:hAnsiTheme="minorHAnsi"/>
                <w:sz w:val="20"/>
                <w:szCs w:val="20"/>
                <w:lang w:val="de-DE"/>
              </w:rPr>
              <w:t>71.7%</w:t>
            </w:r>
          </w:p>
        </w:tc>
      </w:tr>
      <w:tr w:rsidR="00775827" w:rsidRPr="004A4E23" w14:paraId="4A6E1B20" w14:textId="77777777" w:rsidTr="00E46A83">
        <w:trPr>
          <w:trHeight w:val="325"/>
        </w:trPr>
        <w:tc>
          <w:tcPr>
            <w:tcW w:w="1554" w:type="dxa"/>
            <w:hideMark/>
          </w:tcPr>
          <w:p w14:paraId="7CF90925" w14:textId="77777777" w:rsidR="00775827" w:rsidRPr="004A4E23" w:rsidRDefault="00775827" w:rsidP="00775827">
            <w:pPr>
              <w:rPr>
                <w:rFonts w:asciiTheme="minorHAnsi" w:hAnsiTheme="minorHAnsi" w:cs="Arial"/>
                <w:sz w:val="20"/>
                <w:szCs w:val="20"/>
              </w:rPr>
            </w:pPr>
            <w:r w:rsidRPr="004A4E23">
              <w:rPr>
                <w:rFonts w:asciiTheme="minorHAnsi" w:hAnsiTheme="minorHAnsi" w:cs="Arial"/>
                <w:sz w:val="20"/>
                <w:szCs w:val="20"/>
                <w:lang w:val="de-DE"/>
              </w:rPr>
              <w:t>New Zealand</w:t>
            </w:r>
          </w:p>
        </w:tc>
        <w:tc>
          <w:tcPr>
            <w:tcW w:w="1281" w:type="dxa"/>
            <w:hideMark/>
          </w:tcPr>
          <w:p w14:paraId="78E0D4B0"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50.0%</w:t>
            </w:r>
          </w:p>
        </w:tc>
        <w:tc>
          <w:tcPr>
            <w:tcW w:w="1418" w:type="dxa"/>
            <w:hideMark/>
          </w:tcPr>
          <w:p w14:paraId="644C54B4"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94.2%</w:t>
            </w:r>
          </w:p>
        </w:tc>
        <w:tc>
          <w:tcPr>
            <w:tcW w:w="1417" w:type="dxa"/>
            <w:hideMark/>
          </w:tcPr>
          <w:p w14:paraId="5F5A6577"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92.3%</w:t>
            </w:r>
          </w:p>
        </w:tc>
        <w:tc>
          <w:tcPr>
            <w:tcW w:w="1418" w:type="dxa"/>
            <w:hideMark/>
          </w:tcPr>
          <w:p w14:paraId="29F36B89"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76.5%</w:t>
            </w:r>
          </w:p>
        </w:tc>
        <w:tc>
          <w:tcPr>
            <w:tcW w:w="1276" w:type="dxa"/>
            <w:hideMark/>
          </w:tcPr>
          <w:p w14:paraId="7A71306C"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84.3%</w:t>
            </w:r>
          </w:p>
        </w:tc>
        <w:tc>
          <w:tcPr>
            <w:tcW w:w="1134" w:type="dxa"/>
            <w:hideMark/>
          </w:tcPr>
          <w:p w14:paraId="635B8E47" w14:textId="77777777" w:rsidR="00775827" w:rsidRPr="004A4E23" w:rsidRDefault="00775827" w:rsidP="00E46A83">
            <w:pPr>
              <w:jc w:val="right"/>
              <w:rPr>
                <w:rFonts w:asciiTheme="minorHAnsi" w:hAnsiTheme="minorHAnsi"/>
                <w:sz w:val="20"/>
                <w:szCs w:val="20"/>
              </w:rPr>
            </w:pPr>
            <w:r w:rsidRPr="004A4E23">
              <w:rPr>
                <w:rFonts w:asciiTheme="minorHAnsi" w:hAnsiTheme="minorHAnsi"/>
                <w:sz w:val="20"/>
                <w:szCs w:val="20"/>
                <w:lang w:val="de-DE"/>
              </w:rPr>
              <w:t>53.8%</w:t>
            </w:r>
          </w:p>
        </w:tc>
      </w:tr>
      <w:tr w:rsidR="00775827" w:rsidRPr="004A4E23" w14:paraId="6278AB5D" w14:textId="77777777" w:rsidTr="00E46A83">
        <w:trPr>
          <w:trHeight w:val="325"/>
        </w:trPr>
        <w:tc>
          <w:tcPr>
            <w:tcW w:w="1554" w:type="dxa"/>
            <w:hideMark/>
          </w:tcPr>
          <w:p w14:paraId="7D137296" w14:textId="77777777" w:rsidR="00775827" w:rsidRPr="004A4E23" w:rsidRDefault="00775827" w:rsidP="00775827">
            <w:pPr>
              <w:rPr>
                <w:rFonts w:asciiTheme="minorHAnsi" w:hAnsiTheme="minorHAnsi" w:cs="Arial"/>
                <w:sz w:val="20"/>
                <w:szCs w:val="20"/>
              </w:rPr>
            </w:pPr>
            <w:r w:rsidRPr="004A4E23">
              <w:rPr>
                <w:rFonts w:asciiTheme="minorHAnsi" w:hAnsiTheme="minorHAnsi" w:cs="Arial"/>
                <w:sz w:val="20"/>
                <w:szCs w:val="20"/>
                <w:lang w:val="de-DE"/>
              </w:rPr>
              <w:t>Philippines</w:t>
            </w:r>
          </w:p>
        </w:tc>
        <w:tc>
          <w:tcPr>
            <w:tcW w:w="1281" w:type="dxa"/>
            <w:hideMark/>
          </w:tcPr>
          <w:p w14:paraId="6E1FEE22"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55.3%</w:t>
            </w:r>
          </w:p>
        </w:tc>
        <w:tc>
          <w:tcPr>
            <w:tcW w:w="1418" w:type="dxa"/>
            <w:hideMark/>
          </w:tcPr>
          <w:p w14:paraId="59FF821D"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97.4%</w:t>
            </w:r>
          </w:p>
        </w:tc>
        <w:tc>
          <w:tcPr>
            <w:tcW w:w="1417" w:type="dxa"/>
            <w:hideMark/>
          </w:tcPr>
          <w:p w14:paraId="3A2F84CD"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92.1%</w:t>
            </w:r>
          </w:p>
        </w:tc>
        <w:tc>
          <w:tcPr>
            <w:tcW w:w="1418" w:type="dxa"/>
            <w:hideMark/>
          </w:tcPr>
          <w:p w14:paraId="4C068663"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86.1%</w:t>
            </w:r>
          </w:p>
        </w:tc>
        <w:tc>
          <w:tcPr>
            <w:tcW w:w="1276" w:type="dxa"/>
            <w:hideMark/>
          </w:tcPr>
          <w:p w14:paraId="315E5C9B"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73.7%</w:t>
            </w:r>
          </w:p>
        </w:tc>
        <w:tc>
          <w:tcPr>
            <w:tcW w:w="1134" w:type="dxa"/>
            <w:hideMark/>
          </w:tcPr>
          <w:p w14:paraId="0C137B95" w14:textId="77777777" w:rsidR="00775827" w:rsidRPr="004A4E23" w:rsidRDefault="00775827" w:rsidP="00E46A83">
            <w:pPr>
              <w:jc w:val="right"/>
              <w:rPr>
                <w:rFonts w:asciiTheme="minorHAnsi" w:hAnsiTheme="minorHAnsi"/>
                <w:sz w:val="20"/>
                <w:szCs w:val="20"/>
              </w:rPr>
            </w:pPr>
            <w:r w:rsidRPr="004A4E23">
              <w:rPr>
                <w:rFonts w:asciiTheme="minorHAnsi" w:hAnsiTheme="minorHAnsi"/>
                <w:sz w:val="20"/>
                <w:szCs w:val="20"/>
                <w:lang w:val="de-DE"/>
              </w:rPr>
              <w:t>76.3%</w:t>
            </w:r>
          </w:p>
        </w:tc>
      </w:tr>
      <w:tr w:rsidR="00775827" w:rsidRPr="004A4E23" w14:paraId="3DBE6CF8" w14:textId="77777777" w:rsidTr="00E46A83">
        <w:trPr>
          <w:trHeight w:val="325"/>
        </w:trPr>
        <w:tc>
          <w:tcPr>
            <w:tcW w:w="1554" w:type="dxa"/>
            <w:hideMark/>
          </w:tcPr>
          <w:p w14:paraId="4A52FD61" w14:textId="77777777" w:rsidR="00775827" w:rsidRPr="004A4E23" w:rsidRDefault="00775827" w:rsidP="00775827">
            <w:pPr>
              <w:rPr>
                <w:rFonts w:asciiTheme="minorHAnsi" w:hAnsiTheme="minorHAnsi" w:cs="Arial"/>
                <w:sz w:val="20"/>
                <w:szCs w:val="20"/>
              </w:rPr>
            </w:pPr>
            <w:r w:rsidRPr="004A4E23">
              <w:rPr>
                <w:rFonts w:asciiTheme="minorHAnsi" w:hAnsiTheme="minorHAnsi" w:cs="Arial"/>
                <w:sz w:val="20"/>
                <w:szCs w:val="20"/>
                <w:lang w:val="de-DE"/>
              </w:rPr>
              <w:t>Singapore</w:t>
            </w:r>
          </w:p>
        </w:tc>
        <w:tc>
          <w:tcPr>
            <w:tcW w:w="1281" w:type="dxa"/>
            <w:hideMark/>
          </w:tcPr>
          <w:p w14:paraId="6CCF4FF9"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47.1%</w:t>
            </w:r>
          </w:p>
        </w:tc>
        <w:tc>
          <w:tcPr>
            <w:tcW w:w="1418" w:type="dxa"/>
            <w:hideMark/>
          </w:tcPr>
          <w:p w14:paraId="683BE636"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92.5%</w:t>
            </w:r>
          </w:p>
        </w:tc>
        <w:tc>
          <w:tcPr>
            <w:tcW w:w="1417" w:type="dxa"/>
            <w:hideMark/>
          </w:tcPr>
          <w:p w14:paraId="5CFB8F0A"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89.0%</w:t>
            </w:r>
          </w:p>
        </w:tc>
        <w:tc>
          <w:tcPr>
            <w:tcW w:w="1418" w:type="dxa"/>
            <w:hideMark/>
          </w:tcPr>
          <w:p w14:paraId="39AB6247"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81.6%</w:t>
            </w:r>
          </w:p>
        </w:tc>
        <w:tc>
          <w:tcPr>
            <w:tcW w:w="1276" w:type="dxa"/>
            <w:hideMark/>
          </w:tcPr>
          <w:p w14:paraId="7EE609FE"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70.1%</w:t>
            </w:r>
          </w:p>
        </w:tc>
        <w:tc>
          <w:tcPr>
            <w:tcW w:w="1134" w:type="dxa"/>
            <w:hideMark/>
          </w:tcPr>
          <w:p w14:paraId="5A1A4B0F" w14:textId="77777777" w:rsidR="00775827" w:rsidRPr="004A4E23" w:rsidRDefault="00775827" w:rsidP="00E46A83">
            <w:pPr>
              <w:jc w:val="right"/>
              <w:rPr>
                <w:rFonts w:asciiTheme="minorHAnsi" w:hAnsiTheme="minorHAnsi"/>
                <w:sz w:val="20"/>
                <w:szCs w:val="20"/>
              </w:rPr>
            </w:pPr>
            <w:r w:rsidRPr="004A4E23">
              <w:rPr>
                <w:rFonts w:asciiTheme="minorHAnsi" w:hAnsiTheme="minorHAnsi"/>
                <w:sz w:val="20"/>
                <w:szCs w:val="20"/>
                <w:lang w:val="de-DE"/>
              </w:rPr>
              <w:t>46.3%</w:t>
            </w:r>
          </w:p>
        </w:tc>
      </w:tr>
      <w:tr w:rsidR="00775827" w:rsidRPr="004A4E23" w14:paraId="49207B2A" w14:textId="77777777" w:rsidTr="00E46A83">
        <w:trPr>
          <w:trHeight w:val="325"/>
        </w:trPr>
        <w:tc>
          <w:tcPr>
            <w:tcW w:w="1554" w:type="dxa"/>
            <w:hideMark/>
          </w:tcPr>
          <w:p w14:paraId="4D673CDC" w14:textId="77777777" w:rsidR="00775827" w:rsidRPr="004A4E23" w:rsidRDefault="00775827" w:rsidP="00775827">
            <w:pPr>
              <w:rPr>
                <w:rFonts w:asciiTheme="minorHAnsi" w:hAnsiTheme="minorHAnsi" w:cs="Arial"/>
                <w:sz w:val="20"/>
                <w:szCs w:val="20"/>
              </w:rPr>
            </w:pPr>
            <w:r w:rsidRPr="004A4E23">
              <w:rPr>
                <w:rFonts w:asciiTheme="minorHAnsi" w:hAnsiTheme="minorHAnsi" w:cs="Arial"/>
                <w:sz w:val="20"/>
                <w:szCs w:val="20"/>
                <w:lang w:val="de-DE"/>
              </w:rPr>
              <w:t>Taiwan</w:t>
            </w:r>
          </w:p>
        </w:tc>
        <w:tc>
          <w:tcPr>
            <w:tcW w:w="1281" w:type="dxa"/>
            <w:hideMark/>
          </w:tcPr>
          <w:p w14:paraId="0C96AACD"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34.6%</w:t>
            </w:r>
          </w:p>
        </w:tc>
        <w:tc>
          <w:tcPr>
            <w:tcW w:w="1418" w:type="dxa"/>
            <w:hideMark/>
          </w:tcPr>
          <w:p w14:paraId="0B233D03"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90.6%</w:t>
            </w:r>
          </w:p>
        </w:tc>
        <w:tc>
          <w:tcPr>
            <w:tcW w:w="1417" w:type="dxa"/>
            <w:hideMark/>
          </w:tcPr>
          <w:p w14:paraId="61E85AF4"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83.3%</w:t>
            </w:r>
          </w:p>
        </w:tc>
        <w:tc>
          <w:tcPr>
            <w:tcW w:w="1418" w:type="dxa"/>
            <w:hideMark/>
          </w:tcPr>
          <w:p w14:paraId="29F62BB1"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77.8%</w:t>
            </w:r>
          </w:p>
        </w:tc>
        <w:tc>
          <w:tcPr>
            <w:tcW w:w="1276" w:type="dxa"/>
            <w:hideMark/>
          </w:tcPr>
          <w:p w14:paraId="63F6F21A"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48.1%</w:t>
            </w:r>
          </w:p>
        </w:tc>
        <w:tc>
          <w:tcPr>
            <w:tcW w:w="1134" w:type="dxa"/>
            <w:hideMark/>
          </w:tcPr>
          <w:p w14:paraId="13B2B041" w14:textId="77777777" w:rsidR="00775827" w:rsidRPr="004A4E23" w:rsidRDefault="00775827" w:rsidP="00E46A83">
            <w:pPr>
              <w:jc w:val="right"/>
              <w:rPr>
                <w:rFonts w:asciiTheme="minorHAnsi" w:hAnsiTheme="minorHAnsi"/>
                <w:sz w:val="20"/>
                <w:szCs w:val="20"/>
              </w:rPr>
            </w:pPr>
            <w:r w:rsidRPr="004A4E23">
              <w:rPr>
                <w:rFonts w:asciiTheme="minorHAnsi" w:hAnsiTheme="minorHAnsi"/>
                <w:sz w:val="20"/>
                <w:szCs w:val="20"/>
                <w:lang w:val="de-DE"/>
              </w:rPr>
              <w:t>46.2%</w:t>
            </w:r>
          </w:p>
        </w:tc>
      </w:tr>
      <w:tr w:rsidR="00775827" w:rsidRPr="004A4E23" w14:paraId="34A1B7CF" w14:textId="77777777" w:rsidTr="00E46A83">
        <w:trPr>
          <w:trHeight w:val="325"/>
        </w:trPr>
        <w:tc>
          <w:tcPr>
            <w:tcW w:w="1554" w:type="dxa"/>
            <w:hideMark/>
          </w:tcPr>
          <w:p w14:paraId="7E21D405" w14:textId="77777777" w:rsidR="00775827" w:rsidRPr="004A4E23" w:rsidRDefault="00775827" w:rsidP="00775827">
            <w:pPr>
              <w:rPr>
                <w:rFonts w:asciiTheme="minorHAnsi" w:hAnsiTheme="minorHAnsi" w:cs="Arial"/>
                <w:sz w:val="20"/>
                <w:szCs w:val="20"/>
              </w:rPr>
            </w:pPr>
            <w:r w:rsidRPr="004A4E23">
              <w:rPr>
                <w:rFonts w:asciiTheme="minorHAnsi" w:hAnsiTheme="minorHAnsi" w:cs="Arial"/>
                <w:sz w:val="20"/>
                <w:szCs w:val="20"/>
                <w:lang w:val="de-DE"/>
              </w:rPr>
              <w:t>Thailand</w:t>
            </w:r>
          </w:p>
        </w:tc>
        <w:tc>
          <w:tcPr>
            <w:tcW w:w="1281" w:type="dxa"/>
            <w:hideMark/>
          </w:tcPr>
          <w:p w14:paraId="72CFB4E1"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54.8%</w:t>
            </w:r>
          </w:p>
        </w:tc>
        <w:tc>
          <w:tcPr>
            <w:tcW w:w="1418" w:type="dxa"/>
            <w:hideMark/>
          </w:tcPr>
          <w:p w14:paraId="255B1FB0"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92.1%</w:t>
            </w:r>
          </w:p>
        </w:tc>
        <w:tc>
          <w:tcPr>
            <w:tcW w:w="1417" w:type="dxa"/>
            <w:hideMark/>
          </w:tcPr>
          <w:p w14:paraId="33DB77D5"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90.5%</w:t>
            </w:r>
          </w:p>
        </w:tc>
        <w:tc>
          <w:tcPr>
            <w:tcW w:w="1418" w:type="dxa"/>
            <w:hideMark/>
          </w:tcPr>
          <w:p w14:paraId="0590F881"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87.3%</w:t>
            </w:r>
          </w:p>
        </w:tc>
        <w:tc>
          <w:tcPr>
            <w:tcW w:w="1276" w:type="dxa"/>
            <w:hideMark/>
          </w:tcPr>
          <w:p w14:paraId="259A2357"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66.1%</w:t>
            </w:r>
          </w:p>
        </w:tc>
        <w:tc>
          <w:tcPr>
            <w:tcW w:w="1134" w:type="dxa"/>
            <w:hideMark/>
          </w:tcPr>
          <w:p w14:paraId="254A761B" w14:textId="77777777" w:rsidR="00775827" w:rsidRPr="004A4E23" w:rsidRDefault="00775827" w:rsidP="00E46A83">
            <w:pPr>
              <w:jc w:val="right"/>
              <w:rPr>
                <w:rFonts w:asciiTheme="minorHAnsi" w:hAnsiTheme="minorHAnsi"/>
                <w:sz w:val="20"/>
                <w:szCs w:val="20"/>
              </w:rPr>
            </w:pPr>
            <w:r w:rsidRPr="004A4E23">
              <w:rPr>
                <w:rFonts w:asciiTheme="minorHAnsi" w:hAnsiTheme="minorHAnsi"/>
                <w:sz w:val="20"/>
                <w:szCs w:val="20"/>
                <w:lang w:val="de-DE"/>
              </w:rPr>
              <w:t>54.0%</w:t>
            </w:r>
          </w:p>
        </w:tc>
      </w:tr>
      <w:tr w:rsidR="00775827" w:rsidRPr="004A4E23" w14:paraId="1A3B0BC5" w14:textId="77777777" w:rsidTr="00E46A83">
        <w:trPr>
          <w:trHeight w:val="325"/>
        </w:trPr>
        <w:tc>
          <w:tcPr>
            <w:tcW w:w="1554" w:type="dxa"/>
            <w:tcBorders>
              <w:bottom w:val="single" w:sz="12" w:space="0" w:color="auto"/>
            </w:tcBorders>
            <w:hideMark/>
          </w:tcPr>
          <w:p w14:paraId="3B155D69" w14:textId="77777777" w:rsidR="00775827" w:rsidRPr="004A4E23" w:rsidRDefault="00775827" w:rsidP="00775827">
            <w:pPr>
              <w:rPr>
                <w:rFonts w:asciiTheme="minorHAnsi" w:hAnsiTheme="minorHAnsi" w:cs="Arial"/>
                <w:sz w:val="20"/>
                <w:szCs w:val="20"/>
              </w:rPr>
            </w:pPr>
            <w:r w:rsidRPr="004A4E23">
              <w:rPr>
                <w:rFonts w:asciiTheme="minorHAnsi" w:hAnsiTheme="minorHAnsi" w:cs="Arial"/>
                <w:sz w:val="20"/>
                <w:szCs w:val="20"/>
                <w:lang w:val="de-DE"/>
              </w:rPr>
              <w:t>Vietnam</w:t>
            </w:r>
          </w:p>
        </w:tc>
        <w:tc>
          <w:tcPr>
            <w:tcW w:w="1281" w:type="dxa"/>
            <w:tcBorders>
              <w:bottom w:val="single" w:sz="12" w:space="0" w:color="auto"/>
            </w:tcBorders>
            <w:hideMark/>
          </w:tcPr>
          <w:p w14:paraId="3DAD5D7C"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30.7%</w:t>
            </w:r>
          </w:p>
        </w:tc>
        <w:tc>
          <w:tcPr>
            <w:tcW w:w="1418" w:type="dxa"/>
            <w:tcBorders>
              <w:bottom w:val="single" w:sz="12" w:space="0" w:color="auto"/>
            </w:tcBorders>
            <w:hideMark/>
          </w:tcPr>
          <w:p w14:paraId="3EE83DCE"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87.4%</w:t>
            </w:r>
          </w:p>
        </w:tc>
        <w:tc>
          <w:tcPr>
            <w:tcW w:w="1417" w:type="dxa"/>
            <w:tcBorders>
              <w:bottom w:val="single" w:sz="12" w:space="0" w:color="auto"/>
            </w:tcBorders>
            <w:hideMark/>
          </w:tcPr>
          <w:p w14:paraId="6E97E6EB"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84.1%</w:t>
            </w:r>
          </w:p>
        </w:tc>
        <w:tc>
          <w:tcPr>
            <w:tcW w:w="1418" w:type="dxa"/>
            <w:tcBorders>
              <w:bottom w:val="single" w:sz="12" w:space="0" w:color="auto"/>
            </w:tcBorders>
            <w:hideMark/>
          </w:tcPr>
          <w:p w14:paraId="5482B277"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76.1%</w:t>
            </w:r>
          </w:p>
        </w:tc>
        <w:tc>
          <w:tcPr>
            <w:tcW w:w="1276" w:type="dxa"/>
            <w:tcBorders>
              <w:bottom w:val="single" w:sz="12" w:space="0" w:color="auto"/>
            </w:tcBorders>
            <w:hideMark/>
          </w:tcPr>
          <w:p w14:paraId="35056B0E" w14:textId="77777777" w:rsidR="00775827" w:rsidRPr="004A4E23" w:rsidRDefault="00775827" w:rsidP="00E46A83">
            <w:pPr>
              <w:jc w:val="right"/>
              <w:rPr>
                <w:rFonts w:asciiTheme="minorHAnsi" w:hAnsiTheme="minorHAnsi" w:cs="Arial"/>
                <w:sz w:val="20"/>
                <w:szCs w:val="20"/>
              </w:rPr>
            </w:pPr>
            <w:r w:rsidRPr="004A4E23">
              <w:rPr>
                <w:rFonts w:asciiTheme="minorHAnsi" w:hAnsiTheme="minorHAnsi" w:cs="Arial"/>
                <w:sz w:val="20"/>
                <w:szCs w:val="20"/>
                <w:lang w:val="de-DE"/>
              </w:rPr>
              <w:t>64.4%</w:t>
            </w:r>
          </w:p>
        </w:tc>
        <w:tc>
          <w:tcPr>
            <w:tcW w:w="1134" w:type="dxa"/>
            <w:tcBorders>
              <w:bottom w:val="single" w:sz="12" w:space="0" w:color="auto"/>
            </w:tcBorders>
            <w:hideMark/>
          </w:tcPr>
          <w:p w14:paraId="2BE8BA2D" w14:textId="77777777" w:rsidR="00775827" w:rsidRPr="004A4E23" w:rsidRDefault="00775827" w:rsidP="00E46A83">
            <w:pPr>
              <w:jc w:val="right"/>
              <w:rPr>
                <w:rFonts w:asciiTheme="minorHAnsi" w:hAnsiTheme="minorHAnsi"/>
                <w:sz w:val="20"/>
                <w:szCs w:val="20"/>
              </w:rPr>
            </w:pPr>
            <w:r w:rsidRPr="004A4E23">
              <w:rPr>
                <w:rFonts w:asciiTheme="minorHAnsi" w:hAnsiTheme="minorHAnsi"/>
                <w:sz w:val="20"/>
                <w:szCs w:val="20"/>
                <w:lang w:val="de-DE"/>
              </w:rPr>
              <w:t>63.2%</w:t>
            </w:r>
          </w:p>
        </w:tc>
      </w:tr>
      <w:tr w:rsidR="00775827" w:rsidRPr="0038243E" w14:paraId="30345AB2" w14:textId="77777777" w:rsidTr="00E46A83">
        <w:trPr>
          <w:trHeight w:val="325"/>
        </w:trPr>
        <w:tc>
          <w:tcPr>
            <w:tcW w:w="1554" w:type="dxa"/>
            <w:tcBorders>
              <w:top w:val="single" w:sz="12" w:space="0" w:color="auto"/>
              <w:bottom w:val="single" w:sz="12" w:space="0" w:color="auto"/>
            </w:tcBorders>
          </w:tcPr>
          <w:p w14:paraId="663F399D" w14:textId="77777777" w:rsidR="00775827" w:rsidRPr="0038243E" w:rsidRDefault="00775827" w:rsidP="00775827">
            <w:pPr>
              <w:rPr>
                <w:rFonts w:asciiTheme="minorHAnsi" w:hAnsiTheme="minorHAnsi" w:cs="Arial"/>
                <w:b/>
                <w:sz w:val="20"/>
                <w:szCs w:val="20"/>
                <w:lang w:val="de-DE"/>
              </w:rPr>
            </w:pPr>
            <w:r>
              <w:rPr>
                <w:rFonts w:asciiTheme="minorHAnsi" w:hAnsiTheme="minorHAnsi" w:cs="Arial"/>
                <w:b/>
                <w:sz w:val="20"/>
                <w:szCs w:val="20"/>
                <w:lang w:val="de-DE"/>
              </w:rPr>
              <w:t>Asia-Pacific</w:t>
            </w:r>
          </w:p>
        </w:tc>
        <w:tc>
          <w:tcPr>
            <w:tcW w:w="1281" w:type="dxa"/>
            <w:tcBorders>
              <w:top w:val="single" w:sz="12" w:space="0" w:color="auto"/>
              <w:bottom w:val="single" w:sz="12" w:space="0" w:color="auto"/>
            </w:tcBorders>
          </w:tcPr>
          <w:p w14:paraId="22922CF4" w14:textId="77777777" w:rsidR="00775827" w:rsidRPr="0038243E" w:rsidRDefault="00775827" w:rsidP="00E46A83">
            <w:pPr>
              <w:jc w:val="right"/>
              <w:rPr>
                <w:rFonts w:asciiTheme="minorHAnsi" w:hAnsiTheme="minorHAnsi" w:cs="Arial"/>
                <w:b/>
                <w:sz w:val="20"/>
                <w:szCs w:val="20"/>
                <w:lang w:val="de-DE"/>
              </w:rPr>
            </w:pPr>
            <w:r>
              <w:rPr>
                <w:rFonts w:asciiTheme="minorHAnsi" w:hAnsiTheme="minorHAnsi" w:cs="Arial"/>
                <w:b/>
                <w:sz w:val="20"/>
                <w:szCs w:val="20"/>
                <w:lang w:val="de-DE"/>
              </w:rPr>
              <w:t>46.9%</w:t>
            </w:r>
          </w:p>
        </w:tc>
        <w:tc>
          <w:tcPr>
            <w:tcW w:w="1418" w:type="dxa"/>
            <w:tcBorders>
              <w:top w:val="single" w:sz="12" w:space="0" w:color="auto"/>
              <w:bottom w:val="single" w:sz="12" w:space="0" w:color="auto"/>
            </w:tcBorders>
          </w:tcPr>
          <w:p w14:paraId="5CD35C37" w14:textId="77777777" w:rsidR="00775827" w:rsidRPr="0038243E" w:rsidRDefault="00775827" w:rsidP="00E46A83">
            <w:pPr>
              <w:jc w:val="right"/>
              <w:rPr>
                <w:rFonts w:asciiTheme="minorHAnsi" w:hAnsiTheme="minorHAnsi" w:cs="Arial"/>
                <w:b/>
                <w:sz w:val="20"/>
                <w:szCs w:val="20"/>
                <w:lang w:val="de-DE"/>
              </w:rPr>
            </w:pPr>
            <w:r>
              <w:rPr>
                <w:rFonts w:asciiTheme="minorHAnsi" w:hAnsiTheme="minorHAnsi" w:cs="Arial"/>
                <w:b/>
                <w:sz w:val="20"/>
                <w:szCs w:val="20"/>
                <w:lang w:val="de-DE"/>
              </w:rPr>
              <w:t>92.2%</w:t>
            </w:r>
          </w:p>
        </w:tc>
        <w:tc>
          <w:tcPr>
            <w:tcW w:w="1417" w:type="dxa"/>
            <w:tcBorders>
              <w:top w:val="single" w:sz="12" w:space="0" w:color="auto"/>
              <w:bottom w:val="single" w:sz="12" w:space="0" w:color="auto"/>
            </w:tcBorders>
          </w:tcPr>
          <w:p w14:paraId="33858013" w14:textId="77777777" w:rsidR="00775827" w:rsidRPr="0038243E" w:rsidRDefault="00775827" w:rsidP="00E46A83">
            <w:pPr>
              <w:jc w:val="right"/>
              <w:rPr>
                <w:rFonts w:asciiTheme="minorHAnsi" w:hAnsiTheme="minorHAnsi" w:cs="Arial"/>
                <w:b/>
                <w:sz w:val="20"/>
                <w:szCs w:val="20"/>
                <w:lang w:val="de-DE"/>
              </w:rPr>
            </w:pPr>
            <w:r>
              <w:rPr>
                <w:rFonts w:asciiTheme="minorHAnsi" w:hAnsiTheme="minorHAnsi" w:cs="Arial"/>
                <w:b/>
                <w:sz w:val="20"/>
                <w:szCs w:val="20"/>
                <w:lang w:val="de-DE"/>
              </w:rPr>
              <w:t>85.6%</w:t>
            </w:r>
          </w:p>
        </w:tc>
        <w:tc>
          <w:tcPr>
            <w:tcW w:w="1418" w:type="dxa"/>
            <w:tcBorders>
              <w:top w:val="single" w:sz="12" w:space="0" w:color="auto"/>
              <w:bottom w:val="single" w:sz="12" w:space="0" w:color="auto"/>
            </w:tcBorders>
          </w:tcPr>
          <w:p w14:paraId="238F276E" w14:textId="77777777" w:rsidR="00775827" w:rsidRPr="0038243E" w:rsidRDefault="00775827" w:rsidP="00E46A83">
            <w:pPr>
              <w:jc w:val="right"/>
              <w:rPr>
                <w:rFonts w:asciiTheme="minorHAnsi" w:hAnsiTheme="minorHAnsi" w:cs="Arial"/>
                <w:b/>
                <w:sz w:val="20"/>
                <w:szCs w:val="20"/>
                <w:lang w:val="de-DE"/>
              </w:rPr>
            </w:pPr>
            <w:r>
              <w:rPr>
                <w:rFonts w:asciiTheme="minorHAnsi" w:hAnsiTheme="minorHAnsi" w:cs="Arial"/>
                <w:b/>
                <w:sz w:val="20"/>
                <w:szCs w:val="20"/>
                <w:lang w:val="de-DE"/>
              </w:rPr>
              <w:t>83.8%</w:t>
            </w:r>
          </w:p>
        </w:tc>
        <w:tc>
          <w:tcPr>
            <w:tcW w:w="1276" w:type="dxa"/>
            <w:tcBorders>
              <w:top w:val="single" w:sz="12" w:space="0" w:color="auto"/>
              <w:bottom w:val="single" w:sz="12" w:space="0" w:color="auto"/>
            </w:tcBorders>
          </w:tcPr>
          <w:p w14:paraId="45E86839" w14:textId="77777777" w:rsidR="00775827" w:rsidRPr="0038243E" w:rsidRDefault="00775827" w:rsidP="00E46A83">
            <w:pPr>
              <w:jc w:val="right"/>
              <w:rPr>
                <w:rFonts w:asciiTheme="minorHAnsi" w:hAnsiTheme="minorHAnsi" w:cs="Arial"/>
                <w:b/>
                <w:sz w:val="20"/>
                <w:szCs w:val="20"/>
                <w:lang w:val="de-DE"/>
              </w:rPr>
            </w:pPr>
            <w:r>
              <w:rPr>
                <w:rFonts w:asciiTheme="minorHAnsi" w:hAnsiTheme="minorHAnsi" w:cs="Arial"/>
                <w:b/>
                <w:sz w:val="20"/>
                <w:szCs w:val="20"/>
                <w:lang w:val="de-DE"/>
              </w:rPr>
              <w:t>71.3%</w:t>
            </w:r>
          </w:p>
        </w:tc>
        <w:tc>
          <w:tcPr>
            <w:tcW w:w="1134" w:type="dxa"/>
            <w:tcBorders>
              <w:top w:val="single" w:sz="12" w:space="0" w:color="auto"/>
              <w:bottom w:val="single" w:sz="12" w:space="0" w:color="auto"/>
            </w:tcBorders>
          </w:tcPr>
          <w:p w14:paraId="7FF3348F" w14:textId="77777777" w:rsidR="00775827" w:rsidRPr="0038243E" w:rsidRDefault="00775827" w:rsidP="00E46A83">
            <w:pPr>
              <w:jc w:val="right"/>
              <w:rPr>
                <w:rFonts w:asciiTheme="minorHAnsi" w:hAnsiTheme="minorHAnsi"/>
                <w:b/>
                <w:sz w:val="20"/>
                <w:szCs w:val="20"/>
                <w:lang w:val="de-DE"/>
              </w:rPr>
            </w:pPr>
            <w:r>
              <w:rPr>
                <w:rFonts w:asciiTheme="minorHAnsi" w:hAnsiTheme="minorHAnsi"/>
                <w:b/>
                <w:sz w:val="20"/>
                <w:szCs w:val="20"/>
                <w:lang w:val="de-DE"/>
              </w:rPr>
              <w:t>53.7%</w:t>
            </w:r>
          </w:p>
        </w:tc>
      </w:tr>
    </w:tbl>
    <w:p w14:paraId="6388252B" w14:textId="77777777" w:rsidR="00775827" w:rsidRDefault="00775827" w:rsidP="00775827"/>
    <w:p w14:paraId="7906DFE6" w14:textId="77777777" w:rsidR="00775827" w:rsidRPr="00F224F8" w:rsidRDefault="00775827" w:rsidP="00775827">
      <w:pPr>
        <w:rPr>
          <w:sz w:val="20"/>
          <w:szCs w:val="20"/>
        </w:rPr>
      </w:pPr>
      <w:r>
        <w:rPr>
          <w:sz w:val="20"/>
          <w:szCs w:val="20"/>
          <w:lang w:val="en-GB"/>
        </w:rPr>
        <w:t>n</w:t>
      </w:r>
      <w:r>
        <w:rPr>
          <w:sz w:val="20"/>
          <w:szCs w:val="20"/>
          <w:vertAlign w:val="subscript"/>
          <w:lang w:val="en-GB"/>
        </w:rPr>
        <w:t xml:space="preserve"> </w:t>
      </w:r>
      <w:r w:rsidRPr="00F224F8">
        <w:rPr>
          <w:sz w:val="20"/>
          <w:szCs w:val="20"/>
          <w:lang w:val="en-GB"/>
        </w:rPr>
        <w:t xml:space="preserve">= 1,131 PR </w:t>
      </w:r>
      <w:r>
        <w:rPr>
          <w:sz w:val="20"/>
          <w:szCs w:val="20"/>
          <w:lang w:val="en-GB"/>
        </w:rPr>
        <w:t>and corporate communication practitioners</w:t>
      </w:r>
      <w:r w:rsidRPr="00F224F8">
        <w:rPr>
          <w:sz w:val="20"/>
          <w:szCs w:val="20"/>
          <w:lang w:val="en-GB"/>
        </w:rPr>
        <w:t xml:space="preserve"> </w:t>
      </w:r>
      <w:r w:rsidRPr="00F224F8">
        <w:rPr>
          <w:sz w:val="20"/>
          <w:szCs w:val="20"/>
          <w:lang w:val="en-US"/>
        </w:rPr>
        <w:t>from 14 countries</w:t>
      </w:r>
      <w:r w:rsidRPr="00F224F8">
        <w:rPr>
          <w:sz w:val="20"/>
          <w:szCs w:val="20"/>
          <w:lang w:val="en-GB"/>
        </w:rPr>
        <w:t xml:space="preserve">. Q 4: How important will the following methods in addressing stakeholders, gatekeepers and audiences today be in three years? </w:t>
      </w:r>
      <w:r w:rsidRPr="00F224F8">
        <w:rPr>
          <w:sz w:val="20"/>
          <w:szCs w:val="20"/>
          <w:lang w:val="en-US"/>
        </w:rPr>
        <w:t>Scale 1 (</w:t>
      </w:r>
      <w:r>
        <w:rPr>
          <w:sz w:val="20"/>
          <w:szCs w:val="20"/>
          <w:lang w:val="en-US"/>
        </w:rPr>
        <w:t>‘</w:t>
      </w:r>
      <w:r w:rsidRPr="00F224F8">
        <w:rPr>
          <w:sz w:val="20"/>
          <w:szCs w:val="20"/>
          <w:lang w:val="en-US"/>
        </w:rPr>
        <w:t>Not important</w:t>
      </w:r>
      <w:r>
        <w:rPr>
          <w:sz w:val="20"/>
          <w:szCs w:val="20"/>
          <w:lang w:val="en-US"/>
        </w:rPr>
        <w:t>’</w:t>
      </w:r>
      <w:r w:rsidRPr="00F224F8">
        <w:rPr>
          <w:sz w:val="20"/>
          <w:szCs w:val="20"/>
          <w:lang w:val="en-US"/>
        </w:rPr>
        <w:t>) – 5 (</w:t>
      </w:r>
      <w:r>
        <w:rPr>
          <w:sz w:val="20"/>
          <w:szCs w:val="20"/>
          <w:lang w:val="en-US"/>
        </w:rPr>
        <w:t>‘</w:t>
      </w:r>
      <w:r w:rsidRPr="00F224F8">
        <w:rPr>
          <w:sz w:val="20"/>
          <w:szCs w:val="20"/>
          <w:lang w:val="en-US"/>
        </w:rPr>
        <w:t>Very important</w:t>
      </w:r>
      <w:r>
        <w:rPr>
          <w:sz w:val="20"/>
          <w:szCs w:val="20"/>
          <w:lang w:val="en-US"/>
        </w:rPr>
        <w:t>’</w:t>
      </w:r>
      <w:r w:rsidRPr="00F224F8">
        <w:rPr>
          <w:sz w:val="20"/>
          <w:szCs w:val="20"/>
          <w:lang w:val="en-US"/>
        </w:rPr>
        <w:t>). Percentages: Fr</w:t>
      </w:r>
      <w:r>
        <w:rPr>
          <w:sz w:val="20"/>
          <w:szCs w:val="20"/>
          <w:lang w:val="en-US"/>
        </w:rPr>
        <w:t>equency based on scale points 4–</w:t>
      </w:r>
      <w:r w:rsidRPr="00F224F8">
        <w:rPr>
          <w:sz w:val="20"/>
          <w:szCs w:val="20"/>
          <w:lang w:val="en-US"/>
        </w:rPr>
        <w:t>5.</w:t>
      </w:r>
    </w:p>
    <w:p w14:paraId="01E74A49" w14:textId="77777777" w:rsidR="004A4E23" w:rsidRDefault="004A4E23" w:rsidP="00877C55">
      <w:pPr>
        <w:ind w:firstLine="426"/>
      </w:pPr>
    </w:p>
    <w:p w14:paraId="3AF7F269" w14:textId="12CB114D" w:rsidR="002C4F16" w:rsidRPr="002C4F16" w:rsidRDefault="00595632" w:rsidP="00775827">
      <w:pPr>
        <w:ind w:left="426" w:hanging="426"/>
        <w:rPr>
          <w:i/>
          <w:lang w:val="en-GB"/>
        </w:rPr>
      </w:pPr>
      <w:r>
        <w:rPr>
          <w:i/>
          <w:lang w:val="en-GB"/>
        </w:rPr>
        <w:t>5</w:t>
      </w:r>
      <w:r w:rsidR="00D83113">
        <w:rPr>
          <w:i/>
          <w:lang w:val="en-GB"/>
        </w:rPr>
        <w:t>.3</w:t>
      </w:r>
      <w:r w:rsidR="00D83113">
        <w:rPr>
          <w:i/>
          <w:lang w:val="en-GB"/>
        </w:rPr>
        <w:tab/>
      </w:r>
      <w:r w:rsidR="002C4F16" w:rsidRPr="002C4F16">
        <w:rPr>
          <w:i/>
          <w:lang w:val="en-GB"/>
        </w:rPr>
        <w:t>PESO becomes SOEP</w:t>
      </w:r>
    </w:p>
    <w:p w14:paraId="551B8CCC" w14:textId="70A1C9A9" w:rsidR="00B32CFC" w:rsidRDefault="00FE76D4" w:rsidP="00775827">
      <w:pPr>
        <w:ind w:firstLine="426"/>
      </w:pPr>
      <w:r>
        <w:rPr>
          <w:lang w:val="en-GB"/>
        </w:rPr>
        <w:t xml:space="preserve">If forecast trends eventuate in practice, the PESO model </w:t>
      </w:r>
      <w:r w:rsidR="00C66AB4">
        <w:rPr>
          <w:lang w:val="en-GB"/>
        </w:rPr>
        <w:t xml:space="preserve">(paid, earned, shared, owned) </w:t>
      </w:r>
      <w:r>
        <w:rPr>
          <w:lang w:val="en-GB"/>
        </w:rPr>
        <w:t xml:space="preserve">will no longer reflect the priority in media strategies of organizations. Shared social media seem certain to go to the top of the list, followed closely by owned media, most of which will be digital and online. </w:t>
      </w:r>
      <w:r w:rsidR="00B32CFC">
        <w:rPr>
          <w:lang w:val="en-GB"/>
        </w:rPr>
        <w:t>Some 56.3% of PR and corporate co</w:t>
      </w:r>
      <w:r w:rsidR="00B32CFC" w:rsidRPr="007B38AE">
        <w:rPr>
          <w:lang w:val="en-GB"/>
        </w:rPr>
        <w:t xml:space="preserve">mmunication </w:t>
      </w:r>
      <w:r w:rsidR="00B32CFC">
        <w:rPr>
          <w:lang w:val="en-GB"/>
        </w:rPr>
        <w:t>practitioners</w:t>
      </w:r>
      <w:r w:rsidR="00B32CFC" w:rsidRPr="007B38AE">
        <w:rPr>
          <w:lang w:val="en-GB"/>
        </w:rPr>
        <w:t xml:space="preserve"> in </w:t>
      </w:r>
      <w:r w:rsidR="00E37069">
        <w:rPr>
          <w:lang w:val="en-GB"/>
        </w:rPr>
        <w:t>APAC</w:t>
      </w:r>
      <w:r w:rsidR="00B32CFC" w:rsidRPr="007B38AE">
        <w:rPr>
          <w:lang w:val="en-GB"/>
        </w:rPr>
        <w:t xml:space="preserve"> foresee an increase in u</w:t>
      </w:r>
      <w:r w:rsidR="00B32CFC">
        <w:rPr>
          <w:lang w:val="en-GB"/>
        </w:rPr>
        <w:t xml:space="preserve">se of </w:t>
      </w:r>
      <w:r w:rsidR="00D56745">
        <w:rPr>
          <w:lang w:val="en-GB"/>
        </w:rPr>
        <w:t xml:space="preserve">corporate publishing and </w:t>
      </w:r>
      <w:r w:rsidR="00B32CFC">
        <w:rPr>
          <w:lang w:val="en-GB"/>
        </w:rPr>
        <w:t xml:space="preserve">owned media, with their perceived importance increasing from </w:t>
      </w:r>
      <w:r w:rsidR="00D56745">
        <w:rPr>
          <w:lang w:val="en-GB"/>
        </w:rPr>
        <w:t>39.1</w:t>
      </w:r>
      <w:r w:rsidR="00B32CFC">
        <w:rPr>
          <w:lang w:val="en-GB"/>
        </w:rPr>
        <w:t xml:space="preserve">% who rate them as </w:t>
      </w:r>
      <w:r w:rsidR="00B32CFC" w:rsidRPr="00F55165">
        <w:t>i</w:t>
      </w:r>
      <w:r w:rsidR="00B32CFC">
        <w:t xml:space="preserve">mportant in 2015 to </w:t>
      </w:r>
      <w:r w:rsidR="00D56745">
        <w:t>49.6</w:t>
      </w:r>
      <w:r w:rsidR="00B32CFC">
        <w:t xml:space="preserve">% </w:t>
      </w:r>
      <w:r w:rsidR="00B32CFC" w:rsidRPr="00F55165">
        <w:t>saying they will be important by 2018.</w:t>
      </w:r>
      <w:r w:rsidR="00984F97">
        <w:t xml:space="preserve"> This </w:t>
      </w:r>
      <w:r w:rsidR="00A64F29">
        <w:t>indicates</w:t>
      </w:r>
      <w:r w:rsidR="00984F97">
        <w:t xml:space="preserve"> a new ap</w:t>
      </w:r>
      <w:r w:rsidR="0051222D">
        <w:t>proach</w:t>
      </w:r>
      <w:r w:rsidR="00A64F29">
        <w:t>,</w:t>
      </w:r>
      <w:r w:rsidR="0051222D">
        <w:t xml:space="preserve"> which can be labelled SOE</w:t>
      </w:r>
      <w:r w:rsidR="00984F97">
        <w:t xml:space="preserve">P (shared, </w:t>
      </w:r>
      <w:r w:rsidR="0051222D">
        <w:t>owned, earned</w:t>
      </w:r>
      <w:r w:rsidR="00984F97">
        <w:t xml:space="preserve">, </w:t>
      </w:r>
      <w:proofErr w:type="gramStart"/>
      <w:r w:rsidR="00984F97">
        <w:t>paid</w:t>
      </w:r>
      <w:proofErr w:type="gramEnd"/>
      <w:r w:rsidR="00984F97">
        <w:t>).</w:t>
      </w:r>
    </w:p>
    <w:p w14:paraId="07F5D10A" w14:textId="52984138" w:rsidR="008A3573" w:rsidRDefault="00955165" w:rsidP="00775827">
      <w:pPr>
        <w:ind w:firstLine="426"/>
      </w:pPr>
      <w:r w:rsidRPr="008A3573">
        <w:rPr>
          <w:lang w:val="en-US"/>
        </w:rPr>
        <w:t xml:space="preserve">Using </w:t>
      </w:r>
      <w:r w:rsidR="00617765">
        <w:rPr>
          <w:lang w:val="en-US"/>
        </w:rPr>
        <w:t>‘</w:t>
      </w:r>
      <w:r w:rsidRPr="008A3573">
        <w:rPr>
          <w:lang w:val="en-US"/>
        </w:rPr>
        <w:t>strategic partnerships with media</w:t>
      </w:r>
      <w:r>
        <w:rPr>
          <w:lang w:val="en-US"/>
        </w:rPr>
        <w:t xml:space="preserve"> organizations</w:t>
      </w:r>
      <w:r w:rsidR="00617765">
        <w:rPr>
          <w:lang w:val="en-US"/>
        </w:rPr>
        <w:t>’</w:t>
      </w:r>
      <w:r>
        <w:rPr>
          <w:lang w:val="en-US"/>
        </w:rPr>
        <w:t xml:space="preserve"> for co-producing content and</w:t>
      </w:r>
      <w:r w:rsidRPr="008A3573">
        <w:rPr>
          <w:lang w:val="en-US"/>
        </w:rPr>
        <w:t xml:space="preserve"> </w:t>
      </w:r>
      <w:r>
        <w:rPr>
          <w:lang w:val="en-US"/>
        </w:rPr>
        <w:t xml:space="preserve">producing joint publications and information </w:t>
      </w:r>
      <w:r w:rsidRPr="008A3573">
        <w:rPr>
          <w:lang w:val="en-US"/>
        </w:rPr>
        <w:t>services</w:t>
      </w:r>
      <w:r>
        <w:rPr>
          <w:lang w:val="en-US"/>
        </w:rPr>
        <w:t xml:space="preserve"> </w:t>
      </w:r>
      <w:r w:rsidR="0018350F">
        <w:rPr>
          <w:lang w:val="en-US"/>
        </w:rPr>
        <w:t xml:space="preserve">(owned or co-owned media) </w:t>
      </w:r>
      <w:r>
        <w:rPr>
          <w:lang w:val="en-US"/>
        </w:rPr>
        <w:t xml:space="preserve">is expected to grow in importance by 66.8% of </w:t>
      </w:r>
      <w:r w:rsidR="00372958">
        <w:rPr>
          <w:lang w:val="en-US"/>
        </w:rPr>
        <w:t>A</w:t>
      </w:r>
      <w:r w:rsidR="00E37069">
        <w:rPr>
          <w:lang w:val="en-US"/>
        </w:rPr>
        <w:t xml:space="preserve">PAC </w:t>
      </w:r>
      <w:r>
        <w:rPr>
          <w:lang w:val="en-US"/>
        </w:rPr>
        <w:t xml:space="preserve">practitioners. </w:t>
      </w:r>
      <w:r w:rsidR="008A3573" w:rsidRPr="007B38AE">
        <w:rPr>
          <w:lang w:val="en-GB"/>
        </w:rPr>
        <w:t>Strategic</w:t>
      </w:r>
      <w:r w:rsidR="002352CF">
        <w:rPr>
          <w:lang w:val="en-GB"/>
        </w:rPr>
        <w:t xml:space="preserve"> partnerships with media organiz</w:t>
      </w:r>
      <w:r w:rsidR="008A3573" w:rsidRPr="007B38AE">
        <w:rPr>
          <w:lang w:val="en-GB"/>
        </w:rPr>
        <w:t xml:space="preserve">ations are </w:t>
      </w:r>
      <w:r w:rsidR="008A3573">
        <w:rPr>
          <w:lang w:val="en-GB"/>
        </w:rPr>
        <w:t xml:space="preserve">particularly </w:t>
      </w:r>
      <w:r w:rsidR="008A3573" w:rsidRPr="007B38AE">
        <w:rPr>
          <w:lang w:val="en-GB"/>
        </w:rPr>
        <w:t xml:space="preserve">seen as important </w:t>
      </w:r>
      <w:r w:rsidR="008A3573">
        <w:rPr>
          <w:lang w:val="en-GB"/>
        </w:rPr>
        <w:t xml:space="preserve">by PR and corporate communication practitioners </w:t>
      </w:r>
      <w:r w:rsidR="008A3573" w:rsidRPr="007B38AE">
        <w:rPr>
          <w:lang w:val="en-GB"/>
        </w:rPr>
        <w:t xml:space="preserve">in Malaysia, Indonesia, the Philippines, Taiwan, and India, while </w:t>
      </w:r>
      <w:r w:rsidR="008A3573">
        <w:rPr>
          <w:lang w:val="en-GB"/>
        </w:rPr>
        <w:t xml:space="preserve">those in </w:t>
      </w:r>
      <w:r w:rsidR="008A3573" w:rsidRPr="007B38AE">
        <w:rPr>
          <w:lang w:val="en-GB"/>
        </w:rPr>
        <w:t xml:space="preserve">Hong Kong, Australia and New Zealand see commercial arrangements with media as less </w:t>
      </w:r>
      <w:r w:rsidR="0018350F">
        <w:rPr>
          <w:lang w:val="en-GB"/>
        </w:rPr>
        <w:t>significant</w:t>
      </w:r>
      <w:r w:rsidR="008A3573" w:rsidRPr="007B38AE">
        <w:rPr>
          <w:lang w:val="en-GB"/>
        </w:rPr>
        <w:t xml:space="preserve"> – perhaps due to </w:t>
      </w:r>
      <w:r w:rsidR="0018350F">
        <w:rPr>
          <w:lang w:val="en-GB"/>
        </w:rPr>
        <w:t>greater media independence</w:t>
      </w:r>
      <w:r w:rsidR="008A3573" w:rsidRPr="007B38AE">
        <w:rPr>
          <w:lang w:val="en-GB"/>
        </w:rPr>
        <w:t xml:space="preserve"> in these countries</w:t>
      </w:r>
      <w:r w:rsidR="006C0942">
        <w:rPr>
          <w:lang w:val="en-GB"/>
        </w:rPr>
        <w:t>, although they still see strategic partnerships as more important than traditional media relations</w:t>
      </w:r>
      <w:r w:rsidR="00DD4954">
        <w:rPr>
          <w:lang w:val="en-GB"/>
        </w:rPr>
        <w:t xml:space="preserve"> (see Table 2)</w:t>
      </w:r>
      <w:r w:rsidR="008A3573" w:rsidRPr="007B38AE">
        <w:rPr>
          <w:lang w:val="en-GB"/>
        </w:rPr>
        <w:t xml:space="preserve">. </w:t>
      </w:r>
      <w:r w:rsidR="008A3573">
        <w:rPr>
          <w:lang w:val="en-GB"/>
        </w:rPr>
        <w:t>Fairfax Media</w:t>
      </w:r>
      <w:r>
        <w:rPr>
          <w:lang w:val="en-GB"/>
        </w:rPr>
        <w:t xml:space="preserve"> in </w:t>
      </w:r>
      <w:r>
        <w:rPr>
          <w:lang w:val="en-GB"/>
        </w:rPr>
        <w:lastRenderedPageBreak/>
        <w:t xml:space="preserve">Australia has launched and aggressively markets </w:t>
      </w:r>
      <w:r w:rsidR="008A3573">
        <w:rPr>
          <w:lang w:val="en-GB"/>
        </w:rPr>
        <w:t xml:space="preserve">Brand </w:t>
      </w:r>
      <w:r>
        <w:rPr>
          <w:lang w:val="en-GB"/>
        </w:rPr>
        <w:t xml:space="preserve">Discover, which it hails </w:t>
      </w:r>
      <w:r w:rsidR="008A3573" w:rsidRPr="00F659DE">
        <w:rPr>
          <w:lang w:val="en-GB"/>
        </w:rPr>
        <w:t>as</w:t>
      </w:r>
      <w:r w:rsidR="008A3573">
        <w:rPr>
          <w:lang w:val="en-GB"/>
        </w:rPr>
        <w:t xml:space="preserve"> </w:t>
      </w:r>
      <w:r w:rsidR="008A3573">
        <w:t>“Fairfax Media’</w:t>
      </w:r>
      <w:r w:rsidR="008A3573" w:rsidRPr="00F659DE">
        <w:t xml:space="preserve">s </w:t>
      </w:r>
      <w:r w:rsidR="008A3573">
        <w:t>native a</w:t>
      </w:r>
      <w:r w:rsidR="008A3573" w:rsidRPr="00F659DE">
        <w:t>dvertising portfolio that allows advertisers to reach Fairfax audiences with highly engaging content which is produced by Fairfax content specialists and brought to life with a variety of formats</w:t>
      </w:r>
      <w:r w:rsidR="008A3573">
        <w:t>” including as “a</w:t>
      </w:r>
      <w:r w:rsidR="008A3573" w:rsidRPr="00F659DE">
        <w:t xml:space="preserve">rticles </w:t>
      </w:r>
      <w:r w:rsidR="008A3573">
        <w:t>(interactive long-form article[s])” and</w:t>
      </w:r>
      <w:r w:rsidR="008A3573" w:rsidRPr="00F659DE">
        <w:t xml:space="preserve"> </w:t>
      </w:r>
      <w:r w:rsidR="008A3573">
        <w:t>“</w:t>
      </w:r>
      <w:proofErr w:type="spellStart"/>
      <w:r w:rsidR="008A3573" w:rsidRPr="00F659DE">
        <w:t>Shorticles</w:t>
      </w:r>
      <w:proofErr w:type="spellEnd"/>
      <w:r w:rsidR="008A3573">
        <w:t xml:space="preserve">” that are listed as 2 of “5 </w:t>
      </w:r>
      <w:r w:rsidR="008A3573" w:rsidRPr="00F659DE">
        <w:t>Brand Discover creative templates</w:t>
      </w:r>
      <w:r w:rsidR="008A3573">
        <w:t>”</w:t>
      </w:r>
      <w:r w:rsidR="008A3573" w:rsidRPr="00F659DE">
        <w:t xml:space="preserve"> </w:t>
      </w:r>
      <w:r w:rsidR="008A3573">
        <w:t>(Fairfax Media, 2016).</w:t>
      </w:r>
      <w:r w:rsidR="0018350F">
        <w:t xml:space="preserve"> Such ‘partnerships’ and so-called ‘native advertising’ indicate a blurring of formats and genre that raises important ethical questions that will be explored in the following section.</w:t>
      </w:r>
    </w:p>
    <w:p w14:paraId="16E8DCBA" w14:textId="77777777" w:rsidR="00DD4954" w:rsidRDefault="00DD4954" w:rsidP="00775827">
      <w:pPr>
        <w:ind w:firstLine="426"/>
      </w:pPr>
    </w:p>
    <w:p w14:paraId="2CEB3E36" w14:textId="77777777" w:rsidR="00775827" w:rsidRPr="00775827" w:rsidRDefault="00775827" w:rsidP="00775827">
      <w:pPr>
        <w:jc w:val="both"/>
        <w:rPr>
          <w:sz w:val="20"/>
          <w:szCs w:val="20"/>
        </w:rPr>
      </w:pPr>
      <w:r w:rsidRPr="00775827">
        <w:rPr>
          <w:sz w:val="20"/>
          <w:szCs w:val="20"/>
        </w:rPr>
        <w:t>Table 2. Percentage of practitioners rating strategic media partnerships versus traditional media relations for influencing editorial content and public opinion as important.</w:t>
      </w:r>
    </w:p>
    <w:p w14:paraId="57BE7342" w14:textId="77777777" w:rsidR="00775827" w:rsidRDefault="00775827" w:rsidP="00775827"/>
    <w:tbl>
      <w:tblPr>
        <w:tblStyle w:val="PlainTable31"/>
        <w:tblW w:w="9214" w:type="dxa"/>
        <w:tblLook w:val="0600" w:firstRow="0" w:lastRow="0" w:firstColumn="0" w:lastColumn="0" w:noHBand="1" w:noVBand="1"/>
      </w:tblPr>
      <w:tblGrid>
        <w:gridCol w:w="2835"/>
        <w:gridCol w:w="3125"/>
        <w:gridCol w:w="3254"/>
      </w:tblGrid>
      <w:tr w:rsidR="00775827" w:rsidRPr="004A4E23" w14:paraId="12D4CB8F" w14:textId="77777777" w:rsidTr="00775827">
        <w:trPr>
          <w:trHeight w:val="208"/>
        </w:trPr>
        <w:tc>
          <w:tcPr>
            <w:tcW w:w="2835" w:type="dxa"/>
            <w:tcBorders>
              <w:top w:val="single" w:sz="12" w:space="0" w:color="auto"/>
              <w:bottom w:val="single" w:sz="12" w:space="0" w:color="auto"/>
            </w:tcBorders>
            <w:hideMark/>
          </w:tcPr>
          <w:p w14:paraId="40589C6B" w14:textId="77777777" w:rsidR="00775827" w:rsidRPr="004A4E23" w:rsidRDefault="00775827" w:rsidP="00775827">
            <w:pPr>
              <w:rPr>
                <w:rFonts w:asciiTheme="minorHAnsi" w:hAnsiTheme="minorHAnsi" w:cs="Arial"/>
                <w:b/>
                <w:sz w:val="20"/>
                <w:szCs w:val="20"/>
              </w:rPr>
            </w:pPr>
            <w:r w:rsidRPr="004A4E23">
              <w:rPr>
                <w:rFonts w:asciiTheme="minorHAnsi" w:hAnsiTheme="minorHAnsi" w:cs="Arial"/>
                <w:b/>
                <w:sz w:val="20"/>
                <w:szCs w:val="20"/>
                <w:lang w:val="de-DE"/>
              </w:rPr>
              <w:t>Region</w:t>
            </w:r>
          </w:p>
        </w:tc>
        <w:tc>
          <w:tcPr>
            <w:tcW w:w="3125" w:type="dxa"/>
            <w:tcBorders>
              <w:top w:val="single" w:sz="12" w:space="0" w:color="auto"/>
              <w:bottom w:val="single" w:sz="12" w:space="0" w:color="auto"/>
            </w:tcBorders>
            <w:hideMark/>
          </w:tcPr>
          <w:p w14:paraId="22758EDD" w14:textId="77777777" w:rsidR="00775827" w:rsidRPr="004A4E23" w:rsidRDefault="00775827" w:rsidP="00775827">
            <w:pPr>
              <w:jc w:val="right"/>
              <w:rPr>
                <w:rFonts w:asciiTheme="minorHAnsi" w:hAnsiTheme="minorHAnsi" w:cs="Arial"/>
                <w:b/>
                <w:sz w:val="20"/>
                <w:szCs w:val="20"/>
              </w:rPr>
            </w:pPr>
            <w:r>
              <w:rPr>
                <w:rFonts w:asciiTheme="minorHAnsi" w:hAnsiTheme="minorHAnsi" w:cs="Arial"/>
                <w:b/>
                <w:sz w:val="20"/>
                <w:szCs w:val="20"/>
                <w:lang w:val="en-US"/>
              </w:rPr>
              <w:t>Media relations for influencing editorial and public opinion</w:t>
            </w:r>
          </w:p>
        </w:tc>
        <w:tc>
          <w:tcPr>
            <w:tcW w:w="3254" w:type="dxa"/>
            <w:tcBorders>
              <w:top w:val="single" w:sz="12" w:space="0" w:color="auto"/>
              <w:bottom w:val="single" w:sz="12" w:space="0" w:color="auto"/>
            </w:tcBorders>
            <w:hideMark/>
          </w:tcPr>
          <w:p w14:paraId="12F66D89" w14:textId="77777777" w:rsidR="00775827" w:rsidRPr="004A4E23" w:rsidRDefault="00775827" w:rsidP="00775827">
            <w:pPr>
              <w:jc w:val="right"/>
              <w:rPr>
                <w:rFonts w:asciiTheme="minorHAnsi" w:hAnsiTheme="minorHAnsi" w:cs="Arial"/>
                <w:b/>
                <w:sz w:val="20"/>
                <w:szCs w:val="20"/>
              </w:rPr>
            </w:pPr>
            <w:r>
              <w:rPr>
                <w:rFonts w:asciiTheme="minorHAnsi" w:hAnsiTheme="minorHAnsi" w:cs="Arial"/>
                <w:b/>
                <w:sz w:val="20"/>
                <w:szCs w:val="20"/>
                <w:lang w:val="en-US"/>
              </w:rPr>
              <w:t>Strategic media partnerships</w:t>
            </w:r>
          </w:p>
        </w:tc>
      </w:tr>
      <w:tr w:rsidR="00775827" w:rsidRPr="004A4E23" w14:paraId="2FF95854" w14:textId="77777777" w:rsidTr="00775827">
        <w:trPr>
          <w:trHeight w:val="325"/>
        </w:trPr>
        <w:tc>
          <w:tcPr>
            <w:tcW w:w="2835" w:type="dxa"/>
            <w:tcBorders>
              <w:top w:val="single" w:sz="12" w:space="0" w:color="auto"/>
            </w:tcBorders>
            <w:hideMark/>
          </w:tcPr>
          <w:p w14:paraId="0891D590" w14:textId="77777777" w:rsidR="00775827" w:rsidRPr="004A4E23" w:rsidRDefault="00775827" w:rsidP="00775827">
            <w:pPr>
              <w:rPr>
                <w:rFonts w:asciiTheme="minorHAnsi" w:hAnsiTheme="minorHAnsi" w:cs="Arial"/>
                <w:sz w:val="20"/>
                <w:szCs w:val="20"/>
              </w:rPr>
            </w:pPr>
            <w:r w:rsidRPr="004A4E23">
              <w:rPr>
                <w:rFonts w:asciiTheme="minorHAnsi" w:hAnsiTheme="minorHAnsi" w:cs="Arial"/>
                <w:sz w:val="20"/>
                <w:szCs w:val="20"/>
                <w:lang w:val="de-DE"/>
              </w:rPr>
              <w:t>Australia</w:t>
            </w:r>
          </w:p>
        </w:tc>
        <w:tc>
          <w:tcPr>
            <w:tcW w:w="3125" w:type="dxa"/>
            <w:tcBorders>
              <w:top w:val="single" w:sz="12" w:space="0" w:color="auto"/>
            </w:tcBorders>
            <w:hideMark/>
          </w:tcPr>
          <w:p w14:paraId="5DBABA05" w14:textId="77777777" w:rsidR="00775827" w:rsidRPr="004A4E23" w:rsidRDefault="00775827" w:rsidP="00775827">
            <w:pPr>
              <w:jc w:val="right"/>
              <w:rPr>
                <w:rFonts w:asciiTheme="minorHAnsi" w:hAnsiTheme="minorHAnsi" w:cs="Arial"/>
                <w:sz w:val="20"/>
                <w:szCs w:val="20"/>
              </w:rPr>
            </w:pPr>
            <w:r>
              <w:rPr>
                <w:rFonts w:asciiTheme="minorHAnsi" w:hAnsiTheme="minorHAnsi" w:cs="Arial"/>
                <w:sz w:val="20"/>
                <w:szCs w:val="20"/>
                <w:lang w:val="de-DE"/>
              </w:rPr>
              <w:t>27</w:t>
            </w:r>
            <w:r w:rsidRPr="004A4E23">
              <w:rPr>
                <w:rFonts w:asciiTheme="minorHAnsi" w:hAnsiTheme="minorHAnsi" w:cs="Arial"/>
                <w:sz w:val="20"/>
                <w:szCs w:val="20"/>
                <w:lang w:val="de-DE"/>
              </w:rPr>
              <w:t>.6%</w:t>
            </w:r>
          </w:p>
        </w:tc>
        <w:tc>
          <w:tcPr>
            <w:tcW w:w="3254" w:type="dxa"/>
            <w:tcBorders>
              <w:top w:val="single" w:sz="12" w:space="0" w:color="auto"/>
            </w:tcBorders>
            <w:hideMark/>
          </w:tcPr>
          <w:p w14:paraId="5F7F414F" w14:textId="77777777" w:rsidR="00775827" w:rsidRPr="004A4E23" w:rsidRDefault="00775827" w:rsidP="00775827">
            <w:pPr>
              <w:jc w:val="right"/>
              <w:rPr>
                <w:rFonts w:asciiTheme="minorHAnsi" w:hAnsiTheme="minorHAnsi" w:cs="Arial"/>
                <w:sz w:val="20"/>
                <w:szCs w:val="20"/>
              </w:rPr>
            </w:pPr>
            <w:r>
              <w:rPr>
                <w:rFonts w:asciiTheme="minorHAnsi" w:hAnsiTheme="minorHAnsi" w:cs="Arial"/>
                <w:sz w:val="20"/>
                <w:szCs w:val="20"/>
                <w:lang w:val="de-DE"/>
              </w:rPr>
              <w:t>60.9</w:t>
            </w:r>
            <w:r w:rsidRPr="004A4E23">
              <w:rPr>
                <w:rFonts w:asciiTheme="minorHAnsi" w:hAnsiTheme="minorHAnsi" w:cs="Arial"/>
                <w:sz w:val="20"/>
                <w:szCs w:val="20"/>
                <w:lang w:val="de-DE"/>
              </w:rPr>
              <w:t>%</w:t>
            </w:r>
          </w:p>
        </w:tc>
      </w:tr>
      <w:tr w:rsidR="00775827" w:rsidRPr="004A4E23" w14:paraId="39C8477F" w14:textId="77777777" w:rsidTr="00775827">
        <w:trPr>
          <w:trHeight w:val="325"/>
        </w:trPr>
        <w:tc>
          <w:tcPr>
            <w:tcW w:w="2835" w:type="dxa"/>
            <w:hideMark/>
          </w:tcPr>
          <w:p w14:paraId="0BBE662F" w14:textId="77777777" w:rsidR="00775827" w:rsidRPr="004A4E23" w:rsidRDefault="00775827" w:rsidP="00775827">
            <w:pPr>
              <w:rPr>
                <w:rFonts w:asciiTheme="minorHAnsi" w:hAnsiTheme="minorHAnsi" w:cs="Arial"/>
                <w:sz w:val="20"/>
                <w:szCs w:val="20"/>
              </w:rPr>
            </w:pPr>
            <w:r w:rsidRPr="004A4E23">
              <w:rPr>
                <w:rFonts w:asciiTheme="minorHAnsi" w:hAnsiTheme="minorHAnsi" w:cs="Arial"/>
                <w:sz w:val="20"/>
                <w:szCs w:val="20"/>
                <w:lang w:val="de-DE"/>
              </w:rPr>
              <w:t>China</w:t>
            </w:r>
          </w:p>
        </w:tc>
        <w:tc>
          <w:tcPr>
            <w:tcW w:w="3125" w:type="dxa"/>
            <w:hideMark/>
          </w:tcPr>
          <w:p w14:paraId="2262E07C" w14:textId="77777777" w:rsidR="00775827" w:rsidRPr="004A4E23" w:rsidRDefault="00775827" w:rsidP="00775827">
            <w:pPr>
              <w:jc w:val="right"/>
              <w:rPr>
                <w:rFonts w:asciiTheme="minorHAnsi" w:hAnsiTheme="minorHAnsi" w:cs="Arial"/>
                <w:sz w:val="20"/>
                <w:szCs w:val="20"/>
              </w:rPr>
            </w:pPr>
            <w:r>
              <w:rPr>
                <w:rFonts w:asciiTheme="minorHAnsi" w:hAnsiTheme="minorHAnsi" w:cs="Arial"/>
                <w:sz w:val="20"/>
                <w:szCs w:val="20"/>
                <w:lang w:val="de-DE"/>
              </w:rPr>
              <w:t>39.4</w:t>
            </w:r>
            <w:r w:rsidRPr="004A4E23">
              <w:rPr>
                <w:rFonts w:asciiTheme="minorHAnsi" w:hAnsiTheme="minorHAnsi" w:cs="Arial"/>
                <w:sz w:val="20"/>
                <w:szCs w:val="20"/>
                <w:lang w:val="de-DE"/>
              </w:rPr>
              <w:t>%</w:t>
            </w:r>
          </w:p>
        </w:tc>
        <w:tc>
          <w:tcPr>
            <w:tcW w:w="3254" w:type="dxa"/>
            <w:hideMark/>
          </w:tcPr>
          <w:p w14:paraId="464AAC7E" w14:textId="77777777" w:rsidR="00775827" w:rsidRPr="004A4E23" w:rsidRDefault="00775827" w:rsidP="00775827">
            <w:pPr>
              <w:jc w:val="right"/>
              <w:rPr>
                <w:rFonts w:asciiTheme="minorHAnsi" w:hAnsiTheme="minorHAnsi" w:cs="Arial"/>
                <w:sz w:val="20"/>
                <w:szCs w:val="20"/>
              </w:rPr>
            </w:pPr>
            <w:r>
              <w:rPr>
                <w:rFonts w:asciiTheme="minorHAnsi" w:hAnsiTheme="minorHAnsi" w:cs="Arial"/>
                <w:sz w:val="20"/>
                <w:szCs w:val="20"/>
                <w:lang w:val="de-DE"/>
              </w:rPr>
              <w:t>66.3</w:t>
            </w:r>
            <w:r w:rsidRPr="004A4E23">
              <w:rPr>
                <w:rFonts w:asciiTheme="minorHAnsi" w:hAnsiTheme="minorHAnsi" w:cs="Arial"/>
                <w:sz w:val="20"/>
                <w:szCs w:val="20"/>
                <w:lang w:val="de-DE"/>
              </w:rPr>
              <w:t>%</w:t>
            </w:r>
          </w:p>
        </w:tc>
      </w:tr>
      <w:tr w:rsidR="00775827" w:rsidRPr="004A4E23" w14:paraId="527C3B1A" w14:textId="77777777" w:rsidTr="00775827">
        <w:trPr>
          <w:trHeight w:val="325"/>
        </w:trPr>
        <w:tc>
          <w:tcPr>
            <w:tcW w:w="2835" w:type="dxa"/>
            <w:hideMark/>
          </w:tcPr>
          <w:p w14:paraId="536BB84A" w14:textId="77777777" w:rsidR="00775827" w:rsidRPr="004A4E23" w:rsidRDefault="00775827" w:rsidP="00775827">
            <w:pPr>
              <w:rPr>
                <w:rFonts w:asciiTheme="minorHAnsi" w:hAnsiTheme="minorHAnsi" w:cs="Arial"/>
                <w:sz w:val="20"/>
                <w:szCs w:val="20"/>
              </w:rPr>
            </w:pPr>
            <w:r w:rsidRPr="004A4E23">
              <w:rPr>
                <w:rFonts w:asciiTheme="minorHAnsi" w:hAnsiTheme="minorHAnsi" w:cs="Arial"/>
                <w:sz w:val="20"/>
                <w:szCs w:val="20"/>
                <w:lang w:val="de-DE"/>
              </w:rPr>
              <w:t>Hong Kong</w:t>
            </w:r>
          </w:p>
        </w:tc>
        <w:tc>
          <w:tcPr>
            <w:tcW w:w="3125" w:type="dxa"/>
            <w:hideMark/>
          </w:tcPr>
          <w:p w14:paraId="6689D0F6" w14:textId="77777777" w:rsidR="00775827" w:rsidRPr="004A4E23" w:rsidRDefault="00775827" w:rsidP="00775827">
            <w:pPr>
              <w:jc w:val="right"/>
              <w:rPr>
                <w:rFonts w:asciiTheme="minorHAnsi" w:hAnsiTheme="minorHAnsi" w:cs="Arial"/>
                <w:sz w:val="20"/>
                <w:szCs w:val="20"/>
              </w:rPr>
            </w:pPr>
            <w:r>
              <w:rPr>
                <w:rFonts w:asciiTheme="minorHAnsi" w:hAnsiTheme="minorHAnsi" w:cs="Arial"/>
                <w:sz w:val="20"/>
                <w:szCs w:val="20"/>
                <w:lang w:val="de-DE"/>
              </w:rPr>
              <w:t>43.0</w:t>
            </w:r>
            <w:r w:rsidRPr="004A4E23">
              <w:rPr>
                <w:rFonts w:asciiTheme="minorHAnsi" w:hAnsiTheme="minorHAnsi" w:cs="Arial"/>
                <w:sz w:val="20"/>
                <w:szCs w:val="20"/>
                <w:lang w:val="de-DE"/>
              </w:rPr>
              <w:t>%</w:t>
            </w:r>
          </w:p>
        </w:tc>
        <w:tc>
          <w:tcPr>
            <w:tcW w:w="3254" w:type="dxa"/>
            <w:hideMark/>
          </w:tcPr>
          <w:p w14:paraId="502264A7" w14:textId="77777777" w:rsidR="00775827" w:rsidRPr="004A4E23" w:rsidRDefault="00775827" w:rsidP="00775827">
            <w:pPr>
              <w:jc w:val="right"/>
              <w:rPr>
                <w:rFonts w:asciiTheme="minorHAnsi" w:hAnsiTheme="minorHAnsi" w:cs="Arial"/>
                <w:sz w:val="20"/>
                <w:szCs w:val="20"/>
              </w:rPr>
            </w:pPr>
            <w:r>
              <w:rPr>
                <w:rFonts w:asciiTheme="minorHAnsi" w:hAnsiTheme="minorHAnsi" w:cs="Arial"/>
                <w:sz w:val="20"/>
                <w:szCs w:val="20"/>
                <w:lang w:val="de-DE"/>
              </w:rPr>
              <w:t>56.3</w:t>
            </w:r>
            <w:r w:rsidRPr="004A4E23">
              <w:rPr>
                <w:rFonts w:asciiTheme="minorHAnsi" w:hAnsiTheme="minorHAnsi" w:cs="Arial"/>
                <w:sz w:val="20"/>
                <w:szCs w:val="20"/>
                <w:lang w:val="de-DE"/>
              </w:rPr>
              <w:t>%</w:t>
            </w:r>
          </w:p>
        </w:tc>
      </w:tr>
      <w:tr w:rsidR="00775827" w:rsidRPr="004A4E23" w14:paraId="39659A62" w14:textId="77777777" w:rsidTr="00775827">
        <w:trPr>
          <w:trHeight w:val="325"/>
        </w:trPr>
        <w:tc>
          <w:tcPr>
            <w:tcW w:w="2835" w:type="dxa"/>
            <w:hideMark/>
          </w:tcPr>
          <w:p w14:paraId="02F42586" w14:textId="77777777" w:rsidR="00775827" w:rsidRPr="004A4E23" w:rsidRDefault="00775827" w:rsidP="00775827">
            <w:pPr>
              <w:rPr>
                <w:rFonts w:asciiTheme="minorHAnsi" w:hAnsiTheme="minorHAnsi" w:cs="Arial"/>
                <w:sz w:val="20"/>
                <w:szCs w:val="20"/>
              </w:rPr>
            </w:pPr>
            <w:r w:rsidRPr="004A4E23">
              <w:rPr>
                <w:rFonts w:asciiTheme="minorHAnsi" w:hAnsiTheme="minorHAnsi" w:cs="Arial"/>
                <w:sz w:val="20"/>
                <w:szCs w:val="20"/>
                <w:lang w:val="de-DE"/>
              </w:rPr>
              <w:t>India</w:t>
            </w:r>
          </w:p>
        </w:tc>
        <w:tc>
          <w:tcPr>
            <w:tcW w:w="3125" w:type="dxa"/>
            <w:hideMark/>
          </w:tcPr>
          <w:p w14:paraId="6B502752" w14:textId="77777777" w:rsidR="00775827" w:rsidRPr="004A4E23" w:rsidRDefault="00775827" w:rsidP="00775827">
            <w:pPr>
              <w:jc w:val="right"/>
              <w:rPr>
                <w:rFonts w:asciiTheme="minorHAnsi" w:hAnsiTheme="minorHAnsi" w:cs="Arial"/>
                <w:sz w:val="20"/>
                <w:szCs w:val="20"/>
              </w:rPr>
            </w:pPr>
            <w:r>
              <w:rPr>
                <w:rFonts w:asciiTheme="minorHAnsi" w:hAnsiTheme="minorHAnsi" w:cs="Arial"/>
                <w:sz w:val="20"/>
                <w:szCs w:val="20"/>
                <w:lang w:val="de-DE"/>
              </w:rPr>
              <w:t>58.5</w:t>
            </w:r>
            <w:r w:rsidRPr="004A4E23">
              <w:rPr>
                <w:rFonts w:asciiTheme="minorHAnsi" w:hAnsiTheme="minorHAnsi" w:cs="Arial"/>
                <w:sz w:val="20"/>
                <w:szCs w:val="20"/>
                <w:lang w:val="de-DE"/>
              </w:rPr>
              <w:t>%</w:t>
            </w:r>
          </w:p>
        </w:tc>
        <w:tc>
          <w:tcPr>
            <w:tcW w:w="3254" w:type="dxa"/>
            <w:hideMark/>
          </w:tcPr>
          <w:p w14:paraId="7D0163FB" w14:textId="77777777" w:rsidR="00775827" w:rsidRPr="004A4E23" w:rsidRDefault="00775827" w:rsidP="00775827">
            <w:pPr>
              <w:jc w:val="right"/>
              <w:rPr>
                <w:rFonts w:asciiTheme="minorHAnsi" w:hAnsiTheme="minorHAnsi" w:cs="Arial"/>
                <w:sz w:val="20"/>
                <w:szCs w:val="20"/>
              </w:rPr>
            </w:pPr>
            <w:r>
              <w:rPr>
                <w:rFonts w:asciiTheme="minorHAnsi" w:hAnsiTheme="minorHAnsi" w:cs="Arial"/>
                <w:sz w:val="20"/>
                <w:szCs w:val="20"/>
                <w:lang w:val="de-DE"/>
              </w:rPr>
              <w:t>72.6</w:t>
            </w:r>
            <w:r w:rsidRPr="004A4E23">
              <w:rPr>
                <w:rFonts w:asciiTheme="minorHAnsi" w:hAnsiTheme="minorHAnsi" w:cs="Arial"/>
                <w:sz w:val="20"/>
                <w:szCs w:val="20"/>
                <w:lang w:val="de-DE"/>
              </w:rPr>
              <w:t>%</w:t>
            </w:r>
          </w:p>
        </w:tc>
      </w:tr>
      <w:tr w:rsidR="00775827" w:rsidRPr="004A4E23" w14:paraId="7665E63E" w14:textId="77777777" w:rsidTr="00775827">
        <w:trPr>
          <w:trHeight w:val="325"/>
        </w:trPr>
        <w:tc>
          <w:tcPr>
            <w:tcW w:w="2835" w:type="dxa"/>
            <w:hideMark/>
          </w:tcPr>
          <w:p w14:paraId="09E0615F" w14:textId="77777777" w:rsidR="00775827" w:rsidRPr="004A4E23" w:rsidRDefault="00775827" w:rsidP="00775827">
            <w:pPr>
              <w:rPr>
                <w:rFonts w:asciiTheme="minorHAnsi" w:hAnsiTheme="minorHAnsi" w:cs="Arial"/>
                <w:sz w:val="20"/>
                <w:szCs w:val="20"/>
              </w:rPr>
            </w:pPr>
            <w:r w:rsidRPr="004A4E23">
              <w:rPr>
                <w:rFonts w:asciiTheme="minorHAnsi" w:hAnsiTheme="minorHAnsi" w:cs="Arial"/>
                <w:sz w:val="20"/>
                <w:szCs w:val="20"/>
                <w:lang w:val="de-DE"/>
              </w:rPr>
              <w:t>Indonesia</w:t>
            </w:r>
          </w:p>
        </w:tc>
        <w:tc>
          <w:tcPr>
            <w:tcW w:w="3125" w:type="dxa"/>
            <w:hideMark/>
          </w:tcPr>
          <w:p w14:paraId="00041CBB" w14:textId="77777777" w:rsidR="00775827" w:rsidRPr="004A4E23" w:rsidRDefault="00775827" w:rsidP="00775827">
            <w:pPr>
              <w:jc w:val="right"/>
              <w:rPr>
                <w:rFonts w:asciiTheme="minorHAnsi" w:hAnsiTheme="minorHAnsi" w:cs="Arial"/>
                <w:sz w:val="20"/>
                <w:szCs w:val="20"/>
              </w:rPr>
            </w:pPr>
            <w:r>
              <w:rPr>
                <w:rFonts w:asciiTheme="minorHAnsi" w:hAnsiTheme="minorHAnsi" w:cs="Arial"/>
                <w:sz w:val="20"/>
                <w:szCs w:val="20"/>
                <w:lang w:val="de-DE"/>
              </w:rPr>
              <w:t>69.6</w:t>
            </w:r>
            <w:r w:rsidRPr="004A4E23">
              <w:rPr>
                <w:rFonts w:asciiTheme="minorHAnsi" w:hAnsiTheme="minorHAnsi" w:cs="Arial"/>
                <w:sz w:val="20"/>
                <w:szCs w:val="20"/>
                <w:lang w:val="de-DE"/>
              </w:rPr>
              <w:t>%</w:t>
            </w:r>
          </w:p>
        </w:tc>
        <w:tc>
          <w:tcPr>
            <w:tcW w:w="3254" w:type="dxa"/>
            <w:hideMark/>
          </w:tcPr>
          <w:p w14:paraId="38CEF3A5" w14:textId="77777777" w:rsidR="00775827" w:rsidRPr="004A4E23" w:rsidRDefault="00775827" w:rsidP="00775827">
            <w:pPr>
              <w:jc w:val="right"/>
              <w:rPr>
                <w:rFonts w:asciiTheme="minorHAnsi" w:hAnsiTheme="minorHAnsi" w:cs="Arial"/>
                <w:sz w:val="20"/>
                <w:szCs w:val="20"/>
              </w:rPr>
            </w:pPr>
            <w:r>
              <w:rPr>
                <w:rFonts w:asciiTheme="minorHAnsi" w:hAnsiTheme="minorHAnsi" w:cs="Arial"/>
                <w:sz w:val="20"/>
                <w:szCs w:val="20"/>
                <w:lang w:val="de-DE"/>
              </w:rPr>
              <w:t>73.9</w:t>
            </w:r>
            <w:r w:rsidRPr="004A4E23">
              <w:rPr>
                <w:rFonts w:asciiTheme="minorHAnsi" w:hAnsiTheme="minorHAnsi" w:cs="Arial"/>
                <w:sz w:val="20"/>
                <w:szCs w:val="20"/>
                <w:lang w:val="de-DE"/>
              </w:rPr>
              <w:t>%</w:t>
            </w:r>
          </w:p>
        </w:tc>
      </w:tr>
      <w:tr w:rsidR="00775827" w:rsidRPr="004A4E23" w14:paraId="19C910F3" w14:textId="77777777" w:rsidTr="00775827">
        <w:trPr>
          <w:trHeight w:val="325"/>
        </w:trPr>
        <w:tc>
          <w:tcPr>
            <w:tcW w:w="2835" w:type="dxa"/>
            <w:hideMark/>
          </w:tcPr>
          <w:p w14:paraId="3E3ED667" w14:textId="77777777" w:rsidR="00775827" w:rsidRPr="004A4E23" w:rsidRDefault="00775827" w:rsidP="00775827">
            <w:pPr>
              <w:rPr>
                <w:rFonts w:asciiTheme="minorHAnsi" w:hAnsiTheme="minorHAnsi" w:cs="Arial"/>
                <w:sz w:val="20"/>
                <w:szCs w:val="20"/>
              </w:rPr>
            </w:pPr>
            <w:r w:rsidRPr="004A4E23">
              <w:rPr>
                <w:rFonts w:asciiTheme="minorHAnsi" w:hAnsiTheme="minorHAnsi" w:cs="Arial"/>
                <w:sz w:val="20"/>
                <w:szCs w:val="20"/>
                <w:lang w:val="de-DE"/>
              </w:rPr>
              <w:t>Japan</w:t>
            </w:r>
          </w:p>
        </w:tc>
        <w:tc>
          <w:tcPr>
            <w:tcW w:w="3125" w:type="dxa"/>
            <w:hideMark/>
          </w:tcPr>
          <w:p w14:paraId="0BB40D41" w14:textId="77777777" w:rsidR="00775827" w:rsidRPr="004A4E23" w:rsidRDefault="00775827" w:rsidP="00775827">
            <w:pPr>
              <w:jc w:val="right"/>
              <w:rPr>
                <w:rFonts w:asciiTheme="minorHAnsi" w:hAnsiTheme="minorHAnsi" w:cs="Arial"/>
                <w:sz w:val="20"/>
                <w:szCs w:val="20"/>
              </w:rPr>
            </w:pPr>
            <w:r>
              <w:rPr>
                <w:rFonts w:asciiTheme="minorHAnsi" w:hAnsiTheme="minorHAnsi" w:cs="Arial"/>
                <w:sz w:val="20"/>
                <w:szCs w:val="20"/>
                <w:lang w:val="de-DE"/>
              </w:rPr>
              <w:t>49.0</w:t>
            </w:r>
            <w:r w:rsidRPr="004A4E23">
              <w:rPr>
                <w:rFonts w:asciiTheme="minorHAnsi" w:hAnsiTheme="minorHAnsi" w:cs="Arial"/>
                <w:sz w:val="20"/>
                <w:szCs w:val="20"/>
                <w:lang w:val="de-DE"/>
              </w:rPr>
              <w:t>%</w:t>
            </w:r>
          </w:p>
        </w:tc>
        <w:tc>
          <w:tcPr>
            <w:tcW w:w="3254" w:type="dxa"/>
            <w:hideMark/>
          </w:tcPr>
          <w:p w14:paraId="156D364E" w14:textId="77777777" w:rsidR="00775827" w:rsidRPr="004A4E23" w:rsidRDefault="00775827" w:rsidP="00775827">
            <w:pPr>
              <w:jc w:val="right"/>
              <w:rPr>
                <w:rFonts w:asciiTheme="minorHAnsi" w:hAnsiTheme="minorHAnsi" w:cs="Arial"/>
                <w:sz w:val="20"/>
                <w:szCs w:val="20"/>
              </w:rPr>
            </w:pPr>
            <w:r>
              <w:rPr>
                <w:rFonts w:asciiTheme="minorHAnsi" w:hAnsiTheme="minorHAnsi" w:cs="Arial"/>
                <w:sz w:val="20"/>
                <w:szCs w:val="20"/>
                <w:lang w:val="de-DE"/>
              </w:rPr>
              <w:t>51.0</w:t>
            </w:r>
            <w:r w:rsidRPr="004A4E23">
              <w:rPr>
                <w:rFonts w:asciiTheme="minorHAnsi" w:hAnsiTheme="minorHAnsi" w:cs="Arial"/>
                <w:sz w:val="20"/>
                <w:szCs w:val="20"/>
                <w:lang w:val="de-DE"/>
              </w:rPr>
              <w:t>%</w:t>
            </w:r>
          </w:p>
        </w:tc>
      </w:tr>
      <w:tr w:rsidR="00775827" w:rsidRPr="004A4E23" w14:paraId="6A136A0C" w14:textId="77777777" w:rsidTr="00775827">
        <w:trPr>
          <w:trHeight w:val="325"/>
        </w:trPr>
        <w:tc>
          <w:tcPr>
            <w:tcW w:w="2835" w:type="dxa"/>
            <w:hideMark/>
          </w:tcPr>
          <w:p w14:paraId="519C001C" w14:textId="77777777" w:rsidR="00775827" w:rsidRPr="004A4E23" w:rsidRDefault="00775827" w:rsidP="00775827">
            <w:pPr>
              <w:rPr>
                <w:rFonts w:asciiTheme="minorHAnsi" w:hAnsiTheme="minorHAnsi" w:cs="Arial"/>
                <w:sz w:val="20"/>
                <w:szCs w:val="20"/>
              </w:rPr>
            </w:pPr>
            <w:r w:rsidRPr="004A4E23">
              <w:rPr>
                <w:rFonts w:asciiTheme="minorHAnsi" w:hAnsiTheme="minorHAnsi" w:cs="Arial"/>
                <w:sz w:val="20"/>
                <w:szCs w:val="20"/>
                <w:lang w:val="de-DE"/>
              </w:rPr>
              <w:t>Korea</w:t>
            </w:r>
          </w:p>
        </w:tc>
        <w:tc>
          <w:tcPr>
            <w:tcW w:w="3125" w:type="dxa"/>
            <w:hideMark/>
          </w:tcPr>
          <w:p w14:paraId="68BD1719" w14:textId="77777777" w:rsidR="00775827" w:rsidRPr="004A4E23" w:rsidRDefault="00775827" w:rsidP="00775827">
            <w:pPr>
              <w:jc w:val="right"/>
              <w:rPr>
                <w:rFonts w:asciiTheme="minorHAnsi" w:hAnsiTheme="minorHAnsi" w:cs="Arial"/>
                <w:sz w:val="20"/>
                <w:szCs w:val="20"/>
              </w:rPr>
            </w:pPr>
            <w:r>
              <w:rPr>
                <w:rFonts w:asciiTheme="minorHAnsi" w:hAnsiTheme="minorHAnsi" w:cs="Arial"/>
                <w:sz w:val="20"/>
                <w:szCs w:val="20"/>
                <w:lang w:val="de-DE"/>
              </w:rPr>
              <w:t>48.5</w:t>
            </w:r>
            <w:r w:rsidRPr="004A4E23">
              <w:rPr>
                <w:rFonts w:asciiTheme="minorHAnsi" w:hAnsiTheme="minorHAnsi" w:cs="Arial"/>
                <w:sz w:val="20"/>
                <w:szCs w:val="20"/>
                <w:lang w:val="de-DE"/>
              </w:rPr>
              <w:t>%</w:t>
            </w:r>
          </w:p>
        </w:tc>
        <w:tc>
          <w:tcPr>
            <w:tcW w:w="3254" w:type="dxa"/>
            <w:hideMark/>
          </w:tcPr>
          <w:p w14:paraId="392C0D9F" w14:textId="77777777" w:rsidR="00775827" w:rsidRPr="004A4E23" w:rsidRDefault="00775827" w:rsidP="00775827">
            <w:pPr>
              <w:jc w:val="right"/>
              <w:rPr>
                <w:rFonts w:asciiTheme="minorHAnsi" w:hAnsiTheme="minorHAnsi" w:cs="Arial"/>
                <w:sz w:val="20"/>
                <w:szCs w:val="20"/>
              </w:rPr>
            </w:pPr>
            <w:r>
              <w:rPr>
                <w:rFonts w:asciiTheme="minorHAnsi" w:hAnsiTheme="minorHAnsi" w:cs="Arial"/>
                <w:sz w:val="20"/>
                <w:szCs w:val="20"/>
                <w:lang w:val="de-DE"/>
              </w:rPr>
              <w:t>48.5</w:t>
            </w:r>
            <w:r w:rsidRPr="004A4E23">
              <w:rPr>
                <w:rFonts w:asciiTheme="minorHAnsi" w:hAnsiTheme="minorHAnsi" w:cs="Arial"/>
                <w:sz w:val="20"/>
                <w:szCs w:val="20"/>
                <w:lang w:val="de-DE"/>
              </w:rPr>
              <w:t>%</w:t>
            </w:r>
          </w:p>
        </w:tc>
      </w:tr>
      <w:tr w:rsidR="00775827" w:rsidRPr="004A4E23" w14:paraId="4999BB66" w14:textId="77777777" w:rsidTr="00775827">
        <w:trPr>
          <w:trHeight w:val="325"/>
        </w:trPr>
        <w:tc>
          <w:tcPr>
            <w:tcW w:w="2835" w:type="dxa"/>
            <w:hideMark/>
          </w:tcPr>
          <w:p w14:paraId="05D82DAC" w14:textId="77777777" w:rsidR="00775827" w:rsidRPr="004A4E23" w:rsidRDefault="00775827" w:rsidP="00775827">
            <w:pPr>
              <w:rPr>
                <w:rFonts w:asciiTheme="minorHAnsi" w:hAnsiTheme="minorHAnsi" w:cs="Arial"/>
                <w:sz w:val="20"/>
                <w:szCs w:val="20"/>
              </w:rPr>
            </w:pPr>
            <w:r w:rsidRPr="004A4E23">
              <w:rPr>
                <w:rFonts w:asciiTheme="minorHAnsi" w:hAnsiTheme="minorHAnsi" w:cs="Arial"/>
                <w:sz w:val="20"/>
                <w:szCs w:val="20"/>
                <w:lang w:val="de-DE"/>
              </w:rPr>
              <w:t>Malaysia</w:t>
            </w:r>
          </w:p>
        </w:tc>
        <w:tc>
          <w:tcPr>
            <w:tcW w:w="3125" w:type="dxa"/>
            <w:hideMark/>
          </w:tcPr>
          <w:p w14:paraId="515CD4C2" w14:textId="77777777" w:rsidR="00775827" w:rsidRPr="004A4E23" w:rsidRDefault="00775827" w:rsidP="00775827">
            <w:pPr>
              <w:jc w:val="right"/>
              <w:rPr>
                <w:rFonts w:asciiTheme="minorHAnsi" w:hAnsiTheme="minorHAnsi" w:cs="Arial"/>
                <w:sz w:val="20"/>
                <w:szCs w:val="20"/>
              </w:rPr>
            </w:pPr>
            <w:r>
              <w:rPr>
                <w:rFonts w:asciiTheme="minorHAnsi" w:hAnsiTheme="minorHAnsi" w:cs="Arial"/>
                <w:sz w:val="20"/>
                <w:szCs w:val="20"/>
                <w:lang w:val="de-DE"/>
              </w:rPr>
              <w:t>62.9</w:t>
            </w:r>
            <w:r w:rsidRPr="004A4E23">
              <w:rPr>
                <w:rFonts w:asciiTheme="minorHAnsi" w:hAnsiTheme="minorHAnsi" w:cs="Arial"/>
                <w:sz w:val="20"/>
                <w:szCs w:val="20"/>
                <w:lang w:val="de-DE"/>
              </w:rPr>
              <w:t>%</w:t>
            </w:r>
          </w:p>
        </w:tc>
        <w:tc>
          <w:tcPr>
            <w:tcW w:w="3254" w:type="dxa"/>
            <w:hideMark/>
          </w:tcPr>
          <w:p w14:paraId="715AF5EF" w14:textId="77777777" w:rsidR="00775827" w:rsidRPr="004A4E23" w:rsidRDefault="00775827" w:rsidP="00775827">
            <w:pPr>
              <w:jc w:val="right"/>
              <w:rPr>
                <w:rFonts w:asciiTheme="minorHAnsi" w:hAnsiTheme="minorHAnsi" w:cs="Arial"/>
                <w:sz w:val="20"/>
                <w:szCs w:val="20"/>
              </w:rPr>
            </w:pPr>
            <w:r>
              <w:rPr>
                <w:rFonts w:asciiTheme="minorHAnsi" w:hAnsiTheme="minorHAnsi" w:cs="Arial"/>
                <w:sz w:val="20"/>
                <w:szCs w:val="20"/>
                <w:lang w:val="de-DE"/>
              </w:rPr>
              <w:t>82.3</w:t>
            </w:r>
            <w:r w:rsidRPr="004A4E23">
              <w:rPr>
                <w:rFonts w:asciiTheme="minorHAnsi" w:hAnsiTheme="minorHAnsi" w:cs="Arial"/>
                <w:sz w:val="20"/>
                <w:szCs w:val="20"/>
                <w:lang w:val="de-DE"/>
              </w:rPr>
              <w:t>%</w:t>
            </w:r>
          </w:p>
        </w:tc>
      </w:tr>
      <w:tr w:rsidR="00775827" w:rsidRPr="004A4E23" w14:paraId="3857D641" w14:textId="77777777" w:rsidTr="00775827">
        <w:trPr>
          <w:trHeight w:val="325"/>
        </w:trPr>
        <w:tc>
          <w:tcPr>
            <w:tcW w:w="2835" w:type="dxa"/>
            <w:hideMark/>
          </w:tcPr>
          <w:p w14:paraId="29B70F59" w14:textId="77777777" w:rsidR="00775827" w:rsidRPr="004A4E23" w:rsidRDefault="00775827" w:rsidP="00775827">
            <w:pPr>
              <w:rPr>
                <w:rFonts w:asciiTheme="minorHAnsi" w:hAnsiTheme="minorHAnsi" w:cs="Arial"/>
                <w:sz w:val="20"/>
                <w:szCs w:val="20"/>
              </w:rPr>
            </w:pPr>
            <w:r w:rsidRPr="004A4E23">
              <w:rPr>
                <w:rFonts w:asciiTheme="minorHAnsi" w:hAnsiTheme="minorHAnsi" w:cs="Arial"/>
                <w:sz w:val="20"/>
                <w:szCs w:val="20"/>
                <w:lang w:val="de-DE"/>
              </w:rPr>
              <w:t>New Zealand</w:t>
            </w:r>
          </w:p>
        </w:tc>
        <w:tc>
          <w:tcPr>
            <w:tcW w:w="3125" w:type="dxa"/>
            <w:hideMark/>
          </w:tcPr>
          <w:p w14:paraId="6ED49442" w14:textId="77777777" w:rsidR="00775827" w:rsidRPr="004A4E23" w:rsidRDefault="00775827" w:rsidP="00775827">
            <w:pPr>
              <w:jc w:val="right"/>
              <w:rPr>
                <w:rFonts w:asciiTheme="minorHAnsi" w:hAnsiTheme="minorHAnsi" w:cs="Arial"/>
                <w:sz w:val="20"/>
                <w:szCs w:val="20"/>
              </w:rPr>
            </w:pPr>
            <w:r>
              <w:rPr>
                <w:rFonts w:asciiTheme="minorHAnsi" w:hAnsiTheme="minorHAnsi" w:cs="Arial"/>
                <w:sz w:val="20"/>
                <w:szCs w:val="20"/>
                <w:lang w:val="de-DE"/>
              </w:rPr>
              <w:t>28.3</w:t>
            </w:r>
            <w:r w:rsidRPr="004A4E23">
              <w:rPr>
                <w:rFonts w:asciiTheme="minorHAnsi" w:hAnsiTheme="minorHAnsi" w:cs="Arial"/>
                <w:sz w:val="20"/>
                <w:szCs w:val="20"/>
                <w:lang w:val="de-DE"/>
              </w:rPr>
              <w:t>%</w:t>
            </w:r>
          </w:p>
        </w:tc>
        <w:tc>
          <w:tcPr>
            <w:tcW w:w="3254" w:type="dxa"/>
            <w:hideMark/>
          </w:tcPr>
          <w:p w14:paraId="6C489A64" w14:textId="77777777" w:rsidR="00775827" w:rsidRPr="004A4E23" w:rsidRDefault="00775827" w:rsidP="00775827">
            <w:pPr>
              <w:jc w:val="right"/>
              <w:rPr>
                <w:rFonts w:asciiTheme="minorHAnsi" w:hAnsiTheme="minorHAnsi" w:cs="Arial"/>
                <w:sz w:val="20"/>
                <w:szCs w:val="20"/>
              </w:rPr>
            </w:pPr>
            <w:r>
              <w:rPr>
                <w:rFonts w:asciiTheme="minorHAnsi" w:hAnsiTheme="minorHAnsi" w:cs="Arial"/>
                <w:sz w:val="20"/>
                <w:szCs w:val="20"/>
                <w:lang w:val="de-DE"/>
              </w:rPr>
              <w:t>64.2</w:t>
            </w:r>
            <w:r w:rsidRPr="004A4E23">
              <w:rPr>
                <w:rFonts w:asciiTheme="minorHAnsi" w:hAnsiTheme="minorHAnsi" w:cs="Arial"/>
                <w:sz w:val="20"/>
                <w:szCs w:val="20"/>
                <w:lang w:val="de-DE"/>
              </w:rPr>
              <w:t>%</w:t>
            </w:r>
          </w:p>
        </w:tc>
      </w:tr>
      <w:tr w:rsidR="00775827" w:rsidRPr="004A4E23" w14:paraId="75D28060" w14:textId="77777777" w:rsidTr="00775827">
        <w:trPr>
          <w:trHeight w:val="325"/>
        </w:trPr>
        <w:tc>
          <w:tcPr>
            <w:tcW w:w="2835" w:type="dxa"/>
            <w:hideMark/>
          </w:tcPr>
          <w:p w14:paraId="1CC3530F" w14:textId="77777777" w:rsidR="00775827" w:rsidRPr="004A4E23" w:rsidRDefault="00775827" w:rsidP="00775827">
            <w:pPr>
              <w:rPr>
                <w:rFonts w:asciiTheme="minorHAnsi" w:hAnsiTheme="minorHAnsi" w:cs="Arial"/>
                <w:sz w:val="20"/>
                <w:szCs w:val="20"/>
              </w:rPr>
            </w:pPr>
            <w:r w:rsidRPr="004A4E23">
              <w:rPr>
                <w:rFonts w:asciiTheme="minorHAnsi" w:hAnsiTheme="minorHAnsi" w:cs="Arial"/>
                <w:sz w:val="20"/>
                <w:szCs w:val="20"/>
                <w:lang w:val="de-DE"/>
              </w:rPr>
              <w:t>Philippines</w:t>
            </w:r>
          </w:p>
        </w:tc>
        <w:tc>
          <w:tcPr>
            <w:tcW w:w="3125" w:type="dxa"/>
            <w:hideMark/>
          </w:tcPr>
          <w:p w14:paraId="0C5618F4" w14:textId="77777777" w:rsidR="00775827" w:rsidRPr="004A4E23" w:rsidRDefault="00775827" w:rsidP="00775827">
            <w:pPr>
              <w:jc w:val="right"/>
              <w:rPr>
                <w:rFonts w:asciiTheme="minorHAnsi" w:hAnsiTheme="minorHAnsi" w:cs="Arial"/>
                <w:sz w:val="20"/>
                <w:szCs w:val="20"/>
              </w:rPr>
            </w:pPr>
            <w:r>
              <w:rPr>
                <w:rFonts w:asciiTheme="minorHAnsi" w:hAnsiTheme="minorHAnsi" w:cs="Arial"/>
                <w:sz w:val="20"/>
                <w:szCs w:val="20"/>
                <w:lang w:val="de-DE"/>
              </w:rPr>
              <w:t>71.8</w:t>
            </w:r>
            <w:r w:rsidRPr="004A4E23">
              <w:rPr>
                <w:rFonts w:asciiTheme="minorHAnsi" w:hAnsiTheme="minorHAnsi" w:cs="Arial"/>
                <w:sz w:val="20"/>
                <w:szCs w:val="20"/>
                <w:lang w:val="de-DE"/>
              </w:rPr>
              <w:t>%</w:t>
            </w:r>
          </w:p>
        </w:tc>
        <w:tc>
          <w:tcPr>
            <w:tcW w:w="3254" w:type="dxa"/>
            <w:hideMark/>
          </w:tcPr>
          <w:p w14:paraId="5E080C73" w14:textId="77777777" w:rsidR="00775827" w:rsidRPr="004A4E23" w:rsidRDefault="00775827" w:rsidP="00775827">
            <w:pPr>
              <w:jc w:val="right"/>
              <w:rPr>
                <w:rFonts w:asciiTheme="minorHAnsi" w:hAnsiTheme="minorHAnsi" w:cs="Arial"/>
                <w:sz w:val="20"/>
                <w:szCs w:val="20"/>
              </w:rPr>
            </w:pPr>
            <w:r>
              <w:rPr>
                <w:rFonts w:asciiTheme="minorHAnsi" w:hAnsiTheme="minorHAnsi" w:cs="Arial"/>
                <w:sz w:val="20"/>
                <w:szCs w:val="20"/>
                <w:lang w:val="de-DE"/>
              </w:rPr>
              <w:t>82.1</w:t>
            </w:r>
            <w:r w:rsidRPr="004A4E23">
              <w:rPr>
                <w:rFonts w:asciiTheme="minorHAnsi" w:hAnsiTheme="minorHAnsi" w:cs="Arial"/>
                <w:sz w:val="20"/>
                <w:szCs w:val="20"/>
                <w:lang w:val="de-DE"/>
              </w:rPr>
              <w:t>%</w:t>
            </w:r>
          </w:p>
        </w:tc>
      </w:tr>
      <w:tr w:rsidR="00775827" w:rsidRPr="004A4E23" w14:paraId="57A5C86C" w14:textId="77777777" w:rsidTr="00775827">
        <w:trPr>
          <w:trHeight w:val="325"/>
        </w:trPr>
        <w:tc>
          <w:tcPr>
            <w:tcW w:w="2835" w:type="dxa"/>
            <w:hideMark/>
          </w:tcPr>
          <w:p w14:paraId="2793D298" w14:textId="77777777" w:rsidR="00775827" w:rsidRPr="004A4E23" w:rsidRDefault="00775827" w:rsidP="00775827">
            <w:pPr>
              <w:rPr>
                <w:rFonts w:asciiTheme="minorHAnsi" w:hAnsiTheme="minorHAnsi" w:cs="Arial"/>
                <w:sz w:val="20"/>
                <w:szCs w:val="20"/>
              </w:rPr>
            </w:pPr>
            <w:r w:rsidRPr="004A4E23">
              <w:rPr>
                <w:rFonts w:asciiTheme="minorHAnsi" w:hAnsiTheme="minorHAnsi" w:cs="Arial"/>
                <w:sz w:val="20"/>
                <w:szCs w:val="20"/>
                <w:lang w:val="de-DE"/>
              </w:rPr>
              <w:t>Singapore</w:t>
            </w:r>
          </w:p>
        </w:tc>
        <w:tc>
          <w:tcPr>
            <w:tcW w:w="3125" w:type="dxa"/>
            <w:hideMark/>
          </w:tcPr>
          <w:p w14:paraId="6D02E476" w14:textId="77777777" w:rsidR="00775827" w:rsidRPr="004A4E23" w:rsidRDefault="00775827" w:rsidP="00775827">
            <w:pPr>
              <w:jc w:val="right"/>
              <w:rPr>
                <w:rFonts w:asciiTheme="minorHAnsi" w:hAnsiTheme="minorHAnsi" w:cs="Arial"/>
                <w:sz w:val="20"/>
                <w:szCs w:val="20"/>
              </w:rPr>
            </w:pPr>
            <w:r>
              <w:rPr>
                <w:rFonts w:asciiTheme="minorHAnsi" w:hAnsiTheme="minorHAnsi" w:cs="Arial"/>
                <w:sz w:val="20"/>
                <w:szCs w:val="20"/>
                <w:lang w:val="de-DE"/>
              </w:rPr>
              <w:t>46.7</w:t>
            </w:r>
            <w:r w:rsidRPr="004A4E23">
              <w:rPr>
                <w:rFonts w:asciiTheme="minorHAnsi" w:hAnsiTheme="minorHAnsi" w:cs="Arial"/>
                <w:sz w:val="20"/>
                <w:szCs w:val="20"/>
                <w:lang w:val="de-DE"/>
              </w:rPr>
              <w:t>%</w:t>
            </w:r>
          </w:p>
        </w:tc>
        <w:tc>
          <w:tcPr>
            <w:tcW w:w="3254" w:type="dxa"/>
            <w:hideMark/>
          </w:tcPr>
          <w:p w14:paraId="23037B81" w14:textId="77777777" w:rsidR="00775827" w:rsidRPr="004A4E23" w:rsidRDefault="00775827" w:rsidP="00775827">
            <w:pPr>
              <w:jc w:val="right"/>
              <w:rPr>
                <w:rFonts w:asciiTheme="minorHAnsi" w:hAnsiTheme="minorHAnsi" w:cs="Arial"/>
                <w:sz w:val="20"/>
                <w:szCs w:val="20"/>
              </w:rPr>
            </w:pPr>
            <w:r>
              <w:rPr>
                <w:rFonts w:asciiTheme="minorHAnsi" w:hAnsiTheme="minorHAnsi" w:cs="Arial"/>
                <w:sz w:val="20"/>
                <w:szCs w:val="20"/>
                <w:lang w:val="de-DE"/>
              </w:rPr>
              <w:t>70.1</w:t>
            </w:r>
            <w:r w:rsidRPr="004A4E23">
              <w:rPr>
                <w:rFonts w:asciiTheme="minorHAnsi" w:hAnsiTheme="minorHAnsi" w:cs="Arial"/>
                <w:sz w:val="20"/>
                <w:szCs w:val="20"/>
                <w:lang w:val="de-DE"/>
              </w:rPr>
              <w:t>%</w:t>
            </w:r>
          </w:p>
        </w:tc>
      </w:tr>
      <w:tr w:rsidR="00775827" w:rsidRPr="004A4E23" w14:paraId="0102CDDC" w14:textId="77777777" w:rsidTr="00775827">
        <w:trPr>
          <w:trHeight w:val="325"/>
        </w:trPr>
        <w:tc>
          <w:tcPr>
            <w:tcW w:w="2835" w:type="dxa"/>
            <w:hideMark/>
          </w:tcPr>
          <w:p w14:paraId="0E06B8CB" w14:textId="77777777" w:rsidR="00775827" w:rsidRPr="004A4E23" w:rsidRDefault="00775827" w:rsidP="00775827">
            <w:pPr>
              <w:rPr>
                <w:rFonts w:asciiTheme="minorHAnsi" w:hAnsiTheme="minorHAnsi" w:cs="Arial"/>
                <w:sz w:val="20"/>
                <w:szCs w:val="20"/>
              </w:rPr>
            </w:pPr>
            <w:r w:rsidRPr="004A4E23">
              <w:rPr>
                <w:rFonts w:asciiTheme="minorHAnsi" w:hAnsiTheme="minorHAnsi" w:cs="Arial"/>
                <w:sz w:val="20"/>
                <w:szCs w:val="20"/>
                <w:lang w:val="de-DE"/>
              </w:rPr>
              <w:t>Taiwan</w:t>
            </w:r>
          </w:p>
        </w:tc>
        <w:tc>
          <w:tcPr>
            <w:tcW w:w="3125" w:type="dxa"/>
            <w:hideMark/>
          </w:tcPr>
          <w:p w14:paraId="32EC0A41" w14:textId="77777777" w:rsidR="00775827" w:rsidRPr="004A4E23" w:rsidRDefault="00775827" w:rsidP="00775827">
            <w:pPr>
              <w:jc w:val="right"/>
              <w:rPr>
                <w:rFonts w:asciiTheme="minorHAnsi" w:hAnsiTheme="minorHAnsi" w:cs="Arial"/>
                <w:sz w:val="20"/>
                <w:szCs w:val="20"/>
              </w:rPr>
            </w:pPr>
            <w:r>
              <w:rPr>
                <w:rFonts w:asciiTheme="minorHAnsi" w:hAnsiTheme="minorHAnsi" w:cs="Arial"/>
                <w:sz w:val="20"/>
                <w:szCs w:val="20"/>
                <w:lang w:val="de-DE"/>
              </w:rPr>
              <w:t>60.0</w:t>
            </w:r>
            <w:r w:rsidRPr="004A4E23">
              <w:rPr>
                <w:rFonts w:asciiTheme="minorHAnsi" w:hAnsiTheme="minorHAnsi" w:cs="Arial"/>
                <w:sz w:val="20"/>
                <w:szCs w:val="20"/>
                <w:lang w:val="de-DE"/>
              </w:rPr>
              <w:t>%</w:t>
            </w:r>
          </w:p>
        </w:tc>
        <w:tc>
          <w:tcPr>
            <w:tcW w:w="3254" w:type="dxa"/>
            <w:hideMark/>
          </w:tcPr>
          <w:p w14:paraId="24523688" w14:textId="77777777" w:rsidR="00775827" w:rsidRPr="004A4E23" w:rsidRDefault="00775827" w:rsidP="00775827">
            <w:pPr>
              <w:jc w:val="right"/>
              <w:rPr>
                <w:rFonts w:asciiTheme="minorHAnsi" w:hAnsiTheme="minorHAnsi" w:cs="Arial"/>
                <w:sz w:val="20"/>
                <w:szCs w:val="20"/>
              </w:rPr>
            </w:pPr>
            <w:r>
              <w:rPr>
                <w:rFonts w:asciiTheme="minorHAnsi" w:hAnsiTheme="minorHAnsi" w:cs="Arial"/>
                <w:sz w:val="20"/>
                <w:szCs w:val="20"/>
                <w:lang w:val="de-DE"/>
              </w:rPr>
              <w:t>74.5</w:t>
            </w:r>
            <w:r w:rsidRPr="004A4E23">
              <w:rPr>
                <w:rFonts w:asciiTheme="minorHAnsi" w:hAnsiTheme="minorHAnsi" w:cs="Arial"/>
                <w:sz w:val="20"/>
                <w:szCs w:val="20"/>
                <w:lang w:val="de-DE"/>
              </w:rPr>
              <w:t>%</w:t>
            </w:r>
          </w:p>
        </w:tc>
      </w:tr>
      <w:tr w:rsidR="00775827" w:rsidRPr="004A4E23" w14:paraId="5AA7F042" w14:textId="77777777" w:rsidTr="00775827">
        <w:trPr>
          <w:trHeight w:val="325"/>
        </w:trPr>
        <w:tc>
          <w:tcPr>
            <w:tcW w:w="2835" w:type="dxa"/>
            <w:hideMark/>
          </w:tcPr>
          <w:p w14:paraId="63A02B37" w14:textId="77777777" w:rsidR="00775827" w:rsidRPr="004A4E23" w:rsidRDefault="00775827" w:rsidP="00775827">
            <w:pPr>
              <w:rPr>
                <w:rFonts w:asciiTheme="minorHAnsi" w:hAnsiTheme="minorHAnsi" w:cs="Arial"/>
                <w:sz w:val="20"/>
                <w:szCs w:val="20"/>
              </w:rPr>
            </w:pPr>
            <w:r w:rsidRPr="004A4E23">
              <w:rPr>
                <w:rFonts w:asciiTheme="minorHAnsi" w:hAnsiTheme="minorHAnsi" w:cs="Arial"/>
                <w:sz w:val="20"/>
                <w:szCs w:val="20"/>
                <w:lang w:val="de-DE"/>
              </w:rPr>
              <w:t>Thailand</w:t>
            </w:r>
          </w:p>
        </w:tc>
        <w:tc>
          <w:tcPr>
            <w:tcW w:w="3125" w:type="dxa"/>
            <w:hideMark/>
          </w:tcPr>
          <w:p w14:paraId="12A6C2F6" w14:textId="77777777" w:rsidR="00775827" w:rsidRPr="004A4E23" w:rsidRDefault="00775827" w:rsidP="00775827">
            <w:pPr>
              <w:jc w:val="right"/>
              <w:rPr>
                <w:rFonts w:asciiTheme="minorHAnsi" w:hAnsiTheme="minorHAnsi" w:cs="Arial"/>
                <w:sz w:val="20"/>
                <w:szCs w:val="20"/>
              </w:rPr>
            </w:pPr>
            <w:r>
              <w:rPr>
                <w:rFonts w:asciiTheme="minorHAnsi" w:hAnsiTheme="minorHAnsi" w:cs="Arial"/>
                <w:sz w:val="20"/>
                <w:szCs w:val="20"/>
                <w:lang w:val="de-DE"/>
              </w:rPr>
              <w:t>53.7</w:t>
            </w:r>
            <w:r w:rsidRPr="004A4E23">
              <w:rPr>
                <w:rFonts w:asciiTheme="minorHAnsi" w:hAnsiTheme="minorHAnsi" w:cs="Arial"/>
                <w:sz w:val="20"/>
                <w:szCs w:val="20"/>
                <w:lang w:val="de-DE"/>
              </w:rPr>
              <w:t>%</w:t>
            </w:r>
          </w:p>
        </w:tc>
        <w:tc>
          <w:tcPr>
            <w:tcW w:w="3254" w:type="dxa"/>
            <w:hideMark/>
          </w:tcPr>
          <w:p w14:paraId="22921E7A" w14:textId="77777777" w:rsidR="00775827" w:rsidRPr="004A4E23" w:rsidRDefault="00775827" w:rsidP="00775827">
            <w:pPr>
              <w:jc w:val="right"/>
              <w:rPr>
                <w:rFonts w:asciiTheme="minorHAnsi" w:hAnsiTheme="minorHAnsi" w:cs="Arial"/>
                <w:sz w:val="20"/>
                <w:szCs w:val="20"/>
              </w:rPr>
            </w:pPr>
            <w:r>
              <w:rPr>
                <w:rFonts w:asciiTheme="minorHAnsi" w:hAnsiTheme="minorHAnsi" w:cs="Arial"/>
                <w:sz w:val="20"/>
                <w:szCs w:val="20"/>
                <w:lang w:val="de-DE"/>
              </w:rPr>
              <w:t>68.7</w:t>
            </w:r>
            <w:r w:rsidRPr="004A4E23">
              <w:rPr>
                <w:rFonts w:asciiTheme="minorHAnsi" w:hAnsiTheme="minorHAnsi" w:cs="Arial"/>
                <w:sz w:val="20"/>
                <w:szCs w:val="20"/>
                <w:lang w:val="de-DE"/>
              </w:rPr>
              <w:t>%</w:t>
            </w:r>
          </w:p>
        </w:tc>
      </w:tr>
      <w:tr w:rsidR="00775827" w:rsidRPr="004A4E23" w14:paraId="6E04D833" w14:textId="77777777" w:rsidTr="00775827">
        <w:trPr>
          <w:trHeight w:val="325"/>
        </w:trPr>
        <w:tc>
          <w:tcPr>
            <w:tcW w:w="2835" w:type="dxa"/>
            <w:tcBorders>
              <w:bottom w:val="single" w:sz="12" w:space="0" w:color="auto"/>
            </w:tcBorders>
            <w:hideMark/>
          </w:tcPr>
          <w:p w14:paraId="77B8E7D1" w14:textId="77777777" w:rsidR="00775827" w:rsidRPr="004A4E23" w:rsidRDefault="00775827" w:rsidP="00775827">
            <w:pPr>
              <w:rPr>
                <w:rFonts w:asciiTheme="minorHAnsi" w:hAnsiTheme="minorHAnsi" w:cs="Arial"/>
                <w:sz w:val="20"/>
                <w:szCs w:val="20"/>
              </w:rPr>
            </w:pPr>
            <w:r w:rsidRPr="004A4E23">
              <w:rPr>
                <w:rFonts w:asciiTheme="minorHAnsi" w:hAnsiTheme="minorHAnsi" w:cs="Arial"/>
                <w:sz w:val="20"/>
                <w:szCs w:val="20"/>
                <w:lang w:val="de-DE"/>
              </w:rPr>
              <w:t>Vietnam</w:t>
            </w:r>
          </w:p>
        </w:tc>
        <w:tc>
          <w:tcPr>
            <w:tcW w:w="3125" w:type="dxa"/>
            <w:tcBorders>
              <w:bottom w:val="single" w:sz="12" w:space="0" w:color="auto"/>
            </w:tcBorders>
            <w:hideMark/>
          </w:tcPr>
          <w:p w14:paraId="0BA246F2" w14:textId="77777777" w:rsidR="00775827" w:rsidRPr="004A4E23" w:rsidRDefault="00775827" w:rsidP="00775827">
            <w:pPr>
              <w:jc w:val="right"/>
              <w:rPr>
                <w:rFonts w:asciiTheme="minorHAnsi" w:hAnsiTheme="minorHAnsi" w:cs="Arial"/>
                <w:sz w:val="20"/>
                <w:szCs w:val="20"/>
              </w:rPr>
            </w:pPr>
            <w:r>
              <w:rPr>
                <w:rFonts w:asciiTheme="minorHAnsi" w:hAnsiTheme="minorHAnsi" w:cs="Arial"/>
                <w:sz w:val="20"/>
                <w:szCs w:val="20"/>
                <w:lang w:val="de-DE"/>
              </w:rPr>
              <w:t>57.8</w:t>
            </w:r>
            <w:r w:rsidRPr="004A4E23">
              <w:rPr>
                <w:rFonts w:asciiTheme="minorHAnsi" w:hAnsiTheme="minorHAnsi" w:cs="Arial"/>
                <w:sz w:val="20"/>
                <w:szCs w:val="20"/>
                <w:lang w:val="de-DE"/>
              </w:rPr>
              <w:t>%</w:t>
            </w:r>
          </w:p>
        </w:tc>
        <w:tc>
          <w:tcPr>
            <w:tcW w:w="3254" w:type="dxa"/>
            <w:tcBorders>
              <w:bottom w:val="single" w:sz="12" w:space="0" w:color="auto"/>
            </w:tcBorders>
            <w:hideMark/>
          </w:tcPr>
          <w:p w14:paraId="6B887BDE" w14:textId="77777777" w:rsidR="00775827" w:rsidRPr="004A4E23" w:rsidRDefault="00775827" w:rsidP="00775827">
            <w:pPr>
              <w:jc w:val="right"/>
              <w:rPr>
                <w:rFonts w:asciiTheme="minorHAnsi" w:hAnsiTheme="minorHAnsi" w:cs="Arial"/>
                <w:sz w:val="20"/>
                <w:szCs w:val="20"/>
              </w:rPr>
            </w:pPr>
            <w:r>
              <w:rPr>
                <w:rFonts w:asciiTheme="minorHAnsi" w:hAnsiTheme="minorHAnsi" w:cs="Arial"/>
                <w:sz w:val="20"/>
                <w:szCs w:val="20"/>
                <w:lang w:val="de-DE"/>
              </w:rPr>
              <w:t>65.6</w:t>
            </w:r>
            <w:r w:rsidRPr="004A4E23">
              <w:rPr>
                <w:rFonts w:asciiTheme="minorHAnsi" w:hAnsiTheme="minorHAnsi" w:cs="Arial"/>
                <w:sz w:val="20"/>
                <w:szCs w:val="20"/>
                <w:lang w:val="de-DE"/>
              </w:rPr>
              <w:t>%</w:t>
            </w:r>
          </w:p>
        </w:tc>
      </w:tr>
      <w:tr w:rsidR="00775827" w:rsidRPr="0038243E" w14:paraId="2FC4B4D0" w14:textId="77777777" w:rsidTr="00775827">
        <w:trPr>
          <w:trHeight w:val="325"/>
        </w:trPr>
        <w:tc>
          <w:tcPr>
            <w:tcW w:w="2835" w:type="dxa"/>
            <w:tcBorders>
              <w:top w:val="single" w:sz="12" w:space="0" w:color="auto"/>
              <w:bottom w:val="single" w:sz="12" w:space="0" w:color="auto"/>
            </w:tcBorders>
          </w:tcPr>
          <w:p w14:paraId="4AE713BD" w14:textId="77777777" w:rsidR="00775827" w:rsidRPr="0038243E" w:rsidRDefault="00775827" w:rsidP="00775827">
            <w:pPr>
              <w:rPr>
                <w:rFonts w:asciiTheme="minorHAnsi" w:hAnsiTheme="minorHAnsi" w:cs="Arial"/>
                <w:b/>
                <w:sz w:val="20"/>
                <w:szCs w:val="20"/>
                <w:lang w:val="de-DE"/>
              </w:rPr>
            </w:pPr>
            <w:r>
              <w:rPr>
                <w:rFonts w:asciiTheme="minorHAnsi" w:hAnsiTheme="minorHAnsi" w:cs="Arial"/>
                <w:b/>
                <w:sz w:val="20"/>
                <w:szCs w:val="20"/>
                <w:lang w:val="de-DE"/>
              </w:rPr>
              <w:t>Asia-Pacific</w:t>
            </w:r>
          </w:p>
        </w:tc>
        <w:tc>
          <w:tcPr>
            <w:tcW w:w="3125" w:type="dxa"/>
            <w:tcBorders>
              <w:top w:val="single" w:sz="12" w:space="0" w:color="auto"/>
              <w:bottom w:val="single" w:sz="12" w:space="0" w:color="auto"/>
            </w:tcBorders>
          </w:tcPr>
          <w:p w14:paraId="1DED1334" w14:textId="77777777" w:rsidR="00775827" w:rsidRPr="0038243E" w:rsidRDefault="00775827" w:rsidP="00775827">
            <w:pPr>
              <w:jc w:val="right"/>
              <w:rPr>
                <w:rFonts w:asciiTheme="minorHAnsi" w:hAnsiTheme="minorHAnsi" w:cs="Arial"/>
                <w:b/>
                <w:sz w:val="20"/>
                <w:szCs w:val="20"/>
                <w:lang w:val="de-DE"/>
              </w:rPr>
            </w:pPr>
            <w:r>
              <w:rPr>
                <w:rFonts w:asciiTheme="minorHAnsi" w:hAnsiTheme="minorHAnsi" w:cs="Arial"/>
                <w:b/>
                <w:sz w:val="20"/>
                <w:szCs w:val="20"/>
                <w:lang w:val="de-DE"/>
              </w:rPr>
              <w:t>48.7%</w:t>
            </w:r>
          </w:p>
        </w:tc>
        <w:tc>
          <w:tcPr>
            <w:tcW w:w="3254" w:type="dxa"/>
            <w:tcBorders>
              <w:top w:val="single" w:sz="12" w:space="0" w:color="auto"/>
              <w:bottom w:val="single" w:sz="12" w:space="0" w:color="auto"/>
            </w:tcBorders>
          </w:tcPr>
          <w:p w14:paraId="2B0667B1" w14:textId="77777777" w:rsidR="00775827" w:rsidRPr="0038243E" w:rsidRDefault="00775827" w:rsidP="00775827">
            <w:pPr>
              <w:jc w:val="right"/>
              <w:rPr>
                <w:rFonts w:asciiTheme="minorHAnsi" w:hAnsiTheme="minorHAnsi" w:cs="Arial"/>
                <w:b/>
                <w:sz w:val="20"/>
                <w:szCs w:val="20"/>
                <w:lang w:val="de-DE"/>
              </w:rPr>
            </w:pPr>
            <w:r>
              <w:rPr>
                <w:rFonts w:asciiTheme="minorHAnsi" w:hAnsiTheme="minorHAnsi" w:cs="Arial"/>
                <w:b/>
                <w:sz w:val="20"/>
                <w:szCs w:val="20"/>
                <w:lang w:val="de-DE"/>
              </w:rPr>
              <w:t>66.8%</w:t>
            </w:r>
          </w:p>
        </w:tc>
      </w:tr>
    </w:tbl>
    <w:p w14:paraId="28595C4A" w14:textId="77777777" w:rsidR="00775827" w:rsidRDefault="00775827" w:rsidP="00775827"/>
    <w:p w14:paraId="07365CBA" w14:textId="77777777" w:rsidR="00775827" w:rsidRPr="00DD4954" w:rsidRDefault="00775827" w:rsidP="00775827">
      <w:pPr>
        <w:rPr>
          <w:sz w:val="20"/>
          <w:szCs w:val="20"/>
        </w:rPr>
      </w:pPr>
      <w:r w:rsidRPr="00DD4954">
        <w:rPr>
          <w:sz w:val="20"/>
          <w:szCs w:val="20"/>
          <w:lang w:val="en-GB"/>
        </w:rPr>
        <w:t>n</w:t>
      </w:r>
      <w:r w:rsidRPr="00DD4954">
        <w:rPr>
          <w:sz w:val="20"/>
          <w:szCs w:val="20"/>
          <w:vertAlign w:val="subscript"/>
          <w:lang w:val="en-GB"/>
        </w:rPr>
        <w:t xml:space="preserve"> </w:t>
      </w:r>
      <w:r w:rsidRPr="00DD4954">
        <w:rPr>
          <w:sz w:val="20"/>
          <w:szCs w:val="20"/>
          <w:lang w:val="en-GB"/>
        </w:rPr>
        <w:t xml:space="preserve">= 1,185 PR </w:t>
      </w:r>
      <w:r>
        <w:rPr>
          <w:sz w:val="20"/>
          <w:szCs w:val="20"/>
          <w:lang w:val="en-GB"/>
        </w:rPr>
        <w:t>and corporate communication practitioners</w:t>
      </w:r>
      <w:r w:rsidRPr="00DD4954">
        <w:rPr>
          <w:sz w:val="20"/>
          <w:szCs w:val="20"/>
          <w:lang w:val="en-GB"/>
        </w:rPr>
        <w:t xml:space="preserve"> </w:t>
      </w:r>
      <w:r w:rsidRPr="00DD4954">
        <w:rPr>
          <w:sz w:val="20"/>
          <w:szCs w:val="20"/>
          <w:lang w:val="en-US"/>
        </w:rPr>
        <w:t>from 14 countries</w:t>
      </w:r>
      <w:r w:rsidRPr="00DD4954">
        <w:rPr>
          <w:sz w:val="20"/>
          <w:szCs w:val="20"/>
          <w:lang w:val="en-GB"/>
        </w:rPr>
        <w:t>. Q</w:t>
      </w:r>
      <w:r>
        <w:rPr>
          <w:sz w:val="20"/>
          <w:szCs w:val="20"/>
          <w:lang w:val="en-GB"/>
        </w:rPr>
        <w:t xml:space="preserve">. </w:t>
      </w:r>
      <w:r w:rsidRPr="00DD4954">
        <w:rPr>
          <w:sz w:val="20"/>
          <w:szCs w:val="20"/>
          <w:lang w:val="en-GB"/>
        </w:rPr>
        <w:t>1: Please rate the relative importance of the following strategic communication activities within the next three years.</w:t>
      </w:r>
      <w:r w:rsidRPr="00DD4954">
        <w:rPr>
          <w:sz w:val="20"/>
          <w:szCs w:val="20"/>
          <w:lang w:val="en-US"/>
        </w:rPr>
        <w:t xml:space="preserve"> </w:t>
      </w:r>
      <w:r w:rsidRPr="00DD4954">
        <w:rPr>
          <w:sz w:val="20"/>
          <w:szCs w:val="20"/>
          <w:lang w:val="en-GB"/>
        </w:rPr>
        <w:t>Scale 1 (</w:t>
      </w:r>
      <w:r>
        <w:rPr>
          <w:sz w:val="20"/>
          <w:szCs w:val="20"/>
          <w:lang w:val="en-GB"/>
        </w:rPr>
        <w:t>‘</w:t>
      </w:r>
      <w:r w:rsidRPr="00DD4954">
        <w:rPr>
          <w:sz w:val="20"/>
          <w:szCs w:val="20"/>
          <w:lang w:val="en-GB"/>
        </w:rPr>
        <w:t>Lose a lot of importance</w:t>
      </w:r>
      <w:r>
        <w:rPr>
          <w:sz w:val="20"/>
          <w:szCs w:val="20"/>
          <w:lang w:val="en-GB"/>
        </w:rPr>
        <w:t>’</w:t>
      </w:r>
      <w:r w:rsidRPr="00DD4954">
        <w:rPr>
          <w:sz w:val="20"/>
          <w:szCs w:val="20"/>
          <w:lang w:val="en-GB"/>
        </w:rPr>
        <w:t>) – 5 (</w:t>
      </w:r>
      <w:r>
        <w:rPr>
          <w:sz w:val="20"/>
          <w:szCs w:val="20"/>
          <w:lang w:val="en-GB"/>
        </w:rPr>
        <w:t>‘</w:t>
      </w:r>
      <w:r w:rsidRPr="00DD4954">
        <w:rPr>
          <w:sz w:val="20"/>
          <w:szCs w:val="20"/>
          <w:lang w:val="en-GB"/>
        </w:rPr>
        <w:t>Gain a lot of importance</w:t>
      </w:r>
      <w:r>
        <w:rPr>
          <w:sz w:val="20"/>
          <w:szCs w:val="20"/>
          <w:lang w:val="en-GB"/>
        </w:rPr>
        <w:t>’</w:t>
      </w:r>
      <w:r w:rsidRPr="00DD4954">
        <w:rPr>
          <w:sz w:val="20"/>
          <w:szCs w:val="20"/>
          <w:lang w:val="en-GB"/>
        </w:rPr>
        <w:t>). Percentages: Fr</w:t>
      </w:r>
      <w:r>
        <w:rPr>
          <w:sz w:val="20"/>
          <w:szCs w:val="20"/>
          <w:lang w:val="en-GB"/>
        </w:rPr>
        <w:t xml:space="preserve">equency based on scale points 4–5. </w:t>
      </w:r>
      <w:r w:rsidRPr="00DD4954">
        <w:rPr>
          <w:sz w:val="20"/>
          <w:szCs w:val="20"/>
          <w:lang w:val="en-GB"/>
        </w:rPr>
        <w:t>Highly significant differences (ANOVA/</w:t>
      </w:r>
      <w:proofErr w:type="spellStart"/>
      <w:r w:rsidRPr="00DD4954">
        <w:rPr>
          <w:sz w:val="20"/>
          <w:szCs w:val="20"/>
          <w:lang w:val="en-GB"/>
        </w:rPr>
        <w:t>Scheffe</w:t>
      </w:r>
      <w:proofErr w:type="spellEnd"/>
      <w:r w:rsidRPr="00DD4954">
        <w:rPr>
          <w:sz w:val="20"/>
          <w:szCs w:val="20"/>
          <w:lang w:val="en-GB"/>
        </w:rPr>
        <w:t xml:space="preserve"> post-hoc test, p ≤ 0.01).</w:t>
      </w:r>
    </w:p>
    <w:p w14:paraId="4BFDF6E8" w14:textId="77777777" w:rsidR="00DD4954" w:rsidRPr="00F659DE" w:rsidRDefault="00DD4954" w:rsidP="00877C55">
      <w:pPr>
        <w:rPr>
          <w:lang w:val="en-GB"/>
        </w:rPr>
      </w:pPr>
    </w:p>
    <w:p w14:paraId="37360B88" w14:textId="01E57601" w:rsidR="002C4F16" w:rsidRDefault="00FE76D4" w:rsidP="00775827">
      <w:pPr>
        <w:ind w:firstLine="426"/>
        <w:rPr>
          <w:rFonts w:eastAsia="Times New Roman"/>
          <w:lang w:eastAsia="en-AU"/>
        </w:rPr>
      </w:pPr>
      <w:r>
        <w:rPr>
          <w:lang w:val="en-GB"/>
        </w:rPr>
        <w:t xml:space="preserve">Earned media content also seems highly likely to gain increasing importance given the finding by Nielsen that </w:t>
      </w:r>
      <w:r>
        <w:rPr>
          <w:rFonts w:eastAsia="Times New Roman"/>
          <w:lang w:eastAsia="en-AU"/>
        </w:rPr>
        <w:t xml:space="preserve">“recommendations from people I know” and “consumer opinions posted online” are the most trusted forms of media information (Nielsen, 2015b, p. 4) – in other words, earned online endorsements and positive </w:t>
      </w:r>
      <w:r w:rsidR="00D75290">
        <w:rPr>
          <w:rFonts w:eastAsia="Times New Roman"/>
          <w:lang w:eastAsia="en-AU"/>
        </w:rPr>
        <w:t xml:space="preserve">comments have the most </w:t>
      </w:r>
      <w:r>
        <w:rPr>
          <w:rFonts w:eastAsia="Times New Roman"/>
          <w:lang w:eastAsia="en-AU"/>
        </w:rPr>
        <w:t xml:space="preserve">impact. </w:t>
      </w:r>
      <w:r w:rsidR="00984F97">
        <w:rPr>
          <w:rFonts w:eastAsia="Times New Roman"/>
          <w:lang w:eastAsia="en-AU"/>
        </w:rPr>
        <w:t xml:space="preserve">As mentioned before, seven out of ten </w:t>
      </w:r>
      <w:r w:rsidR="00E860F7">
        <w:rPr>
          <w:lang w:val="en-GB"/>
        </w:rPr>
        <w:t>PR and corporate communication</w:t>
      </w:r>
      <w:r w:rsidR="00E860F7" w:rsidRPr="007B38AE">
        <w:rPr>
          <w:lang w:val="en-GB"/>
        </w:rPr>
        <w:t xml:space="preserve"> professionals in </w:t>
      </w:r>
      <w:r w:rsidR="00E37069">
        <w:rPr>
          <w:lang w:val="en-GB"/>
        </w:rPr>
        <w:t>APAC</w:t>
      </w:r>
      <w:r w:rsidR="00E860F7" w:rsidRPr="007B38AE">
        <w:rPr>
          <w:lang w:val="en-GB"/>
        </w:rPr>
        <w:t xml:space="preserve"> </w:t>
      </w:r>
      <w:r w:rsidR="00984F97">
        <w:rPr>
          <w:rFonts w:eastAsia="Times New Roman"/>
          <w:lang w:eastAsia="en-AU"/>
        </w:rPr>
        <w:t xml:space="preserve">(72.8%) </w:t>
      </w:r>
      <w:r w:rsidR="00E860F7" w:rsidRPr="007B38AE">
        <w:rPr>
          <w:lang w:val="en-GB"/>
        </w:rPr>
        <w:t>believe that earned media publicity will continue to be important</w:t>
      </w:r>
      <w:r w:rsidR="00E860F7">
        <w:rPr>
          <w:rFonts w:eastAsia="Times New Roman"/>
          <w:lang w:eastAsia="en-AU"/>
        </w:rPr>
        <w:t xml:space="preserve">. </w:t>
      </w:r>
      <w:r>
        <w:rPr>
          <w:rFonts w:eastAsia="Times New Roman"/>
          <w:lang w:eastAsia="en-AU"/>
        </w:rPr>
        <w:t xml:space="preserve">This suggests that paid media – at least in traditional forms – will slip from </w:t>
      </w:r>
      <w:r w:rsidR="00D75290">
        <w:rPr>
          <w:rFonts w:eastAsia="Times New Roman"/>
          <w:lang w:eastAsia="en-AU"/>
        </w:rPr>
        <w:t xml:space="preserve">being </w:t>
      </w:r>
      <w:r>
        <w:rPr>
          <w:rFonts w:eastAsia="Times New Roman"/>
          <w:lang w:eastAsia="en-AU"/>
        </w:rPr>
        <w:t>the dominant model of media communication to last place.</w:t>
      </w:r>
    </w:p>
    <w:p w14:paraId="584D6202" w14:textId="04324101" w:rsidR="00B32CFC" w:rsidRDefault="00B32CFC" w:rsidP="00775827">
      <w:pPr>
        <w:ind w:firstLine="426"/>
        <w:rPr>
          <w:lang w:val="en-GB"/>
        </w:rPr>
      </w:pPr>
      <w:r>
        <w:rPr>
          <w:rFonts w:eastAsia="Times New Roman"/>
          <w:lang w:eastAsia="en-AU"/>
        </w:rPr>
        <w:t xml:space="preserve">However, before PR and corporate communication practitioners celebrate </w:t>
      </w:r>
      <w:r w:rsidR="00A64F29">
        <w:rPr>
          <w:rFonts w:eastAsia="Times New Roman"/>
          <w:lang w:eastAsia="en-AU"/>
        </w:rPr>
        <w:t>a possible</w:t>
      </w:r>
      <w:r>
        <w:rPr>
          <w:rFonts w:eastAsia="Times New Roman"/>
          <w:lang w:eastAsia="en-AU"/>
        </w:rPr>
        <w:t xml:space="preserve"> reversal of the long-standing dominance of advertising</w:t>
      </w:r>
      <w:r w:rsidR="00D75290">
        <w:rPr>
          <w:rFonts w:eastAsia="Times New Roman"/>
          <w:lang w:eastAsia="en-AU"/>
        </w:rPr>
        <w:t xml:space="preserve"> over PR</w:t>
      </w:r>
      <w:r>
        <w:rPr>
          <w:rFonts w:eastAsia="Times New Roman"/>
          <w:lang w:eastAsia="en-AU"/>
        </w:rPr>
        <w:t xml:space="preserve">, it is important to </w:t>
      </w:r>
      <w:r w:rsidR="0018350F">
        <w:rPr>
          <w:rFonts w:eastAsia="Times New Roman"/>
          <w:lang w:eastAsia="en-AU"/>
        </w:rPr>
        <w:t>examine</w:t>
      </w:r>
      <w:r>
        <w:rPr>
          <w:rFonts w:eastAsia="Times New Roman"/>
          <w:lang w:eastAsia="en-AU"/>
        </w:rPr>
        <w:t xml:space="preserve"> the specific formats of owned media that are emerging</w:t>
      </w:r>
      <w:r w:rsidR="0018350F">
        <w:rPr>
          <w:rFonts w:eastAsia="Times New Roman"/>
          <w:lang w:eastAsia="en-AU"/>
        </w:rPr>
        <w:t xml:space="preserve"> and the implications of changes that are occurring in the ‘media mix’ deployed in public communication</w:t>
      </w:r>
      <w:r w:rsidR="00804C9A">
        <w:rPr>
          <w:rFonts w:eastAsia="Times New Roman"/>
          <w:lang w:eastAsia="en-AU"/>
        </w:rPr>
        <w:t>.</w:t>
      </w:r>
    </w:p>
    <w:p w14:paraId="2BB5C6B6" w14:textId="77777777" w:rsidR="00370F1E" w:rsidRDefault="00370F1E" w:rsidP="00775827">
      <w:pPr>
        <w:rPr>
          <w:lang w:val="en-GB"/>
        </w:rPr>
      </w:pPr>
    </w:p>
    <w:p w14:paraId="779501BD" w14:textId="46E845E1" w:rsidR="0018350F" w:rsidRPr="002C4F16" w:rsidRDefault="00595632" w:rsidP="00775827">
      <w:pPr>
        <w:ind w:left="426" w:hanging="426"/>
        <w:rPr>
          <w:i/>
          <w:lang w:val="en-GB"/>
        </w:rPr>
      </w:pPr>
      <w:r>
        <w:rPr>
          <w:i/>
          <w:lang w:val="en-GB"/>
        </w:rPr>
        <w:lastRenderedPageBreak/>
        <w:t>5</w:t>
      </w:r>
      <w:r w:rsidR="00D83113">
        <w:rPr>
          <w:i/>
          <w:lang w:val="en-GB"/>
        </w:rPr>
        <w:t>.4</w:t>
      </w:r>
      <w:r w:rsidR="00D83113">
        <w:rPr>
          <w:i/>
          <w:lang w:val="en-GB"/>
        </w:rPr>
        <w:tab/>
      </w:r>
      <w:r w:rsidR="004B2B23">
        <w:rPr>
          <w:i/>
          <w:lang w:val="en-GB"/>
        </w:rPr>
        <w:t>The</w:t>
      </w:r>
      <w:r w:rsidR="004B2B23" w:rsidRPr="002C4F16">
        <w:rPr>
          <w:i/>
          <w:lang w:val="en-GB"/>
        </w:rPr>
        <w:t xml:space="preserve"> </w:t>
      </w:r>
      <w:r w:rsidR="0018350F" w:rsidRPr="002C4F16">
        <w:rPr>
          <w:i/>
          <w:lang w:val="en-GB"/>
        </w:rPr>
        <w:t>implications</w:t>
      </w:r>
    </w:p>
    <w:p w14:paraId="5E921FEB" w14:textId="5E89F97E" w:rsidR="004B2B23" w:rsidRDefault="007B38AE" w:rsidP="00775827">
      <w:pPr>
        <w:autoSpaceDE w:val="0"/>
        <w:autoSpaceDN w:val="0"/>
        <w:adjustRightInd w:val="0"/>
        <w:ind w:firstLine="426"/>
        <w:rPr>
          <w:lang w:val="en-GB"/>
        </w:rPr>
      </w:pPr>
      <w:r w:rsidRPr="007B38AE">
        <w:rPr>
          <w:lang w:val="en-GB"/>
        </w:rPr>
        <w:t xml:space="preserve">Owned media </w:t>
      </w:r>
      <w:r w:rsidR="00A136EE">
        <w:rPr>
          <w:lang w:val="en-GB"/>
        </w:rPr>
        <w:t>content is</w:t>
      </w:r>
      <w:r w:rsidRPr="007B38AE">
        <w:rPr>
          <w:lang w:val="en-GB"/>
        </w:rPr>
        <w:t xml:space="preserve"> expanding well beyond traditional corporate publishing</w:t>
      </w:r>
      <w:r w:rsidR="00A136EE">
        <w:rPr>
          <w:lang w:val="en-GB"/>
        </w:rPr>
        <w:t xml:space="preserve">, ‘advertorial’, and early </w:t>
      </w:r>
      <w:r w:rsidR="0018350F">
        <w:rPr>
          <w:lang w:val="en-GB"/>
        </w:rPr>
        <w:t xml:space="preserve">relatively innocuous </w:t>
      </w:r>
      <w:r w:rsidR="00A136EE">
        <w:rPr>
          <w:lang w:val="en-GB"/>
        </w:rPr>
        <w:t xml:space="preserve">forms of product placement in which </w:t>
      </w:r>
      <w:r w:rsidR="00710E24">
        <w:rPr>
          <w:lang w:val="en-GB"/>
        </w:rPr>
        <w:t>products are</w:t>
      </w:r>
      <w:r w:rsidR="00A136EE">
        <w:rPr>
          <w:lang w:val="en-GB"/>
        </w:rPr>
        <w:t xml:space="preserve"> clearly visible</w:t>
      </w:r>
      <w:r w:rsidRPr="007B38AE">
        <w:rPr>
          <w:lang w:val="en-GB"/>
        </w:rPr>
        <w:t xml:space="preserve"> </w:t>
      </w:r>
      <w:r w:rsidR="00710E24">
        <w:rPr>
          <w:lang w:val="en-GB"/>
        </w:rPr>
        <w:t>(i.e., transparent)</w:t>
      </w:r>
      <w:r w:rsidR="00617765">
        <w:rPr>
          <w:lang w:val="en-GB"/>
        </w:rPr>
        <w:t>,</w:t>
      </w:r>
      <w:r w:rsidR="00710E24">
        <w:rPr>
          <w:lang w:val="en-GB"/>
        </w:rPr>
        <w:t xml:space="preserve"> </w:t>
      </w:r>
      <w:r w:rsidRPr="007B38AE">
        <w:rPr>
          <w:lang w:val="en-GB"/>
        </w:rPr>
        <w:t xml:space="preserve">to include an array of new </w:t>
      </w:r>
      <w:r w:rsidR="0051222D">
        <w:rPr>
          <w:lang w:val="en-GB"/>
        </w:rPr>
        <w:t xml:space="preserve">forms of sponsored content and media channels negotiated and largely controlled through ‘strategic media partnerships’. </w:t>
      </w:r>
    </w:p>
    <w:p w14:paraId="054F90B6" w14:textId="16F46A41" w:rsidR="00333CFF" w:rsidRPr="000343E7" w:rsidRDefault="00333CFF" w:rsidP="00775827">
      <w:pPr>
        <w:autoSpaceDE w:val="0"/>
        <w:autoSpaceDN w:val="0"/>
        <w:adjustRightInd w:val="0"/>
        <w:ind w:firstLine="426"/>
      </w:pPr>
      <w:r>
        <w:t xml:space="preserve">If these </w:t>
      </w:r>
      <w:r w:rsidR="00A64F29">
        <w:t xml:space="preserve">developments </w:t>
      </w:r>
      <w:r>
        <w:t>follow trends internationally, there are serious implications for ethics in media and communication practices and potentially risks to the credibility of media and client organizations. In the relatively few studies of these practices, they have been described as “covert” (Kuhn, Hume, &amp; Love</w:t>
      </w:r>
      <w:r w:rsidRPr="000C370F">
        <w:t>, 2010)</w:t>
      </w:r>
      <w:r>
        <w:t>,</w:t>
      </w:r>
      <w:r w:rsidRPr="000C370F">
        <w:t xml:space="preserve"> </w:t>
      </w:r>
      <w:r>
        <w:t xml:space="preserve">as </w:t>
      </w:r>
      <w:r w:rsidRPr="000C370F">
        <w:t xml:space="preserve">designed to at </w:t>
      </w:r>
      <w:r>
        <w:t>least partially “hide the truth”</w:t>
      </w:r>
      <w:r w:rsidRPr="000C370F">
        <w:t xml:space="preserve"> (de </w:t>
      </w:r>
      <w:proofErr w:type="spellStart"/>
      <w:r w:rsidRPr="000C370F">
        <w:t>Pelsmacker</w:t>
      </w:r>
      <w:proofErr w:type="spellEnd"/>
      <w:r w:rsidRPr="000C370F">
        <w:t xml:space="preserve"> </w:t>
      </w:r>
      <w:r>
        <w:t>&amp;</w:t>
      </w:r>
      <w:r w:rsidRPr="000C370F">
        <w:t xml:space="preserve"> </w:t>
      </w:r>
      <w:proofErr w:type="spellStart"/>
      <w:r w:rsidRPr="000C370F">
        <w:t>Neijens</w:t>
      </w:r>
      <w:proofErr w:type="spellEnd"/>
      <w:r w:rsidRPr="000C370F">
        <w:t xml:space="preserve"> 2012: 1), </w:t>
      </w:r>
      <w:r>
        <w:t xml:space="preserve">and even </w:t>
      </w:r>
      <w:r w:rsidRPr="000C370F">
        <w:t xml:space="preserve">as </w:t>
      </w:r>
      <w:r>
        <w:rPr>
          <w:rFonts w:eastAsia="Batang"/>
          <w:bCs/>
          <w:lang w:eastAsia="ko-KR"/>
        </w:rPr>
        <w:t>“stealth marketing”</w:t>
      </w:r>
      <w:r w:rsidRPr="000C370F">
        <w:rPr>
          <w:rFonts w:eastAsia="Batang"/>
          <w:bCs/>
          <w:lang w:eastAsia="ko-KR"/>
        </w:rPr>
        <w:t xml:space="preserve"> </w:t>
      </w:r>
      <w:r>
        <w:rPr>
          <w:rFonts w:eastAsia="Batang"/>
          <w:bCs/>
          <w:lang w:eastAsia="ko-KR"/>
        </w:rPr>
        <w:t>designed to f</w:t>
      </w:r>
      <w:r w:rsidRPr="000C370F">
        <w:t>ully conceal marketing and promotional messages in media conten</w:t>
      </w:r>
      <w:r>
        <w:t>t</w:t>
      </w:r>
      <w:r w:rsidRPr="000C370F">
        <w:rPr>
          <w:rFonts w:eastAsia="Batang"/>
          <w:bCs/>
          <w:lang w:eastAsia="ko-KR"/>
        </w:rPr>
        <w:t xml:space="preserve"> (</w:t>
      </w:r>
      <w:r w:rsidRPr="000C370F">
        <w:t xml:space="preserve">Roy </w:t>
      </w:r>
      <w:r>
        <w:t>&amp;</w:t>
      </w:r>
      <w:r w:rsidRPr="000C370F">
        <w:t xml:space="preserve"> Chattopadhyay, 2010</w:t>
      </w:r>
      <w:r w:rsidRPr="000C370F">
        <w:rPr>
          <w:rFonts w:eastAsia="Batang"/>
          <w:bCs/>
          <w:lang w:eastAsia="ko-KR"/>
        </w:rPr>
        <w:t>).</w:t>
      </w:r>
      <w:r>
        <w:rPr>
          <w:rFonts w:eastAsia="Batang"/>
          <w:bCs/>
          <w:lang w:eastAsia="ko-KR"/>
        </w:rPr>
        <w:t xml:space="preserve"> </w:t>
      </w:r>
      <w:r>
        <w:t xml:space="preserve">In a recent analysis, Campbell and Marks reported that “some native advertisements </w:t>
      </w:r>
      <w:r w:rsidRPr="005C1217">
        <w:t xml:space="preserve">provide minimal or no </w:t>
      </w:r>
      <w:r>
        <w:t xml:space="preserve">source disclosure to consumers, </w:t>
      </w:r>
      <w:r w:rsidRPr="005C1217">
        <w:t>possibly tricking</w:t>
      </w:r>
      <w:r>
        <w:t xml:space="preserve"> consumers into viewing content </w:t>
      </w:r>
      <w:r w:rsidRPr="005C1217">
        <w:t>that they bel</w:t>
      </w:r>
      <w:r>
        <w:t xml:space="preserve">ieve is from a different source </w:t>
      </w:r>
      <w:r w:rsidRPr="005C1217">
        <w:t>(e.g., from the publishers of the website)</w:t>
      </w:r>
      <w:r>
        <w:t xml:space="preserve">” </w:t>
      </w:r>
      <w:r w:rsidRPr="000343E7">
        <w:t>(2015, p. 601).</w:t>
      </w:r>
    </w:p>
    <w:p w14:paraId="586F3B35" w14:textId="69A668BB" w:rsidR="00333CFF" w:rsidRPr="00D83113" w:rsidRDefault="00333CFF" w:rsidP="00775827">
      <w:pPr>
        <w:autoSpaceDE w:val="0"/>
        <w:autoSpaceDN w:val="0"/>
        <w:adjustRightInd w:val="0"/>
        <w:ind w:firstLine="426"/>
        <w:rPr>
          <w:lang w:val="en-GB"/>
        </w:rPr>
      </w:pPr>
      <w:r w:rsidRPr="000343E7">
        <w:rPr>
          <w:lang w:val="en-GB"/>
        </w:rPr>
        <w:t xml:space="preserve">In the past few years, a number of prominent media have ventured down this path including leading US mastheads such as </w:t>
      </w:r>
      <w:r w:rsidRPr="000343E7">
        <w:rPr>
          <w:rFonts w:eastAsia="Batang"/>
          <w:bCs/>
          <w:i/>
          <w:lang w:eastAsia="ko-KR"/>
        </w:rPr>
        <w:t>The New York Times</w:t>
      </w:r>
      <w:r w:rsidRPr="000343E7">
        <w:rPr>
          <w:rFonts w:eastAsia="Batang"/>
          <w:bCs/>
          <w:lang w:eastAsia="ko-KR"/>
        </w:rPr>
        <w:t xml:space="preserve">, </w:t>
      </w:r>
      <w:r w:rsidRPr="000343E7">
        <w:rPr>
          <w:rFonts w:eastAsia="Batang"/>
          <w:bCs/>
          <w:i/>
          <w:lang w:eastAsia="ko-KR"/>
        </w:rPr>
        <w:t>The Washington Post</w:t>
      </w:r>
      <w:r w:rsidRPr="000343E7">
        <w:rPr>
          <w:rFonts w:eastAsia="Batang"/>
          <w:bCs/>
          <w:lang w:eastAsia="ko-KR"/>
        </w:rPr>
        <w:t xml:space="preserve">, and </w:t>
      </w:r>
      <w:r w:rsidRPr="000343E7">
        <w:rPr>
          <w:rFonts w:eastAsia="Batang"/>
          <w:bCs/>
          <w:i/>
          <w:lang w:eastAsia="ko-KR"/>
        </w:rPr>
        <w:t>The Atlantic</w:t>
      </w:r>
      <w:r w:rsidRPr="000343E7">
        <w:rPr>
          <w:rFonts w:eastAsia="Batang"/>
          <w:bCs/>
          <w:lang w:eastAsia="ko-KR"/>
        </w:rPr>
        <w:t xml:space="preserve">, and major </w:t>
      </w:r>
      <w:r w:rsidR="00E37069">
        <w:rPr>
          <w:rFonts w:eastAsia="Batang"/>
          <w:bCs/>
          <w:lang w:eastAsia="ko-KR"/>
        </w:rPr>
        <w:t>APAC</w:t>
      </w:r>
      <w:r w:rsidRPr="000343E7">
        <w:rPr>
          <w:rFonts w:eastAsia="Batang"/>
          <w:bCs/>
          <w:lang w:eastAsia="ko-KR"/>
        </w:rPr>
        <w:t xml:space="preserve"> media groups such as Fairfax Media in Australia. Several of these </w:t>
      </w:r>
      <w:r w:rsidRPr="000343E7">
        <w:rPr>
          <w:lang w:val="en-GB"/>
        </w:rPr>
        <w:t xml:space="preserve">have </w:t>
      </w:r>
      <w:r>
        <w:rPr>
          <w:lang w:val="en-GB"/>
        </w:rPr>
        <w:t>found themselves in th</w:t>
      </w:r>
      <w:r w:rsidRPr="000343E7">
        <w:rPr>
          <w:lang w:val="en-GB"/>
        </w:rPr>
        <w:t xml:space="preserve">e headlines because of reactions ranging from audience irritation to outrage. For instance, </w:t>
      </w:r>
      <w:r w:rsidRPr="000343E7">
        <w:rPr>
          <w:rStyle w:val="microcontent"/>
          <w:i/>
        </w:rPr>
        <w:t xml:space="preserve">The Atlantic </w:t>
      </w:r>
      <w:r w:rsidRPr="000343E7">
        <w:rPr>
          <w:rStyle w:val="microcontent"/>
        </w:rPr>
        <w:t xml:space="preserve">published a feature article in January 2013 paid for by the Church of Scientology titled ‘David </w:t>
      </w:r>
      <w:proofErr w:type="spellStart"/>
      <w:r w:rsidRPr="000343E7">
        <w:rPr>
          <w:rStyle w:val="microcontent"/>
        </w:rPr>
        <w:t>Miscavige</w:t>
      </w:r>
      <w:proofErr w:type="spellEnd"/>
      <w:r w:rsidRPr="000343E7">
        <w:rPr>
          <w:rStyle w:val="microcontent"/>
        </w:rPr>
        <w:t xml:space="preserve"> leads Scientology to milestone year’ that was identified as </w:t>
      </w:r>
      <w:r>
        <w:rPr>
          <w:rStyle w:val="microcontent"/>
        </w:rPr>
        <w:t>paid media</w:t>
      </w:r>
      <w:r w:rsidRPr="000343E7">
        <w:rPr>
          <w:rStyle w:val="microcontent"/>
        </w:rPr>
        <w:t xml:space="preserve"> </w:t>
      </w:r>
      <w:r>
        <w:rPr>
          <w:rStyle w:val="microcontent"/>
        </w:rPr>
        <w:t xml:space="preserve">content </w:t>
      </w:r>
      <w:r w:rsidRPr="000343E7">
        <w:rPr>
          <w:rStyle w:val="microcontent"/>
        </w:rPr>
        <w:t xml:space="preserve">only by a small </w:t>
      </w:r>
      <w:r w:rsidRPr="000343E7">
        <w:t>yellow banner label</w:t>
      </w:r>
      <w:r>
        <w:t>l</w:t>
      </w:r>
      <w:r w:rsidRPr="000343E7">
        <w:t xml:space="preserve">ing it as </w:t>
      </w:r>
      <w:r>
        <w:t>‘Sponsor Content</w:t>
      </w:r>
      <w:r w:rsidRPr="000343E7">
        <w:t>’</w:t>
      </w:r>
      <w:r w:rsidRPr="000343E7">
        <w:rPr>
          <w:rStyle w:val="microcontent"/>
        </w:rPr>
        <w:t xml:space="preserve"> </w:t>
      </w:r>
      <w:r>
        <w:rPr>
          <w:rStyle w:val="microcontent"/>
        </w:rPr>
        <w:t>(</w:t>
      </w:r>
      <w:proofErr w:type="spellStart"/>
      <w:r>
        <w:rPr>
          <w:rStyle w:val="microcontent"/>
        </w:rPr>
        <w:t>Wemple</w:t>
      </w:r>
      <w:proofErr w:type="spellEnd"/>
      <w:r>
        <w:rPr>
          <w:rStyle w:val="microcontent"/>
        </w:rPr>
        <w:t xml:space="preserve">, 2013). </w:t>
      </w:r>
      <w:r w:rsidRPr="000343E7">
        <w:rPr>
          <w:rStyle w:val="microcontent"/>
        </w:rPr>
        <w:t>Extensive complaints led to the article being taken down within 12 hours and an apology from the vice-president and general manager of The Atlantic Digital, Kimberly Lau. Al</w:t>
      </w:r>
      <w:r>
        <w:rPr>
          <w:rStyle w:val="microcontent"/>
        </w:rPr>
        <w:t>though controversy surrounding</w:t>
      </w:r>
      <w:r w:rsidRPr="000343E7">
        <w:rPr>
          <w:rStyle w:val="microcontent"/>
        </w:rPr>
        <w:t xml:space="preserve"> scientology no doubt contributed to the outrage that greeted the feature, Lau admitted “we screwed up”, saying the article “read like warmed-over PR” (Wasserman, 2013, para. 5). Significantly, </w:t>
      </w:r>
      <w:r w:rsidRPr="000343E7">
        <w:rPr>
          <w:rStyle w:val="microcontent"/>
          <w:i/>
        </w:rPr>
        <w:t>The Atlantic</w:t>
      </w:r>
      <w:r w:rsidRPr="000343E7">
        <w:rPr>
          <w:rStyle w:val="microcontent"/>
        </w:rPr>
        <w:t xml:space="preserve"> was not saying the overall approach was inappropriate; it was simply saying that it did not embed the paid content deep</w:t>
      </w:r>
      <w:r>
        <w:rPr>
          <w:rStyle w:val="microcontent"/>
        </w:rPr>
        <w:t>ly</w:t>
      </w:r>
      <w:r w:rsidRPr="000343E7">
        <w:rPr>
          <w:rStyle w:val="microcontent"/>
        </w:rPr>
        <w:t xml:space="preserve"> enough or subtly enough so as to be </w:t>
      </w:r>
      <w:r>
        <w:rPr>
          <w:rStyle w:val="microcontent"/>
        </w:rPr>
        <w:t xml:space="preserve">undetectable by </w:t>
      </w:r>
      <w:r w:rsidRPr="000343E7">
        <w:rPr>
          <w:rStyle w:val="microcontent"/>
        </w:rPr>
        <w:t>readers.</w:t>
      </w:r>
      <w:r w:rsidRPr="000343E7">
        <w:rPr>
          <w:lang w:val="en-GB"/>
        </w:rPr>
        <w:t xml:space="preserve"> </w:t>
      </w:r>
    </w:p>
    <w:p w14:paraId="3E3F36B9" w14:textId="77777777" w:rsidR="00333CFF" w:rsidRPr="00542FD1" w:rsidRDefault="00333CFF" w:rsidP="00775827">
      <w:pPr>
        <w:ind w:firstLine="426"/>
      </w:pPr>
      <w:r w:rsidRPr="000C370F">
        <w:rPr>
          <w:rFonts w:eastAsia="Batang"/>
          <w:bCs/>
          <w:i/>
          <w:lang w:eastAsia="ko-KR"/>
        </w:rPr>
        <w:t>The New York Times</w:t>
      </w:r>
      <w:r>
        <w:rPr>
          <w:rFonts w:eastAsia="Batang"/>
          <w:bCs/>
          <w:lang w:eastAsia="ko-KR"/>
        </w:rPr>
        <w:t xml:space="preserve"> </w:t>
      </w:r>
      <w:r w:rsidRPr="000C370F">
        <w:rPr>
          <w:rFonts w:eastAsia="Batang"/>
          <w:bCs/>
          <w:lang w:eastAsia="ko-KR"/>
        </w:rPr>
        <w:t xml:space="preserve">has published a number of articles </w:t>
      </w:r>
      <w:r>
        <w:rPr>
          <w:rFonts w:eastAsia="Batang"/>
          <w:bCs/>
          <w:lang w:eastAsia="ko-KR"/>
        </w:rPr>
        <w:t>criticizing</w:t>
      </w:r>
      <w:r w:rsidRPr="000C370F">
        <w:rPr>
          <w:rFonts w:eastAsia="Batang"/>
          <w:bCs/>
          <w:lang w:eastAsia="ko-KR"/>
        </w:rPr>
        <w:t xml:space="preserve"> various embedded marketing communication</w:t>
      </w:r>
      <w:r>
        <w:rPr>
          <w:rFonts w:eastAsia="Batang"/>
          <w:bCs/>
          <w:lang w:eastAsia="ko-KR"/>
        </w:rPr>
        <w:t xml:space="preserve"> techniques. Its marketing writer noted in 2013 that “</w:t>
      </w:r>
      <w:r w:rsidRPr="000C370F">
        <w:rPr>
          <w:rFonts w:eastAsia="Times New Roman"/>
          <w:color w:val="000000"/>
          <w:lang w:eastAsia="en-AU"/>
        </w:rPr>
        <w:t>almost all of the publishers running branded content say they abide by the traditio</w:t>
      </w:r>
      <w:r>
        <w:rPr>
          <w:rFonts w:eastAsia="Times New Roman"/>
          <w:color w:val="000000"/>
          <w:lang w:eastAsia="en-AU"/>
        </w:rPr>
        <w:t>nal church-and-state separation”</w:t>
      </w:r>
      <w:r w:rsidRPr="000C370F">
        <w:rPr>
          <w:rFonts w:eastAsia="Times New Roman"/>
          <w:color w:val="000000"/>
          <w:lang w:eastAsia="en-AU"/>
        </w:rPr>
        <w:t xml:space="preserve"> by clearly identifying editorial from advertising. But </w:t>
      </w:r>
      <w:r>
        <w:rPr>
          <w:rFonts w:eastAsia="Times New Roman"/>
          <w:color w:val="000000"/>
          <w:lang w:eastAsia="en-AU"/>
        </w:rPr>
        <w:t>she went on to report that “</w:t>
      </w:r>
      <w:r w:rsidRPr="000C370F">
        <w:rPr>
          <w:rFonts w:eastAsia="Times New Roman"/>
          <w:color w:val="000000"/>
          <w:lang w:eastAsia="en-AU"/>
        </w:rPr>
        <w:t>the sponsored content runs beside the editorial on many sites and is almost</w:t>
      </w:r>
      <w:r>
        <w:rPr>
          <w:rFonts w:eastAsia="Times New Roman"/>
          <w:color w:val="000000"/>
          <w:lang w:eastAsia="en-AU"/>
        </w:rPr>
        <w:t xml:space="preserve"> indistinguishable”</w:t>
      </w:r>
      <w:r w:rsidRPr="000C370F">
        <w:rPr>
          <w:rFonts w:eastAsia="Times New Roman"/>
          <w:color w:val="000000"/>
          <w:lang w:eastAsia="en-AU"/>
        </w:rPr>
        <w:t xml:space="preserve"> (Vega, 2013</w:t>
      </w:r>
      <w:r w:rsidRPr="00542FD1">
        <w:rPr>
          <w:rFonts w:eastAsia="Times New Roman"/>
          <w:lang w:eastAsia="en-AU"/>
        </w:rPr>
        <w:t>).</w:t>
      </w:r>
      <w:r w:rsidRPr="00542FD1">
        <w:t xml:space="preserve"> In a recent review in </w:t>
      </w:r>
      <w:r w:rsidRPr="00542FD1">
        <w:rPr>
          <w:i/>
        </w:rPr>
        <w:t>Journal of Advertising Research</w:t>
      </w:r>
      <w:r w:rsidRPr="00542FD1">
        <w:t xml:space="preserve">, Campbell, Cohen, and Ma (2014) acknowledged that “advertisements just aren’t advertisements any more” and declared that </w:t>
      </w:r>
      <w:r>
        <w:t>a</w:t>
      </w:r>
      <w:r w:rsidRPr="00542FD1">
        <w:t xml:space="preserve"> new “typology” is emerging in media content.</w:t>
      </w:r>
    </w:p>
    <w:p w14:paraId="5D56D0A2" w14:textId="4E8C7F3C" w:rsidR="0042497A" w:rsidRDefault="007B38AE" w:rsidP="00775827">
      <w:pPr>
        <w:ind w:firstLine="426"/>
        <w:rPr>
          <w:lang w:val="en-GB"/>
        </w:rPr>
      </w:pPr>
      <w:r w:rsidRPr="007B38AE">
        <w:rPr>
          <w:lang w:val="en-GB"/>
        </w:rPr>
        <w:t>P</w:t>
      </w:r>
      <w:r w:rsidR="001B6573">
        <w:rPr>
          <w:lang w:val="en-GB"/>
        </w:rPr>
        <w:t>ractitioner p</w:t>
      </w:r>
      <w:r w:rsidRPr="007B38AE">
        <w:rPr>
          <w:lang w:val="en-GB"/>
        </w:rPr>
        <w:t xml:space="preserve">erceptions of the future of media relations are dependent </w:t>
      </w:r>
      <w:r w:rsidR="00C97C0F">
        <w:rPr>
          <w:lang w:val="en-GB"/>
        </w:rPr>
        <w:t xml:space="preserve">to some extent </w:t>
      </w:r>
      <w:r w:rsidRPr="007B38AE">
        <w:rPr>
          <w:lang w:val="en-GB"/>
        </w:rPr>
        <w:t xml:space="preserve">on the area of communication in which </w:t>
      </w:r>
      <w:r w:rsidR="001B6573">
        <w:rPr>
          <w:lang w:val="en-GB"/>
        </w:rPr>
        <w:t>they</w:t>
      </w:r>
      <w:r w:rsidRPr="007B38AE">
        <w:rPr>
          <w:lang w:val="en-GB"/>
        </w:rPr>
        <w:t xml:space="preserve"> work. Strategic </w:t>
      </w:r>
      <w:r w:rsidR="00E860F7">
        <w:rPr>
          <w:lang w:val="en-GB"/>
        </w:rPr>
        <w:t xml:space="preserve">media </w:t>
      </w:r>
      <w:r w:rsidRPr="007B38AE">
        <w:rPr>
          <w:lang w:val="en-GB"/>
        </w:rPr>
        <w:t xml:space="preserve">partnerships </w:t>
      </w:r>
      <w:r w:rsidR="00E860F7">
        <w:rPr>
          <w:lang w:val="en-GB"/>
        </w:rPr>
        <w:t>to create</w:t>
      </w:r>
      <w:r w:rsidR="00C97C0F">
        <w:rPr>
          <w:lang w:val="en-GB"/>
        </w:rPr>
        <w:t xml:space="preserve"> sponso</w:t>
      </w:r>
      <w:r w:rsidRPr="007B38AE">
        <w:rPr>
          <w:lang w:val="en-GB"/>
        </w:rPr>
        <w:t xml:space="preserve">red content and native advertising are </w:t>
      </w:r>
      <w:r w:rsidR="001B6573">
        <w:rPr>
          <w:lang w:val="en-GB"/>
        </w:rPr>
        <w:t xml:space="preserve">of most interest to </w:t>
      </w:r>
      <w:r w:rsidR="00C97C0F">
        <w:rPr>
          <w:lang w:val="en-GB"/>
        </w:rPr>
        <w:t>practitioners working in marketing PR, brand promotion, and consumer communication.</w:t>
      </w:r>
      <w:r w:rsidR="00AA6CFE">
        <w:rPr>
          <w:lang w:val="en-GB"/>
        </w:rPr>
        <w:t xml:space="preserve"> Nevertheless, the </w:t>
      </w:r>
      <w:r w:rsidR="00372958">
        <w:rPr>
          <w:i/>
          <w:lang w:val="en-GB"/>
        </w:rPr>
        <w:t>Asia-Pacific</w:t>
      </w:r>
      <w:r w:rsidR="00AA6CFE" w:rsidRPr="00AA6CFE">
        <w:rPr>
          <w:i/>
          <w:lang w:val="en-GB"/>
        </w:rPr>
        <w:t xml:space="preserve"> Communication Monitor</w:t>
      </w:r>
      <w:r w:rsidR="00AA6CFE">
        <w:rPr>
          <w:lang w:val="en-GB"/>
        </w:rPr>
        <w:t xml:space="preserve"> revealed that the shift </w:t>
      </w:r>
      <w:r w:rsidR="00542FD1">
        <w:rPr>
          <w:lang w:val="en-GB"/>
        </w:rPr>
        <w:t xml:space="preserve">from traditional paid advertising and earned publicity </w:t>
      </w:r>
      <w:r w:rsidR="00AA6CFE">
        <w:rPr>
          <w:lang w:val="en-GB"/>
        </w:rPr>
        <w:t xml:space="preserve">to </w:t>
      </w:r>
      <w:r w:rsidR="006A3B8F">
        <w:rPr>
          <w:lang w:val="en-GB"/>
        </w:rPr>
        <w:t xml:space="preserve">social media as well as </w:t>
      </w:r>
      <w:r w:rsidR="00AA6CFE">
        <w:rPr>
          <w:lang w:val="en-GB"/>
        </w:rPr>
        <w:t xml:space="preserve">various forms of owned </w:t>
      </w:r>
      <w:r w:rsidR="006A3B8F">
        <w:rPr>
          <w:lang w:val="en-GB"/>
        </w:rPr>
        <w:t xml:space="preserve">media </w:t>
      </w:r>
      <w:r w:rsidR="00AA6CFE">
        <w:rPr>
          <w:lang w:val="en-GB"/>
        </w:rPr>
        <w:t>is a</w:t>
      </w:r>
      <w:r w:rsidR="00542FD1">
        <w:rPr>
          <w:lang w:val="en-GB"/>
        </w:rPr>
        <w:t xml:space="preserve"> generalized trend across 23 countries</w:t>
      </w:r>
      <w:r w:rsidR="00A64F29">
        <w:rPr>
          <w:lang w:val="en-GB"/>
        </w:rPr>
        <w:t xml:space="preserve"> and that these practices are being implemented by or being considered by PR and corporate communication as well as advertising practitioners</w:t>
      </w:r>
      <w:r w:rsidR="00542FD1">
        <w:rPr>
          <w:lang w:val="en-GB"/>
        </w:rPr>
        <w:t>.</w:t>
      </w:r>
    </w:p>
    <w:p w14:paraId="60D68E3D" w14:textId="3D775756" w:rsidR="00C97C0F" w:rsidRDefault="0042497A" w:rsidP="00775827">
      <w:pPr>
        <w:ind w:firstLine="426"/>
        <w:rPr>
          <w:lang w:val="en-GB"/>
        </w:rPr>
      </w:pPr>
      <w:r w:rsidRPr="007B38AE">
        <w:rPr>
          <w:lang w:val="en-GB"/>
        </w:rPr>
        <w:t xml:space="preserve">While providing new opportunities for marketers and media proprietors, </w:t>
      </w:r>
      <w:r>
        <w:rPr>
          <w:lang w:val="en-GB"/>
        </w:rPr>
        <w:t>a number of these new formats</w:t>
      </w:r>
      <w:r w:rsidRPr="007B38AE">
        <w:rPr>
          <w:lang w:val="en-GB"/>
        </w:rPr>
        <w:t xml:space="preserve"> blur the boundaries between paid promotion and </w:t>
      </w:r>
      <w:r>
        <w:rPr>
          <w:lang w:val="en-GB"/>
        </w:rPr>
        <w:t xml:space="preserve">independent </w:t>
      </w:r>
      <w:r w:rsidRPr="007B38AE">
        <w:rPr>
          <w:lang w:val="en-GB"/>
        </w:rPr>
        <w:t>news</w:t>
      </w:r>
      <w:r>
        <w:rPr>
          <w:lang w:val="en-GB"/>
        </w:rPr>
        <w:t xml:space="preserve"> and information – a ‘church and state’ separation that has been a hallmark of independent media</w:t>
      </w:r>
      <w:r w:rsidRPr="007B38AE">
        <w:rPr>
          <w:lang w:val="en-GB"/>
        </w:rPr>
        <w:t>. </w:t>
      </w:r>
      <w:r>
        <w:rPr>
          <w:lang w:val="en-GB"/>
        </w:rPr>
        <w:t xml:space="preserve">They also lack transparency and in some cases can involve </w:t>
      </w:r>
      <w:r w:rsidR="000C0833">
        <w:rPr>
          <w:lang w:val="en-GB"/>
        </w:rPr>
        <w:t xml:space="preserve">intentional </w:t>
      </w:r>
      <w:r>
        <w:rPr>
          <w:lang w:val="en-GB"/>
        </w:rPr>
        <w:t>deception</w:t>
      </w:r>
      <w:r w:rsidR="00962204">
        <w:rPr>
          <w:lang w:val="en-GB"/>
        </w:rPr>
        <w:t xml:space="preserve"> of media audiences</w:t>
      </w:r>
      <w:r>
        <w:rPr>
          <w:lang w:val="en-GB"/>
        </w:rPr>
        <w:t xml:space="preserve">. </w:t>
      </w:r>
      <w:r w:rsidR="000C0833">
        <w:rPr>
          <w:rStyle w:val="microcontent"/>
        </w:rPr>
        <w:t xml:space="preserve">This </w:t>
      </w:r>
      <w:r w:rsidR="000C0833">
        <w:rPr>
          <w:rStyle w:val="microcontent"/>
        </w:rPr>
        <w:lastRenderedPageBreak/>
        <w:t xml:space="preserve">collides with </w:t>
      </w:r>
      <w:proofErr w:type="spellStart"/>
      <w:r w:rsidR="000C0833">
        <w:rPr>
          <w:rStyle w:val="microcontent"/>
        </w:rPr>
        <w:t>McQuail’s</w:t>
      </w:r>
      <w:proofErr w:type="spellEnd"/>
      <w:r w:rsidR="000C0833">
        <w:rPr>
          <w:rStyle w:val="microcontent"/>
        </w:rPr>
        <w:t xml:space="preserve"> (1994) argument that unintended hidden bias in media content is not unethical, but that intentionally hidden bias is unethical. Furthermore, critical PR scholars such as Fawkes (2012) argue that explicitly persuasive PR is ethical because it is open in its intent and presentation. Conversely, she says that disguised and hidden persuasion represents an effort to deceive and is therefore unethical.</w:t>
      </w:r>
    </w:p>
    <w:p w14:paraId="221BAF0D" w14:textId="77777777" w:rsidR="00F659DE" w:rsidRDefault="00F659DE" w:rsidP="00775827">
      <w:pPr>
        <w:rPr>
          <w:rFonts w:eastAsia="Batang"/>
          <w:bCs/>
          <w:i/>
          <w:lang w:eastAsia="ko-KR"/>
        </w:rPr>
      </w:pPr>
    </w:p>
    <w:p w14:paraId="1B1746FD" w14:textId="2CFA9153" w:rsidR="00A247E4" w:rsidRPr="00A247E4" w:rsidRDefault="00595632" w:rsidP="00775827">
      <w:pPr>
        <w:ind w:left="426" w:hanging="426"/>
        <w:rPr>
          <w:b/>
          <w:sz w:val="28"/>
          <w:szCs w:val="28"/>
          <w:lang w:val="en-GB"/>
        </w:rPr>
      </w:pPr>
      <w:r>
        <w:rPr>
          <w:b/>
          <w:sz w:val="28"/>
          <w:szCs w:val="28"/>
          <w:lang w:val="en-GB"/>
        </w:rPr>
        <w:t>6</w:t>
      </w:r>
      <w:r w:rsidR="00D83113">
        <w:rPr>
          <w:b/>
          <w:sz w:val="28"/>
          <w:szCs w:val="28"/>
          <w:lang w:val="en-GB"/>
        </w:rPr>
        <w:t xml:space="preserve">. </w:t>
      </w:r>
      <w:r w:rsidR="00D83113">
        <w:rPr>
          <w:b/>
          <w:sz w:val="28"/>
          <w:szCs w:val="28"/>
          <w:lang w:val="en-GB"/>
        </w:rPr>
        <w:tab/>
      </w:r>
      <w:r w:rsidR="00A247E4" w:rsidRPr="00A247E4">
        <w:rPr>
          <w:b/>
          <w:sz w:val="28"/>
          <w:szCs w:val="28"/>
          <w:lang w:val="en-GB"/>
        </w:rPr>
        <w:t>Discussion</w:t>
      </w:r>
    </w:p>
    <w:p w14:paraId="670B1367" w14:textId="77777777" w:rsidR="00A247E4" w:rsidRDefault="00A247E4" w:rsidP="00775827">
      <w:pPr>
        <w:rPr>
          <w:lang w:val="en-GB"/>
        </w:rPr>
      </w:pPr>
    </w:p>
    <w:p w14:paraId="2EF438CD" w14:textId="360FBD0E" w:rsidR="00E860F7" w:rsidRDefault="00BC7ECE" w:rsidP="00775827">
      <w:pPr>
        <w:ind w:firstLine="426"/>
      </w:pPr>
      <w:r w:rsidRPr="000C370F">
        <w:t xml:space="preserve">The search for new media formats for marketing and promotion – </w:t>
      </w:r>
      <w:r>
        <w:t>including</w:t>
      </w:r>
      <w:r w:rsidRPr="000C370F">
        <w:t xml:space="preserve"> disguised </w:t>
      </w:r>
      <w:r>
        <w:t>and</w:t>
      </w:r>
      <w:r w:rsidRPr="000C370F">
        <w:t xml:space="preserve"> hidden ones – is </w:t>
      </w:r>
      <w:r>
        <w:t xml:space="preserve">likely to continue because it is </w:t>
      </w:r>
      <w:r w:rsidRPr="000C370F">
        <w:t>being driven by</w:t>
      </w:r>
      <w:r w:rsidRPr="000C370F">
        <w:rPr>
          <w:rFonts w:eastAsia="Times New Roman"/>
          <w:lang w:eastAsia="en-AU"/>
        </w:rPr>
        <w:t xml:space="preserve"> converging forces </w:t>
      </w:r>
      <w:r>
        <w:rPr>
          <w:rFonts w:eastAsia="Times New Roman"/>
          <w:lang w:eastAsia="en-AU"/>
        </w:rPr>
        <w:t>that have created</w:t>
      </w:r>
      <w:r w:rsidRPr="000C370F">
        <w:rPr>
          <w:rFonts w:eastAsia="Times New Roman"/>
          <w:lang w:eastAsia="en-AU"/>
        </w:rPr>
        <w:t xml:space="preserve"> a ‘perfect storm’ in </w:t>
      </w:r>
      <w:r w:rsidRPr="000C370F">
        <w:t>the media and marketing industries</w:t>
      </w:r>
      <w:r w:rsidRPr="000C370F">
        <w:rPr>
          <w:rFonts w:eastAsia="Times New Roman"/>
          <w:lang w:eastAsia="en-AU"/>
        </w:rPr>
        <w:t>. These include:</w:t>
      </w:r>
      <w:r>
        <w:rPr>
          <w:rFonts w:eastAsia="Times New Roman"/>
          <w:lang w:eastAsia="en-AU"/>
        </w:rPr>
        <w:t xml:space="preserve"> (1) the “meltdown”</w:t>
      </w:r>
      <w:r w:rsidRPr="000C370F">
        <w:rPr>
          <w:rFonts w:eastAsia="Times New Roman"/>
          <w:lang w:eastAsia="en-AU"/>
        </w:rPr>
        <w:t xml:space="preserve"> of traditional media business models through declining circulations, audiences and advertising revenue, which is prompting a search for new revenue streams (Pew Research </w:t>
      </w:r>
      <w:proofErr w:type="spellStart"/>
      <w:r w:rsidRPr="000C370F">
        <w:rPr>
          <w:rFonts w:eastAsia="Times New Roman"/>
          <w:lang w:eastAsia="en-AU"/>
        </w:rPr>
        <w:t>Center</w:t>
      </w:r>
      <w:proofErr w:type="spellEnd"/>
      <w:r w:rsidRPr="000C370F">
        <w:rPr>
          <w:rFonts w:eastAsia="Times New Roman"/>
          <w:lang w:eastAsia="en-AU"/>
        </w:rPr>
        <w:t xml:space="preserve">, 2013); (2) declining impact of traditional advertising </w:t>
      </w:r>
      <w:r>
        <w:rPr>
          <w:rFonts w:eastAsia="Times New Roman"/>
          <w:lang w:eastAsia="en-AU"/>
        </w:rPr>
        <w:t xml:space="preserve">(de </w:t>
      </w:r>
      <w:proofErr w:type="spellStart"/>
      <w:r>
        <w:rPr>
          <w:rFonts w:eastAsia="Times New Roman"/>
          <w:lang w:eastAsia="en-AU"/>
        </w:rPr>
        <w:t>Pelsmacker</w:t>
      </w:r>
      <w:proofErr w:type="spellEnd"/>
      <w:r>
        <w:rPr>
          <w:rFonts w:eastAsia="Times New Roman"/>
          <w:lang w:eastAsia="en-AU"/>
        </w:rPr>
        <w:t xml:space="preserve"> &amp;  </w:t>
      </w:r>
      <w:proofErr w:type="spellStart"/>
      <w:r>
        <w:rPr>
          <w:rFonts w:eastAsia="Times New Roman"/>
          <w:lang w:eastAsia="en-AU"/>
        </w:rPr>
        <w:t>Neijens</w:t>
      </w:r>
      <w:proofErr w:type="spellEnd"/>
      <w:r>
        <w:rPr>
          <w:rFonts w:eastAsia="Times New Roman"/>
          <w:lang w:eastAsia="en-AU"/>
        </w:rPr>
        <w:t xml:space="preserve">  2012, p.</w:t>
      </w:r>
      <w:r w:rsidRPr="000C370F">
        <w:rPr>
          <w:rFonts w:eastAsia="Times New Roman"/>
          <w:lang w:eastAsia="en-AU"/>
        </w:rPr>
        <w:t xml:space="preserve"> 1</w:t>
      </w:r>
      <w:r w:rsidR="006A3B8F">
        <w:rPr>
          <w:rFonts w:eastAsia="Times New Roman"/>
          <w:lang w:eastAsia="en-AU"/>
        </w:rPr>
        <w:t>; Nielsen, 2015</w:t>
      </w:r>
      <w:r w:rsidRPr="000C370F">
        <w:rPr>
          <w:rFonts w:eastAsia="Times New Roman"/>
          <w:lang w:eastAsia="en-AU"/>
        </w:rPr>
        <w:t xml:space="preserve">); (3) increasing consumer resistance to ‘ads’ aided by technologies such as </w:t>
      </w:r>
      <w:r w:rsidRPr="000C370F">
        <w:t xml:space="preserve">TiVo, video on demand, and ‘ad </w:t>
      </w:r>
      <w:r>
        <w:t>blockers</w:t>
      </w:r>
      <w:r w:rsidR="006A3B8F">
        <w:t>’</w:t>
      </w:r>
      <w:r w:rsidRPr="000C370F">
        <w:t xml:space="preserve"> (Macnamara, 2014</w:t>
      </w:r>
      <w:r w:rsidR="00E21F9E">
        <w:t>b</w:t>
      </w:r>
      <w:r w:rsidRPr="000C370F">
        <w:t xml:space="preserve">); and (4) a search by marketers to avoid </w:t>
      </w:r>
      <w:r w:rsidRPr="000C370F">
        <w:rPr>
          <w:i/>
        </w:rPr>
        <w:t>persuasion knowledge</w:t>
      </w:r>
      <w:r w:rsidRPr="000C370F">
        <w:t xml:space="preserve"> – recognition by consumers of content as intentional persuasion, which reduces the effect of persuasion (</w:t>
      </w:r>
      <w:proofErr w:type="spellStart"/>
      <w:r w:rsidRPr="00F914D2">
        <w:t>Friestad</w:t>
      </w:r>
      <w:proofErr w:type="spellEnd"/>
      <w:r w:rsidRPr="00F914D2">
        <w:t xml:space="preserve"> &amp; Wright, 1994</w:t>
      </w:r>
      <w:r w:rsidR="00F914D2" w:rsidRPr="00F914D2">
        <w:t xml:space="preserve">; </w:t>
      </w:r>
      <w:proofErr w:type="spellStart"/>
      <w:r w:rsidR="00F914D2" w:rsidRPr="00F914D2">
        <w:t>Tutaj</w:t>
      </w:r>
      <w:proofErr w:type="spellEnd"/>
      <w:r w:rsidR="00F914D2" w:rsidRPr="00F914D2">
        <w:t xml:space="preserve"> &amp; van </w:t>
      </w:r>
      <w:proofErr w:type="spellStart"/>
      <w:r w:rsidR="00F914D2" w:rsidRPr="00F914D2">
        <w:t>Reijmersdal</w:t>
      </w:r>
      <w:proofErr w:type="spellEnd"/>
      <w:r w:rsidR="00F914D2" w:rsidRPr="00F914D2">
        <w:t>, 2012</w:t>
      </w:r>
      <w:r w:rsidRPr="00F914D2">
        <w:t xml:space="preserve">). Media content that “looks natural” and </w:t>
      </w:r>
      <w:r>
        <w:t>“innocent”</w:t>
      </w:r>
      <w:r w:rsidRPr="000C370F">
        <w:t xml:space="preserve"> and which does not trigger persuasion knowledge has been shown to be more effective in influencing audiences in many cases (de </w:t>
      </w:r>
      <w:proofErr w:type="spellStart"/>
      <w:r w:rsidRPr="000C370F">
        <w:t>Pelsmacker</w:t>
      </w:r>
      <w:proofErr w:type="spellEnd"/>
      <w:r w:rsidRPr="000C370F">
        <w:t xml:space="preserve"> </w:t>
      </w:r>
      <w:r>
        <w:t xml:space="preserve">&amp; </w:t>
      </w:r>
      <w:proofErr w:type="spellStart"/>
      <w:r>
        <w:t>Neijens</w:t>
      </w:r>
      <w:proofErr w:type="spellEnd"/>
      <w:r>
        <w:t>, 2012, p.</w:t>
      </w:r>
      <w:r w:rsidRPr="000C370F">
        <w:t xml:space="preserve"> 1).</w:t>
      </w:r>
    </w:p>
    <w:p w14:paraId="61C8523A" w14:textId="6A628DC2" w:rsidR="00594E66" w:rsidRPr="007C6612" w:rsidRDefault="00594E66" w:rsidP="00775827">
      <w:pPr>
        <w:ind w:firstLine="426"/>
        <w:rPr>
          <w:rFonts w:eastAsia="Batang"/>
          <w:bCs/>
          <w:lang w:eastAsia="ko-KR"/>
        </w:rPr>
      </w:pPr>
      <w:r w:rsidRPr="000C370F">
        <w:t>In mid-2013 the world’s largest</w:t>
      </w:r>
      <w:r w:rsidR="00E21F9E">
        <w:t xml:space="preserve"> </w:t>
      </w:r>
      <w:r w:rsidRPr="000C370F">
        <w:t xml:space="preserve">PR consultancy firm Edelman issued a report titled </w:t>
      </w:r>
      <w:r w:rsidRPr="000C370F">
        <w:rPr>
          <w:i/>
        </w:rPr>
        <w:t>Sponsored Content: A Broader Relationship with the US News Media</w:t>
      </w:r>
      <w:r w:rsidRPr="000C370F">
        <w:t xml:space="preserve"> that acknowledged the sensitive ethical issues with what it called sponsored content</w:t>
      </w:r>
      <w:r w:rsidR="006A3B8F">
        <w:t>,</w:t>
      </w:r>
      <w:r w:rsidRPr="000C370F">
        <w:t xml:space="preserve"> and outlined</w:t>
      </w:r>
      <w:r>
        <w:t xml:space="preserve"> </w:t>
      </w:r>
      <w:r w:rsidR="00984F97">
        <w:t xml:space="preserve">the agency’s </w:t>
      </w:r>
      <w:r>
        <w:t>approach to address “major ethical hurdles”</w:t>
      </w:r>
      <w:r w:rsidRPr="000C370F">
        <w:t xml:space="preserve">. </w:t>
      </w:r>
      <w:r w:rsidR="006A3B8F">
        <w:t>Edelman reported that,</w:t>
      </w:r>
      <w:r w:rsidRPr="000C370F">
        <w:t xml:space="preserve"> like other PR and marketing communication</w:t>
      </w:r>
      <w:r>
        <w:t xml:space="preserve"> firms, </w:t>
      </w:r>
      <w:r w:rsidR="00871752">
        <w:t xml:space="preserve">it </w:t>
      </w:r>
      <w:r>
        <w:t>was “</w:t>
      </w:r>
      <w:r w:rsidRPr="000C370F">
        <w:t>teaming up with the advertising arm of publishers on</w:t>
      </w:r>
      <w:r>
        <w:t xml:space="preserve"> sponsored content partnerships”</w:t>
      </w:r>
      <w:r w:rsidRPr="000C370F">
        <w:t xml:space="preserve"> which it noted were also re</w:t>
      </w:r>
      <w:r>
        <w:t>ferred to as “paid content” or “</w:t>
      </w:r>
      <w:r w:rsidRPr="000C370F">
        <w:t>native advertising</w:t>
      </w:r>
      <w:r>
        <w:t>”</w:t>
      </w:r>
      <w:r w:rsidRPr="000C370F">
        <w:t xml:space="preserve"> (Edelman 2013, </w:t>
      </w:r>
      <w:r>
        <w:t xml:space="preserve">p. </w:t>
      </w:r>
      <w:r w:rsidRPr="000C370F">
        <w:t>2). Edelman committed itself to disclosure of pa</w:t>
      </w:r>
      <w:r>
        <w:t>id media content, warning that “</w:t>
      </w:r>
      <w:r w:rsidRPr="000C370F">
        <w:t>it is likely that the US government will get involved if it feels consumers are being deceived and that self-regu</w:t>
      </w:r>
      <w:r>
        <w:t xml:space="preserve">lation is not working well” (2013, p. </w:t>
      </w:r>
      <w:r w:rsidRPr="000C370F">
        <w:t>8).</w:t>
      </w:r>
      <w:r>
        <w:t xml:space="preserve"> But the title and content of the report make it clear that major PR firms are seeking to take advantage of a “broader relationship” with media – both in the US as noted by Edelman and across fast-growing markets such as </w:t>
      </w:r>
      <w:r w:rsidR="00E37069">
        <w:t>APAC</w:t>
      </w:r>
      <w:r>
        <w:t xml:space="preserve"> countries, as shown in the APCM study.</w:t>
      </w:r>
    </w:p>
    <w:p w14:paraId="0C002AE2" w14:textId="1FF89612" w:rsidR="00A60F7B" w:rsidRDefault="00925C7D" w:rsidP="00775827">
      <w:pPr>
        <w:ind w:firstLine="426"/>
      </w:pPr>
      <w:r>
        <w:t>Public relations practitioners are also pushing the boundaries in social media with formats such as ‘ghost blogging’ and ‘ghost commenting’ – i.e., blogs and comments p</w:t>
      </w:r>
      <w:r w:rsidR="00405D67">
        <w:t>osted anonymously by organiz</w:t>
      </w:r>
      <w:r>
        <w:t>ations or individuals about their own products, services, or interests (</w:t>
      </w:r>
      <w:proofErr w:type="spellStart"/>
      <w:r>
        <w:t>Derville</w:t>
      </w:r>
      <w:proofErr w:type="spellEnd"/>
      <w:r>
        <w:t xml:space="preserve"> </w:t>
      </w:r>
      <w:proofErr w:type="spellStart"/>
      <w:r>
        <w:t>Gallicano</w:t>
      </w:r>
      <w:proofErr w:type="spellEnd"/>
      <w:r>
        <w:t xml:space="preserve">, </w:t>
      </w:r>
      <w:proofErr w:type="spellStart"/>
      <w:r>
        <w:t>Bivins</w:t>
      </w:r>
      <w:proofErr w:type="spellEnd"/>
      <w:r>
        <w:t>, &amp; Cho, 2014).</w:t>
      </w:r>
      <w:r w:rsidR="00405D67">
        <w:t xml:space="preserve"> While not in breach of any internet or media regulation, such practices lack transparency and involve promotion presented in a deceptive way. </w:t>
      </w:r>
      <w:proofErr w:type="spellStart"/>
      <w:r w:rsidR="00405D67">
        <w:t>Messner</w:t>
      </w:r>
      <w:proofErr w:type="spellEnd"/>
      <w:r w:rsidR="00405D67">
        <w:t xml:space="preserve"> (2014) also has reported on ethical concerns in relation to use of Twitter.</w:t>
      </w:r>
    </w:p>
    <w:p w14:paraId="01FA2AA6" w14:textId="0399DA32" w:rsidR="00C9018B" w:rsidRPr="00775827" w:rsidRDefault="00871752" w:rsidP="00775827">
      <w:pPr>
        <w:ind w:firstLine="426"/>
      </w:pPr>
      <w:r>
        <w:t>Given this</w:t>
      </w:r>
      <w:r w:rsidR="00C9018B">
        <w:t xml:space="preserve"> trend and </w:t>
      </w:r>
      <w:r>
        <w:t xml:space="preserve">the economic and strategic </w:t>
      </w:r>
      <w:r w:rsidR="00C9018B">
        <w:t xml:space="preserve">pressures for its continuation, PR and corporate communication practitioners – in fact all media and communication practitioners including advertising executives and journalists – need to </w:t>
      </w:r>
      <w:r w:rsidR="00D96BF2">
        <w:t>review codes of practice and codes of ethics.</w:t>
      </w:r>
      <w:r w:rsidR="0050745F">
        <w:t xml:space="preserve"> </w:t>
      </w:r>
      <w:r w:rsidR="009D0B1F">
        <w:t xml:space="preserve">The Branded Content Marketing Association </w:t>
      </w:r>
      <w:r w:rsidR="003D7F89">
        <w:t xml:space="preserve">(BCMA, 2012) </w:t>
      </w:r>
      <w:r w:rsidR="009D0B1F">
        <w:t>has developed a code covering “advertiser funded programming” as well as product placement</w:t>
      </w:r>
      <w:r w:rsidR="00542FD1">
        <w:t>,</w:t>
      </w:r>
      <w:r w:rsidR="003D7F89">
        <w:t xml:space="preserve"> and t</w:t>
      </w:r>
      <w:r w:rsidR="009D0B1F">
        <w:t xml:space="preserve">he </w:t>
      </w:r>
      <w:r w:rsidR="003D7F89">
        <w:t>American Press Institute (2013) has recognized potential problems in the blending of edit</w:t>
      </w:r>
      <w:r>
        <w:t>orial and promotional content. B</w:t>
      </w:r>
      <w:r w:rsidR="003D7F89">
        <w:t xml:space="preserve">ut all industry </w:t>
      </w:r>
      <w:r>
        <w:t xml:space="preserve">guidelines issued </w:t>
      </w:r>
      <w:r w:rsidR="003D7F89">
        <w:t>to date a</w:t>
      </w:r>
      <w:r w:rsidR="00542FD1">
        <w:t>re</w:t>
      </w:r>
      <w:r w:rsidR="003D7F89">
        <w:t xml:space="preserve"> light on detail in terms of emerging formats and practices. </w:t>
      </w:r>
      <w:r w:rsidR="00E21F9E">
        <w:t xml:space="preserve">An international study of media and communication industry </w:t>
      </w:r>
      <w:r w:rsidR="00E21F9E">
        <w:lastRenderedPageBreak/>
        <w:t xml:space="preserve">codes of ethics has </w:t>
      </w:r>
      <w:r w:rsidR="00542FD1">
        <w:t>conclude</w:t>
      </w:r>
      <w:r w:rsidR="00E21F9E">
        <w:t>d</w:t>
      </w:r>
      <w:r w:rsidR="00542FD1">
        <w:t xml:space="preserve"> </w:t>
      </w:r>
      <w:r w:rsidR="0050745F">
        <w:t>that only 8 of 40 codes examined address sponsored content</w:t>
      </w:r>
      <w:r w:rsidR="00E21F9E">
        <w:t xml:space="preserve"> </w:t>
      </w:r>
      <w:r w:rsidR="00E21F9E" w:rsidRPr="00775827">
        <w:t>(</w:t>
      </w:r>
      <w:proofErr w:type="spellStart"/>
      <w:r w:rsidR="00775827" w:rsidRPr="00775827">
        <w:t>Ikonen</w:t>
      </w:r>
      <w:proofErr w:type="spellEnd"/>
      <w:r w:rsidR="00775827" w:rsidRPr="00775827">
        <w:t>, 2015</w:t>
      </w:r>
      <w:r w:rsidR="00E21F9E" w:rsidRPr="00775827">
        <w:t>)</w:t>
      </w:r>
      <w:r w:rsidR="00485A3F" w:rsidRPr="00775827">
        <w:t>.</w:t>
      </w:r>
    </w:p>
    <w:p w14:paraId="2268F04E" w14:textId="2310F48C" w:rsidR="009D0B1F" w:rsidRDefault="003D074C" w:rsidP="00775827">
      <w:pPr>
        <w:ind w:firstLine="426"/>
        <w:rPr>
          <w:color w:val="000000" w:themeColor="text1"/>
        </w:rPr>
      </w:pPr>
      <w:r>
        <w:rPr>
          <w:lang w:val="en-GB"/>
        </w:rPr>
        <w:t xml:space="preserve">As noted previously, </w:t>
      </w:r>
      <w:r w:rsidR="009D0B1F">
        <w:rPr>
          <w:lang w:val="en-GB"/>
        </w:rPr>
        <w:t>PR scholars such as Bowen (2013), Hallahan (2014) and Macnamara (2014</w:t>
      </w:r>
      <w:r w:rsidR="00E21F9E">
        <w:rPr>
          <w:lang w:val="en-GB"/>
        </w:rPr>
        <w:t>a</w:t>
      </w:r>
      <w:r w:rsidR="009D0B1F">
        <w:rPr>
          <w:lang w:val="en-GB"/>
        </w:rPr>
        <w:t xml:space="preserve">, 2015) have drawn attention to </w:t>
      </w:r>
      <w:r w:rsidR="00542FD1">
        <w:rPr>
          <w:lang w:val="en-GB"/>
        </w:rPr>
        <w:t xml:space="preserve">the ethical </w:t>
      </w:r>
      <w:r w:rsidR="007C6612">
        <w:rPr>
          <w:lang w:val="en-GB"/>
        </w:rPr>
        <w:t xml:space="preserve">problems created by </w:t>
      </w:r>
      <w:r w:rsidR="00871752">
        <w:rPr>
          <w:lang w:val="en-GB"/>
        </w:rPr>
        <w:t xml:space="preserve">some </w:t>
      </w:r>
      <w:r w:rsidR="007C6612">
        <w:rPr>
          <w:lang w:val="en-GB"/>
        </w:rPr>
        <w:t>new media formats and practices</w:t>
      </w:r>
      <w:r w:rsidR="009D0B1F">
        <w:rPr>
          <w:lang w:val="en-GB"/>
        </w:rPr>
        <w:t xml:space="preserve">. </w:t>
      </w:r>
      <w:r w:rsidR="00C66AB4">
        <w:rPr>
          <w:lang w:val="en-GB"/>
        </w:rPr>
        <w:t xml:space="preserve">In an analysis of PR and journalism, </w:t>
      </w:r>
      <w:r w:rsidR="009D0B1F">
        <w:rPr>
          <w:lang w:val="en-GB"/>
        </w:rPr>
        <w:t xml:space="preserve">Macnamara </w:t>
      </w:r>
      <w:r w:rsidR="009D0B1F" w:rsidRPr="00CA3AC6">
        <w:rPr>
          <w:color w:val="000000" w:themeColor="text1"/>
          <w:lang w:val="en-GB"/>
        </w:rPr>
        <w:t xml:space="preserve">has warned that </w:t>
      </w:r>
      <w:r w:rsidR="009D0B1F" w:rsidRPr="00CA3AC6">
        <w:rPr>
          <w:color w:val="000000" w:themeColor="text1"/>
        </w:rPr>
        <w:t xml:space="preserve">“convergence” between journalism and PR is growing </w:t>
      </w:r>
      <w:r w:rsidR="006F2CEE">
        <w:rPr>
          <w:color w:val="000000" w:themeColor="text1"/>
        </w:rPr>
        <w:t xml:space="preserve">in the </w:t>
      </w:r>
      <w:r w:rsidR="006F2CEE" w:rsidRPr="00AD1FA5">
        <w:t>hybridized media environment</w:t>
      </w:r>
      <w:r w:rsidR="0006021C">
        <w:t xml:space="preserve"> that is evolving </w:t>
      </w:r>
      <w:r w:rsidR="009D0B1F" w:rsidRPr="00CA3AC6">
        <w:rPr>
          <w:color w:val="000000" w:themeColor="text1"/>
        </w:rPr>
        <w:t>and needs to be addressed with clear “rules of engagement” (Macnamara, 2015</w:t>
      </w:r>
      <w:r w:rsidR="009D0B1F">
        <w:rPr>
          <w:color w:val="000000" w:themeColor="text1"/>
        </w:rPr>
        <w:t>, p. 17–18</w:t>
      </w:r>
      <w:r w:rsidR="009D0B1F" w:rsidRPr="00CA3AC6">
        <w:rPr>
          <w:color w:val="000000" w:themeColor="text1"/>
        </w:rPr>
        <w:t>).</w:t>
      </w:r>
      <w:r w:rsidR="005D4FE9">
        <w:rPr>
          <w:color w:val="000000" w:themeColor="text1"/>
        </w:rPr>
        <w:t xml:space="preserve"> Further research is desirable to inform codes of practice and codes of ethics that can be applied to balance media, organization, and citizens</w:t>
      </w:r>
      <w:r w:rsidR="009E725B">
        <w:rPr>
          <w:color w:val="000000" w:themeColor="text1"/>
        </w:rPr>
        <w:t>’</w:t>
      </w:r>
      <w:r w:rsidR="005D4FE9">
        <w:rPr>
          <w:color w:val="000000" w:themeColor="text1"/>
        </w:rPr>
        <w:t xml:space="preserve"> interests.</w:t>
      </w:r>
    </w:p>
    <w:p w14:paraId="20179B2F" w14:textId="4B70838D" w:rsidR="005C1217" w:rsidRDefault="00300AE1" w:rsidP="00775827">
      <w:pPr>
        <w:ind w:firstLine="426"/>
      </w:pPr>
      <w:r>
        <w:t xml:space="preserve">Based on the lack of clear and consistent definitions of emerging forms of media content including ‘native advertising’ identified by Campbell and Marks (2015) and the plethora of terms identified by Macnamara and Dessaix (2014), it is evident </w:t>
      </w:r>
      <w:r w:rsidR="005C1217">
        <w:t>that</w:t>
      </w:r>
      <w:r w:rsidR="005D4FE9">
        <w:t xml:space="preserve"> some agreed definitions and consistent terminology need to be developed to facilitate </w:t>
      </w:r>
      <w:r w:rsidR="003A6A7A">
        <w:t xml:space="preserve">understanding and enable </w:t>
      </w:r>
      <w:r w:rsidR="005D4FE9">
        <w:t>transdisciplinary discussion and debate.</w:t>
      </w:r>
    </w:p>
    <w:p w14:paraId="272B8CDC" w14:textId="4E2BFC28" w:rsidR="009E725B" w:rsidRDefault="009E725B" w:rsidP="00775827">
      <w:pPr>
        <w:autoSpaceDE w:val="0"/>
        <w:autoSpaceDN w:val="0"/>
        <w:adjustRightInd w:val="0"/>
        <w:ind w:firstLine="426"/>
      </w:pPr>
      <w:r>
        <w:t>Campbell and Marks also argue that</w:t>
      </w:r>
      <w:r w:rsidR="00594E66">
        <w:t xml:space="preserve"> </w:t>
      </w:r>
      <w:r w:rsidR="0006021C">
        <w:t xml:space="preserve">it is important for </w:t>
      </w:r>
      <w:r w:rsidR="00594E66">
        <w:t>organizations to develop a clear communication strategy that nurtures rather than alienates audien</w:t>
      </w:r>
      <w:r w:rsidR="0006021C">
        <w:t>ces</w:t>
      </w:r>
      <w:r w:rsidR="00300AE1">
        <w:t>, saying:</w:t>
      </w:r>
    </w:p>
    <w:p w14:paraId="78AE9550" w14:textId="77777777" w:rsidR="00D83113" w:rsidRDefault="00D83113" w:rsidP="00775827">
      <w:pPr>
        <w:autoSpaceDE w:val="0"/>
        <w:autoSpaceDN w:val="0"/>
        <w:adjustRightInd w:val="0"/>
        <w:ind w:firstLine="426"/>
      </w:pPr>
    </w:p>
    <w:p w14:paraId="1ED2D805" w14:textId="77777777" w:rsidR="005D4FE9" w:rsidRPr="009E725B" w:rsidRDefault="005D4FE9" w:rsidP="00775827">
      <w:pPr>
        <w:autoSpaceDE w:val="0"/>
        <w:autoSpaceDN w:val="0"/>
        <w:adjustRightInd w:val="0"/>
        <w:ind w:left="426"/>
        <w:rPr>
          <w:sz w:val="22"/>
          <w:szCs w:val="22"/>
        </w:rPr>
      </w:pPr>
      <w:r w:rsidRPr="009E725B">
        <w:rPr>
          <w:sz w:val="22"/>
          <w:szCs w:val="22"/>
        </w:rPr>
        <w:t>The advent of native advertising</w:t>
      </w:r>
      <w:r w:rsidR="009E725B" w:rsidRPr="009E725B">
        <w:rPr>
          <w:sz w:val="22"/>
          <w:szCs w:val="22"/>
        </w:rPr>
        <w:t xml:space="preserve"> </w:t>
      </w:r>
      <w:r w:rsidRPr="009E725B">
        <w:rPr>
          <w:sz w:val="22"/>
          <w:szCs w:val="22"/>
        </w:rPr>
        <w:t>provides brands with a means to serve relevant and desired information to a broad, receptive audience. Formulating a coherent native advertising strategy and nurturing native audiences is critical to the success of any brand</w:t>
      </w:r>
      <w:r w:rsidR="009E725B" w:rsidRPr="009E725B">
        <w:rPr>
          <w:sz w:val="22"/>
          <w:szCs w:val="22"/>
        </w:rPr>
        <w:t xml:space="preserve"> competing for online attention. (2015, p. 605)</w:t>
      </w:r>
    </w:p>
    <w:p w14:paraId="19B6025F" w14:textId="77777777" w:rsidR="009D0B1F" w:rsidRPr="005C1217" w:rsidRDefault="009D0B1F" w:rsidP="00775827">
      <w:pPr>
        <w:rPr>
          <w:lang w:val="en-GB"/>
        </w:rPr>
      </w:pPr>
    </w:p>
    <w:p w14:paraId="050D1017" w14:textId="2E9CFB7E" w:rsidR="00A247E4" w:rsidRPr="00A247E4" w:rsidRDefault="00595632" w:rsidP="00775827">
      <w:pPr>
        <w:ind w:left="426" w:hanging="426"/>
        <w:rPr>
          <w:b/>
          <w:sz w:val="28"/>
          <w:szCs w:val="28"/>
          <w:lang w:val="en-GB"/>
        </w:rPr>
      </w:pPr>
      <w:r>
        <w:rPr>
          <w:b/>
          <w:sz w:val="28"/>
          <w:szCs w:val="28"/>
          <w:lang w:val="en-GB"/>
        </w:rPr>
        <w:t>7</w:t>
      </w:r>
      <w:r w:rsidR="00D83113">
        <w:rPr>
          <w:b/>
          <w:sz w:val="28"/>
          <w:szCs w:val="28"/>
          <w:lang w:val="en-GB"/>
        </w:rPr>
        <w:t xml:space="preserve">. </w:t>
      </w:r>
      <w:r w:rsidR="00D83113">
        <w:rPr>
          <w:b/>
          <w:sz w:val="28"/>
          <w:szCs w:val="28"/>
          <w:lang w:val="en-GB"/>
        </w:rPr>
        <w:tab/>
      </w:r>
      <w:r w:rsidR="00A247E4" w:rsidRPr="00A247E4">
        <w:rPr>
          <w:b/>
          <w:sz w:val="28"/>
          <w:szCs w:val="28"/>
          <w:lang w:val="en-GB"/>
        </w:rPr>
        <w:t>Conclusion</w:t>
      </w:r>
      <w:r w:rsidR="00A938C1">
        <w:rPr>
          <w:b/>
          <w:sz w:val="28"/>
          <w:szCs w:val="28"/>
          <w:lang w:val="en-GB"/>
        </w:rPr>
        <w:t>s</w:t>
      </w:r>
    </w:p>
    <w:p w14:paraId="612EEA97" w14:textId="77777777" w:rsidR="00A247E4" w:rsidRDefault="00A247E4" w:rsidP="00775827">
      <w:pPr>
        <w:rPr>
          <w:lang w:val="en-GB"/>
        </w:rPr>
      </w:pPr>
    </w:p>
    <w:p w14:paraId="5FEA9173" w14:textId="4121E85D" w:rsidR="005C1217" w:rsidRDefault="00370F1E" w:rsidP="00775827">
      <w:pPr>
        <w:ind w:firstLine="426"/>
        <w:rPr>
          <w:lang w:val="en-GB"/>
        </w:rPr>
      </w:pPr>
      <w:r>
        <w:rPr>
          <w:lang w:val="en-GB"/>
        </w:rPr>
        <w:t>The ‘rise and rise’ of social media (shared media) and widespread access to the internet for direct publishing by organizations (owned media) have radically changed content production and distribution strategies in PR and corporate communication</w:t>
      </w:r>
      <w:r w:rsidR="00684463">
        <w:rPr>
          <w:lang w:val="en-GB"/>
        </w:rPr>
        <w:t xml:space="preserve"> as well as advertising</w:t>
      </w:r>
      <w:r>
        <w:rPr>
          <w:lang w:val="en-GB"/>
        </w:rPr>
        <w:t xml:space="preserve">, with the priorities of the PESO </w:t>
      </w:r>
      <w:r w:rsidR="00F74587">
        <w:rPr>
          <w:lang w:val="en-GB"/>
        </w:rPr>
        <w:t xml:space="preserve">(paid, earned, shared, owned) </w:t>
      </w:r>
      <w:r>
        <w:rPr>
          <w:lang w:val="en-GB"/>
        </w:rPr>
        <w:t xml:space="preserve">model now replaced by a SOEP strategy (shared, owned, earned, paid). The bypassing of traditional media ‘gatekeepers’ </w:t>
      </w:r>
      <w:r w:rsidR="00F76DA9">
        <w:rPr>
          <w:lang w:val="en-GB"/>
        </w:rPr>
        <w:t xml:space="preserve">and availability of direct publishing channels, as well as the </w:t>
      </w:r>
      <w:r w:rsidR="00684463">
        <w:rPr>
          <w:lang w:val="en-GB"/>
        </w:rPr>
        <w:t>urgent</w:t>
      </w:r>
      <w:r w:rsidR="00F76DA9">
        <w:rPr>
          <w:lang w:val="en-GB"/>
        </w:rPr>
        <w:t xml:space="preserve"> search by traditional media to find new sources of revenue</w:t>
      </w:r>
      <w:r w:rsidR="00684463">
        <w:rPr>
          <w:lang w:val="en-GB"/>
        </w:rPr>
        <w:t xml:space="preserve"> and new business models</w:t>
      </w:r>
      <w:r w:rsidR="00F76DA9">
        <w:rPr>
          <w:lang w:val="en-GB"/>
        </w:rPr>
        <w:t>, are creating</w:t>
      </w:r>
      <w:r w:rsidR="009D0B1F">
        <w:rPr>
          <w:lang w:val="en-GB"/>
        </w:rPr>
        <w:t xml:space="preserve"> new </w:t>
      </w:r>
      <w:r w:rsidR="003A6A7A">
        <w:rPr>
          <w:lang w:val="en-GB"/>
        </w:rPr>
        <w:t xml:space="preserve">communication </w:t>
      </w:r>
      <w:r w:rsidR="009D0B1F">
        <w:rPr>
          <w:lang w:val="en-GB"/>
        </w:rPr>
        <w:t xml:space="preserve">opportunities </w:t>
      </w:r>
      <w:r w:rsidR="005C1217">
        <w:rPr>
          <w:lang w:val="en-GB"/>
        </w:rPr>
        <w:t>for marketers as well as corporate and g</w:t>
      </w:r>
      <w:r w:rsidR="003A6A7A">
        <w:rPr>
          <w:lang w:val="en-GB"/>
        </w:rPr>
        <w:t>overnment communicators. But emerging trends in social (shared) media and owned media also pose ethical</w:t>
      </w:r>
      <w:r w:rsidR="005C1217">
        <w:rPr>
          <w:lang w:val="en-GB"/>
        </w:rPr>
        <w:t xml:space="preserve"> </w:t>
      </w:r>
      <w:r w:rsidR="003A6A7A">
        <w:rPr>
          <w:lang w:val="en-GB"/>
        </w:rPr>
        <w:t>dilemmas and risks of alienating stakeholders and publics.</w:t>
      </w:r>
    </w:p>
    <w:p w14:paraId="17FE7259" w14:textId="39A79BB3" w:rsidR="003A6A7A" w:rsidRDefault="003A6A7A" w:rsidP="00775827">
      <w:pPr>
        <w:ind w:firstLine="426"/>
        <w:rPr>
          <w:lang w:val="en-GB"/>
        </w:rPr>
      </w:pPr>
      <w:r>
        <w:rPr>
          <w:lang w:val="en-GB"/>
        </w:rPr>
        <w:t xml:space="preserve">Findings of the </w:t>
      </w:r>
      <w:r w:rsidR="00372958">
        <w:rPr>
          <w:i/>
          <w:lang w:val="en-GB"/>
        </w:rPr>
        <w:t>Asia-Pacific</w:t>
      </w:r>
      <w:r w:rsidRPr="003A6A7A">
        <w:rPr>
          <w:i/>
          <w:lang w:val="en-GB"/>
        </w:rPr>
        <w:t xml:space="preserve"> Communication Monitor</w:t>
      </w:r>
      <w:r>
        <w:rPr>
          <w:lang w:val="en-GB"/>
        </w:rPr>
        <w:t xml:space="preserve"> and analysis of its key findings in the context of the small but emerging body of extant research literature in relation to new media formats suggest four important next steps:</w:t>
      </w:r>
    </w:p>
    <w:p w14:paraId="2B37F19E" w14:textId="77777777" w:rsidR="00D83113" w:rsidRDefault="00D83113" w:rsidP="00775827">
      <w:pPr>
        <w:ind w:firstLine="426"/>
        <w:rPr>
          <w:lang w:val="en-GB"/>
        </w:rPr>
      </w:pPr>
    </w:p>
    <w:p w14:paraId="1238C33C" w14:textId="77777777" w:rsidR="003A6A7A" w:rsidRPr="003A6A7A" w:rsidRDefault="003A6A7A" w:rsidP="00775827">
      <w:pPr>
        <w:pStyle w:val="ListParagraph"/>
        <w:numPr>
          <w:ilvl w:val="0"/>
          <w:numId w:val="3"/>
        </w:numPr>
        <w:ind w:left="426" w:hanging="426"/>
        <w:rPr>
          <w:lang w:val="en-GB"/>
        </w:rPr>
      </w:pPr>
      <w:r w:rsidRPr="003A6A7A">
        <w:rPr>
          <w:lang w:val="en-GB"/>
        </w:rPr>
        <w:t xml:space="preserve">Development of </w:t>
      </w:r>
      <w:r w:rsidRPr="005A0A44">
        <w:rPr>
          <w:i/>
          <w:lang w:val="en-GB"/>
        </w:rPr>
        <w:t>codes of ethics and/or codes of practice</w:t>
      </w:r>
      <w:r w:rsidRPr="003A6A7A">
        <w:rPr>
          <w:lang w:val="en-GB"/>
        </w:rPr>
        <w:t xml:space="preserve"> that cover new media formats and practices in shared and owned media;</w:t>
      </w:r>
    </w:p>
    <w:p w14:paraId="5CF7C069" w14:textId="77777777" w:rsidR="003A6A7A" w:rsidRDefault="003A6A7A" w:rsidP="00775827">
      <w:pPr>
        <w:pStyle w:val="ListParagraph"/>
        <w:numPr>
          <w:ilvl w:val="0"/>
          <w:numId w:val="3"/>
        </w:numPr>
        <w:ind w:left="426" w:hanging="426"/>
        <w:rPr>
          <w:lang w:val="en-GB"/>
        </w:rPr>
      </w:pPr>
      <w:r>
        <w:rPr>
          <w:lang w:val="en-GB"/>
        </w:rPr>
        <w:t xml:space="preserve">Development of </w:t>
      </w:r>
      <w:r w:rsidRPr="005A0A44">
        <w:rPr>
          <w:i/>
          <w:lang w:val="en-GB"/>
        </w:rPr>
        <w:t>definitions and consistent terminology</w:t>
      </w:r>
      <w:r>
        <w:rPr>
          <w:lang w:val="en-GB"/>
        </w:rPr>
        <w:t xml:space="preserve"> to facilitate understanding </w:t>
      </w:r>
      <w:r w:rsidR="0006021C">
        <w:rPr>
          <w:lang w:val="en-GB"/>
        </w:rPr>
        <w:t xml:space="preserve">and </w:t>
      </w:r>
      <w:r>
        <w:rPr>
          <w:lang w:val="en-GB"/>
        </w:rPr>
        <w:t>discussion and debate</w:t>
      </w:r>
      <w:r w:rsidR="0006021C">
        <w:rPr>
          <w:lang w:val="en-GB"/>
        </w:rPr>
        <w:t xml:space="preserve"> across disciplines and fields of practice</w:t>
      </w:r>
      <w:r>
        <w:rPr>
          <w:lang w:val="en-GB"/>
        </w:rPr>
        <w:t>;</w:t>
      </w:r>
    </w:p>
    <w:p w14:paraId="5E20065E" w14:textId="77777777" w:rsidR="003A6A7A" w:rsidRPr="003A6A7A" w:rsidRDefault="003A6A7A" w:rsidP="00775827">
      <w:pPr>
        <w:pStyle w:val="ListParagraph"/>
        <w:numPr>
          <w:ilvl w:val="0"/>
          <w:numId w:val="3"/>
        </w:numPr>
        <w:ind w:left="426" w:hanging="426"/>
        <w:rPr>
          <w:lang w:val="en-GB"/>
        </w:rPr>
      </w:pPr>
      <w:r w:rsidRPr="003A6A7A">
        <w:rPr>
          <w:lang w:val="en-GB"/>
        </w:rPr>
        <w:t xml:space="preserve">Further </w:t>
      </w:r>
      <w:r w:rsidRPr="005A0A44">
        <w:rPr>
          <w:i/>
          <w:lang w:val="en-GB"/>
        </w:rPr>
        <w:t>research</w:t>
      </w:r>
      <w:r w:rsidRPr="003A6A7A">
        <w:rPr>
          <w:lang w:val="en-GB"/>
        </w:rPr>
        <w:t xml:space="preserve"> to inform the above and guide practices;</w:t>
      </w:r>
    </w:p>
    <w:p w14:paraId="7A6CB48B" w14:textId="77777777" w:rsidR="003A6A7A" w:rsidRPr="003A6A7A" w:rsidRDefault="003A6A7A" w:rsidP="00775827">
      <w:pPr>
        <w:pStyle w:val="ListParagraph"/>
        <w:numPr>
          <w:ilvl w:val="0"/>
          <w:numId w:val="3"/>
        </w:numPr>
        <w:ind w:left="426" w:hanging="426"/>
        <w:rPr>
          <w:lang w:val="en-GB"/>
        </w:rPr>
      </w:pPr>
      <w:r w:rsidRPr="003A6A7A">
        <w:rPr>
          <w:lang w:val="en-GB"/>
        </w:rPr>
        <w:t xml:space="preserve">Development of </w:t>
      </w:r>
      <w:r w:rsidRPr="005A0A44">
        <w:rPr>
          <w:i/>
        </w:rPr>
        <w:t xml:space="preserve">communication strategies in organizations that </w:t>
      </w:r>
      <w:r w:rsidR="0006021C" w:rsidRPr="005A0A44">
        <w:rPr>
          <w:i/>
        </w:rPr>
        <w:t xml:space="preserve">are </w:t>
      </w:r>
      <w:r w:rsidRPr="005A0A44">
        <w:rPr>
          <w:i/>
        </w:rPr>
        <w:t xml:space="preserve">ethical and which </w:t>
      </w:r>
      <w:r w:rsidR="0006021C" w:rsidRPr="005A0A44">
        <w:rPr>
          <w:i/>
        </w:rPr>
        <w:t xml:space="preserve">transparently </w:t>
      </w:r>
      <w:r w:rsidRPr="005A0A44">
        <w:rPr>
          <w:i/>
        </w:rPr>
        <w:t>engage rather than deceive audiences,</w:t>
      </w:r>
      <w:r>
        <w:t xml:space="preserve"> </w:t>
      </w:r>
      <w:r w:rsidR="006B434D">
        <w:t xml:space="preserve">recognizing that deception and actions considered misleading can result is public criticism and an undermining of trust – a fundamental asset that many </w:t>
      </w:r>
      <w:r w:rsidR="00586A10">
        <w:t>organizations</w:t>
      </w:r>
      <w:r w:rsidR="006B434D">
        <w:t xml:space="preserve"> have lost</w:t>
      </w:r>
      <w:r w:rsidR="00586A10">
        <w:t>,</w:t>
      </w:r>
      <w:r w:rsidR="006B434D">
        <w:t xml:space="preserve"> </w:t>
      </w:r>
      <w:r w:rsidR="00650804">
        <w:t xml:space="preserve">as shown </w:t>
      </w:r>
      <w:r w:rsidR="00586A10">
        <w:t>in research by</w:t>
      </w:r>
      <w:r w:rsidR="00650804">
        <w:t xml:space="preserve"> Nielsen (2015a) </w:t>
      </w:r>
      <w:r w:rsidR="00586A10">
        <w:t>and Edelman (2015), and which they need to regain and maintain</w:t>
      </w:r>
      <w:r>
        <w:t>.</w:t>
      </w:r>
    </w:p>
    <w:p w14:paraId="37572BF6" w14:textId="77777777" w:rsidR="00385BD1" w:rsidRDefault="00385BD1" w:rsidP="00775827"/>
    <w:p w14:paraId="3FF9C6E0" w14:textId="77777777" w:rsidR="00385BD1" w:rsidRPr="00E61862" w:rsidRDefault="00385BD1" w:rsidP="00775827">
      <w:pPr>
        <w:rPr>
          <w:b/>
          <w:sz w:val="28"/>
          <w:szCs w:val="28"/>
        </w:rPr>
      </w:pPr>
      <w:r>
        <w:rPr>
          <w:b/>
          <w:sz w:val="28"/>
          <w:szCs w:val="28"/>
        </w:rPr>
        <w:lastRenderedPageBreak/>
        <w:t>References</w:t>
      </w:r>
    </w:p>
    <w:p w14:paraId="6C4F5684" w14:textId="77777777" w:rsidR="00385BD1" w:rsidRPr="005A6213" w:rsidRDefault="00385BD1" w:rsidP="00775827">
      <w:pPr>
        <w:rPr>
          <w:sz w:val="22"/>
          <w:szCs w:val="22"/>
        </w:rPr>
      </w:pPr>
    </w:p>
    <w:p w14:paraId="3AB6E94F" w14:textId="77777777" w:rsidR="00542FD1" w:rsidRPr="005A6213" w:rsidRDefault="00542FD1" w:rsidP="00775827">
      <w:pPr>
        <w:autoSpaceDE w:val="0"/>
        <w:autoSpaceDN w:val="0"/>
        <w:adjustRightInd w:val="0"/>
        <w:ind w:left="284" w:hanging="284"/>
        <w:rPr>
          <w:sz w:val="22"/>
          <w:szCs w:val="22"/>
        </w:rPr>
      </w:pPr>
      <w:r w:rsidRPr="005A6213">
        <w:rPr>
          <w:sz w:val="22"/>
          <w:szCs w:val="22"/>
        </w:rPr>
        <w:t>American Press Institute. (2013, November 13). Understanding the rise of sponsored content. Arlington, VA: Author.</w:t>
      </w:r>
    </w:p>
    <w:p w14:paraId="36E84A30" w14:textId="13C5CFAA" w:rsidR="00EB2C6E" w:rsidRPr="005A6213" w:rsidRDefault="00EB2C6E" w:rsidP="00775827">
      <w:pPr>
        <w:ind w:left="284" w:hanging="284"/>
        <w:rPr>
          <w:bCs/>
          <w:sz w:val="22"/>
          <w:szCs w:val="22"/>
          <w:lang w:val="en-US"/>
        </w:rPr>
      </w:pPr>
      <w:proofErr w:type="spellStart"/>
      <w:r w:rsidRPr="005A6213">
        <w:rPr>
          <w:bCs/>
          <w:sz w:val="22"/>
          <w:szCs w:val="22"/>
          <w:lang w:val="en-US"/>
        </w:rPr>
        <w:t>Balasubramanian</w:t>
      </w:r>
      <w:proofErr w:type="spellEnd"/>
      <w:r w:rsidRPr="005A6213">
        <w:rPr>
          <w:bCs/>
          <w:sz w:val="22"/>
          <w:szCs w:val="22"/>
          <w:lang w:val="en-US"/>
        </w:rPr>
        <w:t xml:space="preserve">, S. (1994). Beyond advertising and publicity: Hybrid messages and public policy issues. </w:t>
      </w:r>
      <w:r w:rsidRPr="005A6213">
        <w:rPr>
          <w:bCs/>
          <w:i/>
          <w:sz w:val="22"/>
          <w:szCs w:val="22"/>
          <w:lang w:val="en-US"/>
        </w:rPr>
        <w:t>Journal of Advertising, 23</w:t>
      </w:r>
      <w:r w:rsidRPr="005A6213">
        <w:rPr>
          <w:bCs/>
          <w:sz w:val="22"/>
          <w:szCs w:val="22"/>
          <w:lang w:val="en-US"/>
        </w:rPr>
        <w:t>(4), 29–46.</w:t>
      </w:r>
      <w:r w:rsidR="004E1C97" w:rsidRPr="005A6213">
        <w:rPr>
          <w:sz w:val="22"/>
          <w:szCs w:val="22"/>
        </w:rPr>
        <w:t xml:space="preserve"> doi.org/10.1080/00913367.1943.10673457</w:t>
      </w:r>
      <w:r w:rsidRPr="005A6213">
        <w:rPr>
          <w:bCs/>
          <w:sz w:val="22"/>
          <w:szCs w:val="22"/>
          <w:lang w:val="en-US"/>
        </w:rPr>
        <w:t xml:space="preserve"> </w:t>
      </w:r>
    </w:p>
    <w:p w14:paraId="16215025" w14:textId="0872F11A" w:rsidR="0038195C" w:rsidRPr="005A6213" w:rsidRDefault="0038195C" w:rsidP="00775827">
      <w:pPr>
        <w:ind w:left="284" w:hanging="284"/>
        <w:rPr>
          <w:sz w:val="22"/>
          <w:szCs w:val="22"/>
        </w:rPr>
      </w:pPr>
      <w:r w:rsidRPr="005A6213">
        <w:rPr>
          <w:bCs/>
          <w:sz w:val="22"/>
          <w:szCs w:val="22"/>
          <w:lang w:val="en-US"/>
        </w:rPr>
        <w:t xml:space="preserve">Bayles, S. (2015). What value does paid media hold for the PR industry? In S. Hall (Ed.), </w:t>
      </w:r>
      <w:proofErr w:type="spellStart"/>
      <w:r w:rsidRPr="005A6213">
        <w:rPr>
          <w:bCs/>
          <w:i/>
          <w:sz w:val="22"/>
          <w:szCs w:val="22"/>
          <w:lang w:val="en-US"/>
        </w:rPr>
        <w:t>FuturePRoof</w:t>
      </w:r>
      <w:proofErr w:type="spellEnd"/>
      <w:r w:rsidRPr="005A6213">
        <w:rPr>
          <w:bCs/>
          <w:i/>
          <w:sz w:val="22"/>
          <w:szCs w:val="22"/>
          <w:lang w:val="en-US"/>
        </w:rPr>
        <w:t xml:space="preserve">: </w:t>
      </w:r>
      <w:r w:rsidRPr="005A6213">
        <w:rPr>
          <w:i/>
          <w:sz w:val="22"/>
          <w:szCs w:val="22"/>
        </w:rPr>
        <w:t>The go-to guide for managers of agencies and communication teams</w:t>
      </w:r>
      <w:r w:rsidRPr="005A6213">
        <w:rPr>
          <w:bCs/>
          <w:sz w:val="22"/>
          <w:szCs w:val="22"/>
          <w:lang w:val="en-US"/>
        </w:rPr>
        <w:t xml:space="preserve"> (pp. 129–134). London, UK: Sarah Hall Consulting. </w:t>
      </w:r>
    </w:p>
    <w:p w14:paraId="170C6A1E" w14:textId="77777777" w:rsidR="00542FD1" w:rsidRPr="005A6213" w:rsidRDefault="00542FD1" w:rsidP="00775827">
      <w:pPr>
        <w:autoSpaceDE w:val="0"/>
        <w:autoSpaceDN w:val="0"/>
        <w:adjustRightInd w:val="0"/>
        <w:ind w:left="284" w:hanging="284"/>
        <w:rPr>
          <w:sz w:val="22"/>
          <w:szCs w:val="22"/>
        </w:rPr>
      </w:pPr>
      <w:r w:rsidRPr="005A6213">
        <w:rPr>
          <w:sz w:val="22"/>
          <w:szCs w:val="22"/>
        </w:rPr>
        <w:t xml:space="preserve">BCMA (Branded Content Marketing Association). (2012). Guide to advertiser funded programming. Retrieved from </w:t>
      </w:r>
      <w:r w:rsidRPr="005A6213">
        <w:rPr>
          <w:bCs/>
          <w:sz w:val="22"/>
          <w:szCs w:val="22"/>
        </w:rPr>
        <w:t>http://www.thebcma.info/best-practices/guide-to</w:t>
      </w:r>
    </w:p>
    <w:p w14:paraId="524FD019" w14:textId="77777777" w:rsidR="00542FD1" w:rsidRPr="005A6213" w:rsidRDefault="00542FD1" w:rsidP="00775827">
      <w:pPr>
        <w:autoSpaceDE w:val="0"/>
        <w:autoSpaceDN w:val="0"/>
        <w:adjustRightInd w:val="0"/>
        <w:ind w:left="284" w:hanging="284"/>
        <w:rPr>
          <w:sz w:val="22"/>
          <w:szCs w:val="22"/>
        </w:rPr>
      </w:pPr>
      <w:r w:rsidRPr="005A6213">
        <w:rPr>
          <w:sz w:val="22"/>
          <w:szCs w:val="22"/>
        </w:rPr>
        <w:t xml:space="preserve">Bowen, S. (2013). Using classic social media cases to distil ethical guidelines for digital engagement. </w:t>
      </w:r>
      <w:r w:rsidRPr="005A6213">
        <w:rPr>
          <w:i/>
          <w:iCs/>
          <w:sz w:val="22"/>
          <w:szCs w:val="22"/>
        </w:rPr>
        <w:t>Journal of Mass Media Ethics, 28</w:t>
      </w:r>
      <w:r w:rsidRPr="005A6213">
        <w:rPr>
          <w:sz w:val="22"/>
          <w:szCs w:val="22"/>
        </w:rPr>
        <w:t>(2), 119–133.</w:t>
      </w:r>
    </w:p>
    <w:p w14:paraId="5AEF28B2" w14:textId="77777777" w:rsidR="007B38AE" w:rsidRPr="005A6213" w:rsidRDefault="007B38AE" w:rsidP="00775827">
      <w:pPr>
        <w:ind w:left="284" w:hanging="284"/>
        <w:rPr>
          <w:sz w:val="22"/>
          <w:szCs w:val="22"/>
        </w:rPr>
      </w:pPr>
      <w:r w:rsidRPr="005A6213">
        <w:rPr>
          <w:sz w:val="22"/>
          <w:szCs w:val="22"/>
        </w:rPr>
        <w:t xml:space="preserve">Burcher, N. (2012). </w:t>
      </w:r>
      <w:r w:rsidRPr="005A6213">
        <w:rPr>
          <w:i/>
          <w:sz w:val="22"/>
          <w:szCs w:val="22"/>
        </w:rPr>
        <w:t xml:space="preserve">Paid, owned, </w:t>
      </w:r>
      <w:proofErr w:type="gramStart"/>
      <w:r w:rsidRPr="005A6213">
        <w:rPr>
          <w:i/>
          <w:sz w:val="22"/>
          <w:szCs w:val="22"/>
        </w:rPr>
        <w:t>earned</w:t>
      </w:r>
      <w:proofErr w:type="gramEnd"/>
      <w:r w:rsidRPr="005A6213">
        <w:rPr>
          <w:i/>
          <w:sz w:val="22"/>
          <w:szCs w:val="22"/>
        </w:rPr>
        <w:t>: Maximizing marketing returns in a socially connected world</w:t>
      </w:r>
      <w:r w:rsidRPr="005A6213">
        <w:rPr>
          <w:sz w:val="22"/>
          <w:szCs w:val="22"/>
        </w:rPr>
        <w:t xml:space="preserve">. Philadelphia, PA: </w:t>
      </w:r>
      <w:proofErr w:type="spellStart"/>
      <w:r w:rsidRPr="005A6213">
        <w:rPr>
          <w:sz w:val="22"/>
          <w:szCs w:val="22"/>
        </w:rPr>
        <w:t>Kogan</w:t>
      </w:r>
      <w:proofErr w:type="spellEnd"/>
      <w:r w:rsidRPr="005A6213">
        <w:rPr>
          <w:sz w:val="22"/>
          <w:szCs w:val="22"/>
        </w:rPr>
        <w:t xml:space="preserve"> Page.</w:t>
      </w:r>
    </w:p>
    <w:p w14:paraId="23F917CC" w14:textId="77777777" w:rsidR="00542FD1" w:rsidRPr="005A6213" w:rsidRDefault="00542FD1" w:rsidP="00775827">
      <w:pPr>
        <w:autoSpaceDE w:val="0"/>
        <w:autoSpaceDN w:val="0"/>
        <w:adjustRightInd w:val="0"/>
        <w:ind w:left="284" w:hanging="284"/>
        <w:rPr>
          <w:sz w:val="22"/>
          <w:szCs w:val="22"/>
        </w:rPr>
      </w:pPr>
      <w:r w:rsidRPr="005A6213">
        <w:rPr>
          <w:sz w:val="22"/>
          <w:szCs w:val="22"/>
        </w:rPr>
        <w:t xml:space="preserve">Campbell, C., Cohen, J., &amp; Ma, J. (2014). Advertisements just aren’t advertisements any more: A new typology for evolving forms of online advertising. </w:t>
      </w:r>
      <w:r w:rsidRPr="005A6213">
        <w:rPr>
          <w:i/>
          <w:iCs/>
          <w:sz w:val="22"/>
          <w:szCs w:val="22"/>
        </w:rPr>
        <w:t>Journal of Advertising Research, 54</w:t>
      </w:r>
      <w:r w:rsidRPr="005A6213">
        <w:rPr>
          <w:sz w:val="22"/>
          <w:szCs w:val="22"/>
        </w:rPr>
        <w:t>(1), 7–10.</w:t>
      </w:r>
    </w:p>
    <w:p w14:paraId="2612AC80" w14:textId="77777777" w:rsidR="005D4FE9" w:rsidRPr="005A6213" w:rsidRDefault="005D4FE9" w:rsidP="00775827">
      <w:pPr>
        <w:ind w:left="284" w:hanging="284"/>
        <w:rPr>
          <w:sz w:val="22"/>
          <w:szCs w:val="22"/>
        </w:rPr>
      </w:pPr>
      <w:r w:rsidRPr="005A6213">
        <w:rPr>
          <w:sz w:val="22"/>
          <w:szCs w:val="22"/>
        </w:rPr>
        <w:t>Campbell, C., &amp; Marks, L. (</w:t>
      </w:r>
      <w:r w:rsidR="009E725B" w:rsidRPr="005A6213">
        <w:rPr>
          <w:sz w:val="22"/>
          <w:szCs w:val="22"/>
        </w:rPr>
        <w:t>2015</w:t>
      </w:r>
      <w:r w:rsidRPr="005A6213">
        <w:rPr>
          <w:sz w:val="22"/>
          <w:szCs w:val="22"/>
        </w:rPr>
        <w:t xml:space="preserve">). Good native advertising isn’t a secret. </w:t>
      </w:r>
      <w:r w:rsidRPr="005A6213">
        <w:rPr>
          <w:i/>
          <w:sz w:val="22"/>
          <w:szCs w:val="22"/>
        </w:rPr>
        <w:t>Business Horizons</w:t>
      </w:r>
      <w:r w:rsidR="009E725B" w:rsidRPr="005A6213">
        <w:rPr>
          <w:sz w:val="22"/>
          <w:szCs w:val="22"/>
        </w:rPr>
        <w:t xml:space="preserve">, </w:t>
      </w:r>
      <w:r w:rsidR="009E725B" w:rsidRPr="005A6213">
        <w:rPr>
          <w:i/>
          <w:sz w:val="22"/>
          <w:szCs w:val="22"/>
        </w:rPr>
        <w:t>58</w:t>
      </w:r>
      <w:r w:rsidR="009E725B" w:rsidRPr="005A6213">
        <w:rPr>
          <w:sz w:val="22"/>
          <w:szCs w:val="22"/>
        </w:rPr>
        <w:t>(6), 599–606.</w:t>
      </w:r>
    </w:p>
    <w:p w14:paraId="3570779A" w14:textId="77777777" w:rsidR="00616D89" w:rsidRPr="005A6213" w:rsidRDefault="00616D89" w:rsidP="00775827">
      <w:pPr>
        <w:autoSpaceDE w:val="0"/>
        <w:autoSpaceDN w:val="0"/>
        <w:adjustRightInd w:val="0"/>
        <w:ind w:left="284" w:hanging="284"/>
        <w:rPr>
          <w:sz w:val="22"/>
          <w:szCs w:val="22"/>
        </w:rPr>
      </w:pPr>
      <w:r w:rsidRPr="005A6213">
        <w:rPr>
          <w:sz w:val="22"/>
          <w:szCs w:val="22"/>
        </w:rPr>
        <w:t xml:space="preserve">Canter, A., Kirby J., McFarlane, G., &amp; Welland, M. (2013). </w:t>
      </w:r>
      <w:r w:rsidRPr="005A6213">
        <w:rPr>
          <w:i/>
          <w:sz w:val="22"/>
          <w:szCs w:val="22"/>
        </w:rPr>
        <w:t>Best of branded content</w:t>
      </w:r>
      <w:r w:rsidRPr="005A6213">
        <w:rPr>
          <w:sz w:val="22"/>
          <w:szCs w:val="22"/>
        </w:rPr>
        <w:t>. London, UK: Digital Media Communications. Retrieved from http://www.thebcma.info/products-services</w:t>
      </w:r>
    </w:p>
    <w:p w14:paraId="36A92543" w14:textId="77777777" w:rsidR="00EC7F7A" w:rsidRPr="005A6213" w:rsidRDefault="00EC7F7A" w:rsidP="00775827">
      <w:pPr>
        <w:ind w:left="284" w:hanging="284"/>
        <w:rPr>
          <w:rStyle w:val="HTMLCite"/>
          <w:i w:val="0"/>
          <w:sz w:val="22"/>
          <w:szCs w:val="22"/>
        </w:rPr>
      </w:pPr>
      <w:r w:rsidRPr="005A6213">
        <w:rPr>
          <w:rStyle w:val="HTMLCite"/>
          <w:i w:val="0"/>
          <w:sz w:val="22"/>
          <w:szCs w:val="22"/>
        </w:rPr>
        <w:t xml:space="preserve">Davison, R., Vogel, D., &amp; Harris, R. (2000). Technology leapfrogging in developing countries: An inevitable luxury? </w:t>
      </w:r>
      <w:r w:rsidRPr="005A6213">
        <w:rPr>
          <w:rStyle w:val="HTMLCite"/>
          <w:sz w:val="22"/>
          <w:szCs w:val="22"/>
        </w:rPr>
        <w:t>The Electronic Journal of Information Systems in Developing Countries, 1</w:t>
      </w:r>
      <w:r w:rsidRPr="005A6213">
        <w:rPr>
          <w:rStyle w:val="HTMLCite"/>
          <w:i w:val="0"/>
          <w:sz w:val="22"/>
          <w:szCs w:val="22"/>
        </w:rPr>
        <w:t>(5), 1–10. Retrieved from http://www.ejisdc.org/ojs2/index.php/ejisdc/article/view/5/5</w:t>
      </w:r>
    </w:p>
    <w:p w14:paraId="12075EC6" w14:textId="23CA6F36" w:rsidR="00542FD1" w:rsidRPr="005A6213" w:rsidRDefault="00542FD1" w:rsidP="00775827">
      <w:pPr>
        <w:ind w:left="284" w:hanging="284"/>
        <w:rPr>
          <w:rFonts w:eastAsia="Times New Roman"/>
          <w:sz w:val="22"/>
          <w:szCs w:val="22"/>
          <w:lang w:eastAsia="en-AU"/>
        </w:rPr>
      </w:pPr>
      <w:proofErr w:type="gramStart"/>
      <w:r w:rsidRPr="005A6213">
        <w:rPr>
          <w:sz w:val="22"/>
          <w:szCs w:val="22"/>
        </w:rPr>
        <w:t>de</w:t>
      </w:r>
      <w:proofErr w:type="gramEnd"/>
      <w:r w:rsidRPr="005A6213">
        <w:rPr>
          <w:sz w:val="22"/>
          <w:szCs w:val="22"/>
        </w:rPr>
        <w:t xml:space="preserve"> </w:t>
      </w:r>
      <w:proofErr w:type="spellStart"/>
      <w:r w:rsidRPr="005A6213">
        <w:rPr>
          <w:sz w:val="22"/>
          <w:szCs w:val="22"/>
        </w:rPr>
        <w:t>Pelsmacker</w:t>
      </w:r>
      <w:proofErr w:type="spellEnd"/>
      <w:r w:rsidRPr="005A6213">
        <w:rPr>
          <w:sz w:val="22"/>
          <w:szCs w:val="22"/>
        </w:rPr>
        <w:t xml:space="preserve">, P., &amp; </w:t>
      </w:r>
      <w:proofErr w:type="spellStart"/>
      <w:r w:rsidRPr="005A6213">
        <w:rPr>
          <w:sz w:val="22"/>
          <w:szCs w:val="22"/>
        </w:rPr>
        <w:t>Neijens</w:t>
      </w:r>
      <w:proofErr w:type="spellEnd"/>
      <w:r w:rsidRPr="005A6213">
        <w:rPr>
          <w:sz w:val="22"/>
          <w:szCs w:val="22"/>
        </w:rPr>
        <w:t xml:space="preserve">, P. (2012). New advertising formats: How persuasion knowledge affects consumer response. </w:t>
      </w:r>
      <w:r w:rsidRPr="005A6213">
        <w:rPr>
          <w:i/>
          <w:sz w:val="22"/>
          <w:szCs w:val="22"/>
        </w:rPr>
        <w:t>Journal of Marketing Communications</w:t>
      </w:r>
      <w:r w:rsidRPr="005A6213">
        <w:rPr>
          <w:sz w:val="22"/>
          <w:szCs w:val="22"/>
        </w:rPr>
        <w:t xml:space="preserve">, </w:t>
      </w:r>
      <w:r w:rsidRPr="005A6213">
        <w:rPr>
          <w:i/>
          <w:sz w:val="22"/>
          <w:szCs w:val="22"/>
        </w:rPr>
        <w:t>18</w:t>
      </w:r>
      <w:r w:rsidRPr="005A6213">
        <w:rPr>
          <w:sz w:val="22"/>
          <w:szCs w:val="22"/>
        </w:rPr>
        <w:t xml:space="preserve">(1), 1–4. </w:t>
      </w:r>
      <w:r w:rsidR="008D4704" w:rsidRPr="005A6213">
        <w:rPr>
          <w:sz w:val="22"/>
          <w:szCs w:val="22"/>
        </w:rPr>
        <w:t>doi.org/10.1080/13527266.2011.620762</w:t>
      </w:r>
    </w:p>
    <w:p w14:paraId="06843550" w14:textId="77777777" w:rsidR="00405D67" w:rsidRDefault="00405D67" w:rsidP="00775827">
      <w:pPr>
        <w:autoSpaceDE w:val="0"/>
        <w:autoSpaceDN w:val="0"/>
        <w:adjustRightInd w:val="0"/>
        <w:ind w:left="426" w:hanging="426"/>
        <w:rPr>
          <w:sz w:val="22"/>
          <w:szCs w:val="22"/>
          <w:lang w:val="en-US"/>
        </w:rPr>
      </w:pPr>
      <w:proofErr w:type="spellStart"/>
      <w:r w:rsidRPr="00925C7D">
        <w:rPr>
          <w:sz w:val="22"/>
          <w:szCs w:val="22"/>
          <w:lang w:val="en-US"/>
        </w:rPr>
        <w:t>Derville</w:t>
      </w:r>
      <w:proofErr w:type="spellEnd"/>
      <w:r w:rsidRPr="00925C7D">
        <w:rPr>
          <w:sz w:val="22"/>
          <w:szCs w:val="22"/>
          <w:lang w:val="en-US"/>
        </w:rPr>
        <w:t xml:space="preserve"> </w:t>
      </w:r>
      <w:proofErr w:type="spellStart"/>
      <w:r w:rsidRPr="00925C7D">
        <w:rPr>
          <w:sz w:val="22"/>
          <w:szCs w:val="22"/>
          <w:lang w:val="en-US"/>
        </w:rPr>
        <w:t>Gallicano</w:t>
      </w:r>
      <w:proofErr w:type="spellEnd"/>
      <w:r w:rsidRPr="00925C7D">
        <w:rPr>
          <w:sz w:val="22"/>
          <w:szCs w:val="22"/>
          <w:lang w:val="en-US"/>
        </w:rPr>
        <w:t xml:space="preserve">, T., </w:t>
      </w:r>
      <w:proofErr w:type="spellStart"/>
      <w:r w:rsidRPr="00925C7D">
        <w:rPr>
          <w:sz w:val="22"/>
          <w:szCs w:val="22"/>
          <w:lang w:val="en-US"/>
        </w:rPr>
        <w:t>Bivins</w:t>
      </w:r>
      <w:proofErr w:type="spellEnd"/>
      <w:r w:rsidRPr="00925C7D">
        <w:rPr>
          <w:sz w:val="22"/>
          <w:szCs w:val="22"/>
          <w:lang w:val="en-US"/>
        </w:rPr>
        <w:t xml:space="preserve">, T., &amp; Cho, Y. (2014) Considerations regarding ghost blogging and ghost commenting. In M. </w:t>
      </w:r>
      <w:proofErr w:type="spellStart"/>
      <w:r w:rsidRPr="00925C7D">
        <w:rPr>
          <w:sz w:val="22"/>
          <w:szCs w:val="22"/>
          <w:lang w:val="en-US"/>
        </w:rPr>
        <w:t>DiStaso</w:t>
      </w:r>
      <w:proofErr w:type="spellEnd"/>
      <w:r w:rsidRPr="00925C7D">
        <w:rPr>
          <w:sz w:val="22"/>
          <w:szCs w:val="22"/>
          <w:lang w:val="en-US"/>
        </w:rPr>
        <w:t xml:space="preserve"> &amp; D. </w:t>
      </w:r>
      <w:proofErr w:type="spellStart"/>
      <w:r w:rsidRPr="00925C7D">
        <w:rPr>
          <w:sz w:val="22"/>
          <w:szCs w:val="22"/>
          <w:lang w:val="en-US"/>
        </w:rPr>
        <w:t>Sevick</w:t>
      </w:r>
      <w:proofErr w:type="spellEnd"/>
      <w:r w:rsidRPr="00925C7D">
        <w:rPr>
          <w:sz w:val="22"/>
          <w:szCs w:val="22"/>
          <w:lang w:val="en-US"/>
        </w:rPr>
        <w:t xml:space="preserve"> </w:t>
      </w:r>
      <w:proofErr w:type="spellStart"/>
      <w:r w:rsidRPr="00925C7D">
        <w:rPr>
          <w:sz w:val="22"/>
          <w:szCs w:val="22"/>
          <w:lang w:val="en-US"/>
        </w:rPr>
        <w:t>Vortree</w:t>
      </w:r>
      <w:proofErr w:type="spellEnd"/>
      <w:r w:rsidRPr="00925C7D">
        <w:rPr>
          <w:sz w:val="22"/>
          <w:szCs w:val="22"/>
          <w:lang w:val="en-US"/>
        </w:rPr>
        <w:t xml:space="preserve"> (Eds.) </w:t>
      </w:r>
      <w:r w:rsidRPr="00925C7D">
        <w:rPr>
          <w:i/>
          <w:sz w:val="22"/>
          <w:szCs w:val="22"/>
          <w:lang w:val="en-US"/>
        </w:rPr>
        <w:t xml:space="preserve">Ethical practice of social media in public relations </w:t>
      </w:r>
      <w:r w:rsidRPr="00925C7D">
        <w:rPr>
          <w:sz w:val="22"/>
          <w:szCs w:val="22"/>
          <w:lang w:val="en-US"/>
        </w:rPr>
        <w:t>(pp. 21–32). New York, NY: Routledge.</w:t>
      </w:r>
    </w:p>
    <w:p w14:paraId="3FCB86D4" w14:textId="77777777" w:rsidR="007B38AE" w:rsidRPr="005A6213" w:rsidRDefault="007B38AE" w:rsidP="00775827">
      <w:pPr>
        <w:ind w:left="284" w:hanging="284"/>
        <w:rPr>
          <w:sz w:val="22"/>
          <w:szCs w:val="22"/>
        </w:rPr>
      </w:pPr>
      <w:r w:rsidRPr="005A6213">
        <w:rPr>
          <w:sz w:val="22"/>
          <w:szCs w:val="22"/>
        </w:rPr>
        <w:t xml:space="preserve">Dietrich, G. (2015, June 8). How PESO makes sense in influencer marketing. </w:t>
      </w:r>
      <w:r w:rsidRPr="005A6213">
        <w:rPr>
          <w:i/>
          <w:sz w:val="22"/>
          <w:szCs w:val="22"/>
        </w:rPr>
        <w:t>PR Week</w:t>
      </w:r>
      <w:r w:rsidRPr="005A6213">
        <w:rPr>
          <w:sz w:val="22"/>
          <w:szCs w:val="22"/>
        </w:rPr>
        <w:t>, Asia edition. Retrieved from http://www.prweek.com/article/1350303/peso-makes-sense-influencer-marketing</w:t>
      </w:r>
    </w:p>
    <w:p w14:paraId="37190CB1" w14:textId="77777777" w:rsidR="00542FD1" w:rsidRPr="005A6213" w:rsidRDefault="00542FD1" w:rsidP="00775827">
      <w:pPr>
        <w:autoSpaceDE w:val="0"/>
        <w:autoSpaceDN w:val="0"/>
        <w:adjustRightInd w:val="0"/>
        <w:ind w:left="284" w:hanging="284"/>
        <w:rPr>
          <w:rStyle w:val="st1"/>
          <w:sz w:val="22"/>
          <w:szCs w:val="22"/>
        </w:rPr>
      </w:pPr>
      <w:r w:rsidRPr="005A6213">
        <w:rPr>
          <w:sz w:val="22"/>
          <w:szCs w:val="22"/>
        </w:rPr>
        <w:t xml:space="preserve">Edelman. (2013). </w:t>
      </w:r>
      <w:r w:rsidRPr="005A6213">
        <w:rPr>
          <w:i/>
          <w:sz w:val="22"/>
          <w:szCs w:val="22"/>
        </w:rPr>
        <w:t>Sponsored content: A broader relationship with the US news media</w:t>
      </w:r>
      <w:r w:rsidRPr="005A6213">
        <w:rPr>
          <w:sz w:val="22"/>
          <w:szCs w:val="22"/>
        </w:rPr>
        <w:t xml:space="preserve">. New York, NY: Author. Retrieved from </w:t>
      </w:r>
      <w:r w:rsidRPr="005A6213">
        <w:rPr>
          <w:bCs/>
          <w:sz w:val="22"/>
          <w:szCs w:val="22"/>
        </w:rPr>
        <w:t>http://www.edelman.com/insights/intellectual-property/sponsored-content-report</w:t>
      </w:r>
      <w:r w:rsidRPr="005A6213">
        <w:rPr>
          <w:rStyle w:val="st1"/>
          <w:sz w:val="22"/>
          <w:szCs w:val="22"/>
        </w:rPr>
        <w:t xml:space="preserve">  </w:t>
      </w:r>
    </w:p>
    <w:p w14:paraId="5708AD61" w14:textId="77777777" w:rsidR="00586A10" w:rsidRPr="005A6213" w:rsidRDefault="00586A10" w:rsidP="00775827">
      <w:pPr>
        <w:ind w:left="284" w:hanging="284"/>
        <w:rPr>
          <w:sz w:val="22"/>
          <w:szCs w:val="22"/>
        </w:rPr>
      </w:pPr>
      <w:r w:rsidRPr="005A6213">
        <w:rPr>
          <w:sz w:val="22"/>
          <w:szCs w:val="22"/>
        </w:rPr>
        <w:t>Edelman. (2015). Edelman Trust Barometer. New York, NY: Author. Retrieved from http://www.edelman.com/insights/intellectual-property/2015-edelman-trust-barometer/trust-around-world</w:t>
      </w:r>
    </w:p>
    <w:p w14:paraId="0D9782E8" w14:textId="77777777" w:rsidR="00C05CE3" w:rsidRPr="005A6213" w:rsidRDefault="00C05CE3" w:rsidP="00775827">
      <w:pPr>
        <w:ind w:left="284" w:hanging="284"/>
        <w:rPr>
          <w:sz w:val="22"/>
          <w:szCs w:val="22"/>
        </w:rPr>
      </w:pPr>
      <w:r w:rsidRPr="005A6213">
        <w:rPr>
          <w:sz w:val="22"/>
          <w:szCs w:val="22"/>
        </w:rPr>
        <w:t xml:space="preserve">E-marketer. (2014, November 24). </w:t>
      </w:r>
      <w:r w:rsidRPr="005A6213">
        <w:rPr>
          <w:sz w:val="22"/>
          <w:szCs w:val="22"/>
          <w:lang w:val="en"/>
        </w:rPr>
        <w:t>Marketers expect healthy native ad spend growth.</w:t>
      </w:r>
      <w:r w:rsidRPr="005A6213">
        <w:rPr>
          <w:sz w:val="22"/>
          <w:szCs w:val="22"/>
        </w:rPr>
        <w:t xml:space="preserve"> Retrieved from http://www.emarketer.com/Article/Marketers-Expect-Healthy-Native-Ad-Spend-Growth/1011620</w:t>
      </w:r>
    </w:p>
    <w:p w14:paraId="5C650330" w14:textId="77777777" w:rsidR="00E86DF7" w:rsidRPr="00321CF3" w:rsidRDefault="00E86DF7" w:rsidP="00775827">
      <w:pPr>
        <w:shd w:val="clear" w:color="auto" w:fill="FFFFFF"/>
        <w:ind w:left="284" w:hanging="284"/>
        <w:outlineLvl w:val="1"/>
        <w:rPr>
          <w:rFonts w:eastAsia="Times New Roman"/>
          <w:bCs/>
          <w:kern w:val="36"/>
          <w:sz w:val="22"/>
          <w:szCs w:val="22"/>
          <w:lang w:val="en" w:eastAsia="en-AU"/>
        </w:rPr>
      </w:pPr>
      <w:proofErr w:type="spellStart"/>
      <w:r w:rsidRPr="005A6213">
        <w:rPr>
          <w:sz w:val="22"/>
          <w:szCs w:val="22"/>
        </w:rPr>
        <w:t>Erjavec</w:t>
      </w:r>
      <w:proofErr w:type="spellEnd"/>
      <w:r w:rsidRPr="005A6213">
        <w:rPr>
          <w:sz w:val="22"/>
          <w:szCs w:val="22"/>
        </w:rPr>
        <w:t xml:space="preserve">, K., &amp; </w:t>
      </w:r>
      <w:proofErr w:type="spellStart"/>
      <w:r w:rsidRPr="005A6213">
        <w:rPr>
          <w:sz w:val="22"/>
          <w:szCs w:val="22"/>
        </w:rPr>
        <w:t>Kovačič</w:t>
      </w:r>
      <w:proofErr w:type="spellEnd"/>
      <w:r w:rsidRPr="005A6213">
        <w:rPr>
          <w:sz w:val="22"/>
          <w:szCs w:val="22"/>
        </w:rPr>
        <w:t>, M.</w:t>
      </w:r>
      <w:r w:rsidRPr="005A6213">
        <w:rPr>
          <w:rFonts w:eastAsia="Times New Roman"/>
          <w:bCs/>
          <w:kern w:val="36"/>
          <w:sz w:val="22"/>
          <w:szCs w:val="22"/>
          <w:lang w:val="en" w:eastAsia="en-AU"/>
        </w:rPr>
        <w:t xml:space="preserve"> (2010). </w:t>
      </w:r>
      <w:r w:rsidRPr="00321CF3">
        <w:rPr>
          <w:rFonts w:eastAsia="Times New Roman"/>
          <w:bCs/>
          <w:kern w:val="36"/>
          <w:sz w:val="22"/>
          <w:szCs w:val="22"/>
          <w:lang w:val="en" w:eastAsia="en-AU"/>
        </w:rPr>
        <w:t>Relations with the media: Who are the main actors in an advertorial production process in Slovenia?</w:t>
      </w:r>
      <w:r w:rsidRPr="005A6213">
        <w:rPr>
          <w:rFonts w:eastAsia="Times New Roman"/>
          <w:bCs/>
          <w:kern w:val="36"/>
          <w:sz w:val="22"/>
          <w:szCs w:val="22"/>
          <w:lang w:val="en" w:eastAsia="en-AU"/>
        </w:rPr>
        <w:t xml:space="preserve"> </w:t>
      </w:r>
      <w:r w:rsidRPr="005A6213">
        <w:rPr>
          <w:i/>
          <w:sz w:val="22"/>
          <w:szCs w:val="22"/>
          <w:lang w:val="en"/>
        </w:rPr>
        <w:t>Journalism</w:t>
      </w:r>
      <w:r w:rsidRPr="005A6213">
        <w:rPr>
          <w:rStyle w:val="slug-pub-date3"/>
          <w:i/>
          <w:sz w:val="22"/>
          <w:szCs w:val="22"/>
          <w:lang w:val="en"/>
        </w:rPr>
        <w:t xml:space="preserve">, </w:t>
      </w:r>
      <w:r w:rsidRPr="005A6213">
        <w:rPr>
          <w:rStyle w:val="slug-vol"/>
          <w:i/>
          <w:sz w:val="22"/>
          <w:szCs w:val="22"/>
          <w:lang w:val="en"/>
        </w:rPr>
        <w:t>11</w:t>
      </w:r>
      <w:r w:rsidRPr="005A6213">
        <w:rPr>
          <w:rStyle w:val="slug-vol"/>
          <w:sz w:val="22"/>
          <w:szCs w:val="22"/>
          <w:lang w:val="en"/>
        </w:rPr>
        <w:t>(</w:t>
      </w:r>
      <w:r w:rsidRPr="005A6213">
        <w:rPr>
          <w:rStyle w:val="slug-issue"/>
          <w:sz w:val="22"/>
          <w:szCs w:val="22"/>
          <w:lang w:val="en"/>
        </w:rPr>
        <w:t xml:space="preserve">1), </w:t>
      </w:r>
      <w:r w:rsidRPr="005A6213">
        <w:rPr>
          <w:rStyle w:val="slug-pages3"/>
          <w:b w:val="0"/>
          <w:sz w:val="22"/>
          <w:szCs w:val="22"/>
          <w:lang w:val="en"/>
        </w:rPr>
        <w:t>91-109.</w:t>
      </w:r>
      <w:r w:rsidRPr="005A6213">
        <w:rPr>
          <w:rStyle w:val="slug-pages3"/>
          <w:sz w:val="22"/>
          <w:szCs w:val="22"/>
          <w:lang w:val="en"/>
        </w:rPr>
        <w:t xml:space="preserve"> </w:t>
      </w:r>
      <w:proofErr w:type="spellStart"/>
      <w:proofErr w:type="gramStart"/>
      <w:r w:rsidRPr="005A6213">
        <w:rPr>
          <w:bCs/>
          <w:sz w:val="22"/>
          <w:szCs w:val="22"/>
          <w:lang w:val="en"/>
        </w:rPr>
        <w:t>doi</w:t>
      </w:r>
      <w:proofErr w:type="spellEnd"/>
      <w:proofErr w:type="gramEnd"/>
      <w:r w:rsidRPr="005A6213">
        <w:rPr>
          <w:bCs/>
          <w:sz w:val="22"/>
          <w:szCs w:val="22"/>
          <w:lang w:val="en"/>
        </w:rPr>
        <w:t xml:space="preserve">: </w:t>
      </w:r>
      <w:r w:rsidRPr="005A6213">
        <w:rPr>
          <w:rStyle w:val="slug-doi"/>
          <w:bCs/>
          <w:sz w:val="22"/>
          <w:szCs w:val="22"/>
          <w:lang w:val="en"/>
        </w:rPr>
        <w:t>10.1177/1464884909349581</w:t>
      </w:r>
    </w:p>
    <w:p w14:paraId="02F03C3B" w14:textId="77777777" w:rsidR="00DB5298" w:rsidRPr="005A6213" w:rsidRDefault="00DB5298" w:rsidP="00775827">
      <w:pPr>
        <w:ind w:left="284" w:hanging="284"/>
        <w:rPr>
          <w:sz w:val="22"/>
          <w:szCs w:val="22"/>
        </w:rPr>
      </w:pPr>
      <w:r w:rsidRPr="005A6213">
        <w:rPr>
          <w:sz w:val="22"/>
          <w:szCs w:val="22"/>
        </w:rPr>
        <w:t>Facebook. (2016). Statistics. Retrieved from http://newsroom.fb.com/company-info</w:t>
      </w:r>
    </w:p>
    <w:p w14:paraId="55435CAE" w14:textId="77777777" w:rsidR="000A248C" w:rsidRPr="005A6213" w:rsidRDefault="000A248C" w:rsidP="00775827">
      <w:pPr>
        <w:ind w:left="284" w:hanging="284"/>
        <w:rPr>
          <w:rStyle w:val="st1"/>
          <w:sz w:val="22"/>
          <w:szCs w:val="22"/>
        </w:rPr>
      </w:pPr>
      <w:r w:rsidRPr="005A6213">
        <w:rPr>
          <w:rStyle w:val="st1"/>
          <w:sz w:val="22"/>
          <w:szCs w:val="22"/>
        </w:rPr>
        <w:t>Fairfax Media. (2016). Brand discover. Ad Centre. Sydney, NSW: Author. Retrieved from http://www.adcentre.com.au/solutions/brand-discover</w:t>
      </w:r>
    </w:p>
    <w:p w14:paraId="077708E4" w14:textId="6B169D2D" w:rsidR="000C0833" w:rsidRPr="005A6213" w:rsidRDefault="000C0833" w:rsidP="00775827">
      <w:pPr>
        <w:ind w:left="284" w:hanging="284"/>
        <w:rPr>
          <w:rStyle w:val="st1"/>
          <w:sz w:val="22"/>
          <w:szCs w:val="22"/>
        </w:rPr>
      </w:pPr>
      <w:r w:rsidRPr="005A6213">
        <w:rPr>
          <w:rStyle w:val="st1"/>
          <w:sz w:val="22"/>
          <w:szCs w:val="22"/>
        </w:rPr>
        <w:t xml:space="preserve">Fawkes, J. (2012). Interpreting ethics: Public relations and strong hermeneutics. </w:t>
      </w:r>
      <w:r w:rsidRPr="005A6213">
        <w:rPr>
          <w:rStyle w:val="st1"/>
          <w:i/>
          <w:sz w:val="22"/>
          <w:szCs w:val="22"/>
        </w:rPr>
        <w:t>Public Relations Inquiry</w:t>
      </w:r>
      <w:r w:rsidRPr="005A6213">
        <w:rPr>
          <w:rStyle w:val="st1"/>
          <w:sz w:val="22"/>
          <w:szCs w:val="22"/>
        </w:rPr>
        <w:t xml:space="preserve">, </w:t>
      </w:r>
      <w:r w:rsidRPr="005A6213">
        <w:rPr>
          <w:rStyle w:val="st1"/>
          <w:i/>
          <w:sz w:val="22"/>
          <w:szCs w:val="22"/>
        </w:rPr>
        <w:t>1</w:t>
      </w:r>
      <w:r w:rsidRPr="005A6213">
        <w:rPr>
          <w:rStyle w:val="st1"/>
          <w:sz w:val="22"/>
          <w:szCs w:val="22"/>
        </w:rPr>
        <w:t>(2), 117–140.</w:t>
      </w:r>
      <w:r w:rsidR="008D4704" w:rsidRPr="005A6213">
        <w:rPr>
          <w:rStyle w:val="st1"/>
          <w:sz w:val="22"/>
          <w:szCs w:val="22"/>
        </w:rPr>
        <w:t xml:space="preserve"> </w:t>
      </w:r>
      <w:r w:rsidR="008D4704" w:rsidRPr="005A6213">
        <w:rPr>
          <w:sz w:val="22"/>
          <w:szCs w:val="22"/>
        </w:rPr>
        <w:t>doi.org/10.1177/2046147X12437023</w:t>
      </w:r>
    </w:p>
    <w:p w14:paraId="1447505D" w14:textId="4601A270" w:rsidR="000A248C" w:rsidRPr="005A6213" w:rsidRDefault="000A248C" w:rsidP="00775827">
      <w:pPr>
        <w:ind w:left="284" w:hanging="284"/>
        <w:rPr>
          <w:sz w:val="22"/>
          <w:szCs w:val="22"/>
        </w:rPr>
      </w:pPr>
      <w:proofErr w:type="spellStart"/>
      <w:r w:rsidRPr="005A6213">
        <w:rPr>
          <w:rStyle w:val="st1"/>
          <w:sz w:val="22"/>
          <w:szCs w:val="22"/>
        </w:rPr>
        <w:t>Friestad</w:t>
      </w:r>
      <w:proofErr w:type="spellEnd"/>
      <w:r w:rsidRPr="005A6213">
        <w:rPr>
          <w:rStyle w:val="st1"/>
          <w:sz w:val="22"/>
          <w:szCs w:val="22"/>
        </w:rPr>
        <w:t xml:space="preserve">, M., &amp; Wright, P. (1994). The persuasion knowledge model: How people cope with persuasion attempts. </w:t>
      </w:r>
      <w:r w:rsidRPr="005A6213">
        <w:rPr>
          <w:rStyle w:val="st1"/>
          <w:i/>
          <w:sz w:val="22"/>
          <w:szCs w:val="22"/>
        </w:rPr>
        <w:t>Journal of Consumer Research</w:t>
      </w:r>
      <w:r w:rsidRPr="005A6213">
        <w:rPr>
          <w:rStyle w:val="st1"/>
          <w:sz w:val="22"/>
          <w:szCs w:val="22"/>
        </w:rPr>
        <w:t>, 21(1), 1–31.</w:t>
      </w:r>
      <w:r w:rsidR="008D4704" w:rsidRPr="005A6213">
        <w:rPr>
          <w:rStyle w:val="st1"/>
          <w:sz w:val="22"/>
          <w:szCs w:val="22"/>
        </w:rPr>
        <w:t xml:space="preserve"> </w:t>
      </w:r>
      <w:r w:rsidR="008D4704" w:rsidRPr="005A6213">
        <w:rPr>
          <w:sz w:val="22"/>
          <w:szCs w:val="22"/>
        </w:rPr>
        <w:t>doi.org/10.1086/209380</w:t>
      </w:r>
    </w:p>
    <w:p w14:paraId="0EE2BF67" w14:textId="77777777" w:rsidR="00616D89" w:rsidRPr="005A6213" w:rsidRDefault="00616D89" w:rsidP="00775827">
      <w:pPr>
        <w:autoSpaceDE w:val="0"/>
        <w:autoSpaceDN w:val="0"/>
        <w:adjustRightInd w:val="0"/>
        <w:ind w:left="284" w:hanging="284"/>
        <w:rPr>
          <w:sz w:val="22"/>
          <w:szCs w:val="22"/>
        </w:rPr>
      </w:pPr>
      <w:r w:rsidRPr="005A6213">
        <w:rPr>
          <w:sz w:val="22"/>
          <w:szCs w:val="22"/>
        </w:rPr>
        <w:t xml:space="preserve">Glick, J., &amp; </w:t>
      </w:r>
      <w:proofErr w:type="spellStart"/>
      <w:r w:rsidRPr="005A6213">
        <w:rPr>
          <w:sz w:val="22"/>
          <w:szCs w:val="22"/>
        </w:rPr>
        <w:t>Neckes</w:t>
      </w:r>
      <w:proofErr w:type="spellEnd"/>
      <w:r w:rsidRPr="005A6213">
        <w:rPr>
          <w:sz w:val="22"/>
          <w:szCs w:val="22"/>
        </w:rPr>
        <w:t xml:space="preserve">, J. (2013, September 22). Native advertising 101: Understanding the native continuum. </w:t>
      </w:r>
      <w:proofErr w:type="spellStart"/>
      <w:r w:rsidRPr="005A6213">
        <w:rPr>
          <w:i/>
          <w:sz w:val="22"/>
          <w:szCs w:val="22"/>
        </w:rPr>
        <w:t>Gigaom</w:t>
      </w:r>
      <w:proofErr w:type="spellEnd"/>
      <w:r w:rsidRPr="005A6213">
        <w:rPr>
          <w:sz w:val="22"/>
          <w:szCs w:val="22"/>
        </w:rPr>
        <w:t>, Roadmap [Web blog</w:t>
      </w:r>
      <w:r w:rsidR="00AB7182" w:rsidRPr="005A6213">
        <w:rPr>
          <w:sz w:val="22"/>
          <w:szCs w:val="22"/>
        </w:rPr>
        <w:t xml:space="preserve"> post</w:t>
      </w:r>
      <w:r w:rsidRPr="005A6213">
        <w:rPr>
          <w:sz w:val="22"/>
          <w:szCs w:val="22"/>
        </w:rPr>
        <w:t>]. Retrieved from http://paidcontent.org/2013/09/22/native-advertising-101-understanding-the-native-continuum</w:t>
      </w:r>
    </w:p>
    <w:p w14:paraId="56483074" w14:textId="677C5A10" w:rsidR="004971C4" w:rsidRPr="005A6213" w:rsidRDefault="004971C4" w:rsidP="00775827">
      <w:pPr>
        <w:pStyle w:val="NormalWeb"/>
        <w:spacing w:before="0" w:beforeAutospacing="0" w:after="0" w:afterAutospacing="0"/>
        <w:ind w:left="284" w:hanging="284"/>
        <w:rPr>
          <w:sz w:val="22"/>
          <w:szCs w:val="22"/>
        </w:rPr>
      </w:pPr>
      <w:r w:rsidRPr="005A6213">
        <w:rPr>
          <w:sz w:val="22"/>
          <w:szCs w:val="22"/>
        </w:rPr>
        <w:lastRenderedPageBreak/>
        <w:t xml:space="preserve">Gupta, P., &amp; Lord, K. (1998). Product placement in movies: The effect of prominence and mode on audience recall. </w:t>
      </w:r>
      <w:r w:rsidRPr="005A6213">
        <w:rPr>
          <w:i/>
          <w:sz w:val="22"/>
          <w:szCs w:val="22"/>
        </w:rPr>
        <w:t>Journal of Current Issues in Advertising</w:t>
      </w:r>
      <w:r w:rsidRPr="005A6213">
        <w:rPr>
          <w:sz w:val="22"/>
          <w:szCs w:val="22"/>
        </w:rPr>
        <w:t>,</w:t>
      </w:r>
      <w:r w:rsidRPr="005A6213">
        <w:rPr>
          <w:i/>
          <w:sz w:val="22"/>
          <w:szCs w:val="22"/>
        </w:rPr>
        <w:t xml:space="preserve"> 20</w:t>
      </w:r>
      <w:r w:rsidRPr="005A6213">
        <w:rPr>
          <w:sz w:val="22"/>
          <w:szCs w:val="22"/>
        </w:rPr>
        <w:t>(1), 47–59.</w:t>
      </w:r>
      <w:r w:rsidR="008D4704" w:rsidRPr="005A6213">
        <w:rPr>
          <w:sz w:val="22"/>
          <w:szCs w:val="22"/>
        </w:rPr>
        <w:t xml:space="preserve"> doi.org/10.1080/10641734.1998.10505076</w:t>
      </w:r>
    </w:p>
    <w:p w14:paraId="2BD58E10" w14:textId="77777777" w:rsidR="007B38AE" w:rsidRPr="005A6213" w:rsidRDefault="007B38AE" w:rsidP="00775827">
      <w:pPr>
        <w:ind w:left="284" w:hanging="284"/>
        <w:rPr>
          <w:sz w:val="22"/>
          <w:szCs w:val="22"/>
        </w:rPr>
      </w:pPr>
      <w:r w:rsidRPr="005A6213">
        <w:rPr>
          <w:bCs/>
          <w:sz w:val="22"/>
          <w:szCs w:val="22"/>
          <w:lang w:val="en-GB"/>
        </w:rPr>
        <w:t xml:space="preserve">Hallahan, K. (2014). </w:t>
      </w:r>
      <w:r w:rsidRPr="005A6213">
        <w:rPr>
          <w:sz w:val="22"/>
          <w:szCs w:val="22"/>
          <w:lang w:val="en-GB"/>
        </w:rPr>
        <w:t>Publicity under siege: A critical comparison and analysis of content marketing, brand journalism, native advertising and user-generated content as challenges to professional practice and transparency. In Y. Ji, J. Liu</w:t>
      </w:r>
      <w:r w:rsidR="00370F1E" w:rsidRPr="005A6213">
        <w:rPr>
          <w:sz w:val="22"/>
          <w:szCs w:val="22"/>
          <w:lang w:val="en-GB"/>
        </w:rPr>
        <w:t>,</w:t>
      </w:r>
      <w:r w:rsidRPr="005A6213">
        <w:rPr>
          <w:sz w:val="22"/>
          <w:szCs w:val="22"/>
          <w:lang w:val="en-GB"/>
        </w:rPr>
        <w:t xml:space="preserve"> &amp; Z. Li (Eds.),</w:t>
      </w:r>
      <w:r w:rsidR="00370F1E" w:rsidRPr="005A6213">
        <w:rPr>
          <w:sz w:val="22"/>
          <w:szCs w:val="22"/>
          <w:lang w:val="en-GB"/>
        </w:rPr>
        <w:t xml:space="preserve"> </w:t>
      </w:r>
      <w:r w:rsidRPr="005A6213">
        <w:rPr>
          <w:i/>
          <w:iCs/>
          <w:sz w:val="22"/>
          <w:szCs w:val="22"/>
          <w:lang w:val="en-GB"/>
        </w:rPr>
        <w:t>Public relations in a more transparent age</w:t>
      </w:r>
      <w:r w:rsidR="00370F1E" w:rsidRPr="005A6213">
        <w:rPr>
          <w:sz w:val="22"/>
          <w:szCs w:val="22"/>
          <w:lang w:val="en-GB"/>
        </w:rPr>
        <w:t>:</w:t>
      </w:r>
      <w:r w:rsidRPr="005A6213">
        <w:rPr>
          <w:sz w:val="22"/>
          <w:szCs w:val="22"/>
          <w:lang w:val="en-GB"/>
        </w:rPr>
        <w:t xml:space="preserve"> </w:t>
      </w:r>
      <w:r w:rsidR="00370F1E" w:rsidRPr="005A6213">
        <w:rPr>
          <w:i/>
          <w:iCs/>
          <w:sz w:val="22"/>
          <w:szCs w:val="22"/>
          <w:lang w:val="en-GB"/>
        </w:rPr>
        <w:t>17th international public relations research c</w:t>
      </w:r>
      <w:r w:rsidRPr="005A6213">
        <w:rPr>
          <w:i/>
          <w:iCs/>
          <w:sz w:val="22"/>
          <w:szCs w:val="22"/>
          <w:lang w:val="en-GB"/>
        </w:rPr>
        <w:t xml:space="preserve">onference </w:t>
      </w:r>
      <w:r w:rsidRPr="005A6213">
        <w:rPr>
          <w:sz w:val="22"/>
          <w:szCs w:val="22"/>
          <w:lang w:val="en-GB"/>
        </w:rPr>
        <w:t>(pp. 391–</w:t>
      </w:r>
      <w:r w:rsidR="00370F1E" w:rsidRPr="005A6213">
        <w:rPr>
          <w:sz w:val="22"/>
          <w:szCs w:val="22"/>
          <w:lang w:val="en-GB"/>
        </w:rPr>
        <w:t>437). Miami, FL</w:t>
      </w:r>
      <w:r w:rsidRPr="005A6213">
        <w:rPr>
          <w:sz w:val="22"/>
          <w:szCs w:val="22"/>
          <w:lang w:val="en-GB"/>
        </w:rPr>
        <w:t>.</w:t>
      </w:r>
    </w:p>
    <w:p w14:paraId="00A28A65" w14:textId="0801C959" w:rsidR="0090234B" w:rsidRPr="005A6213" w:rsidRDefault="0090234B" w:rsidP="00775827">
      <w:pPr>
        <w:ind w:left="284" w:hanging="284"/>
        <w:rPr>
          <w:bCs/>
          <w:sz w:val="22"/>
          <w:szCs w:val="22"/>
          <w:lang w:val="en-US"/>
        </w:rPr>
      </w:pPr>
      <w:r w:rsidRPr="005A6213">
        <w:rPr>
          <w:bCs/>
          <w:sz w:val="22"/>
          <w:szCs w:val="22"/>
          <w:lang w:val="en-US"/>
        </w:rPr>
        <w:t xml:space="preserve">Howe, P., &amp; </w:t>
      </w:r>
      <w:proofErr w:type="spellStart"/>
      <w:r w:rsidRPr="005A6213">
        <w:rPr>
          <w:bCs/>
          <w:sz w:val="22"/>
          <w:szCs w:val="22"/>
          <w:lang w:val="en-US"/>
        </w:rPr>
        <w:t>Teufel</w:t>
      </w:r>
      <w:proofErr w:type="spellEnd"/>
      <w:r w:rsidRPr="005A6213">
        <w:rPr>
          <w:bCs/>
          <w:sz w:val="22"/>
          <w:szCs w:val="22"/>
          <w:lang w:val="en-US"/>
        </w:rPr>
        <w:t xml:space="preserve">, B. (2014). Native advertising and digital natives: The effects of age and advertisement format on news website credibility judgments. </w:t>
      </w:r>
      <w:r w:rsidRPr="005A6213">
        <w:rPr>
          <w:bCs/>
          <w:i/>
          <w:sz w:val="22"/>
          <w:szCs w:val="22"/>
          <w:lang w:val="en-US"/>
        </w:rPr>
        <w:t>#ISOJ Journal, 4</w:t>
      </w:r>
      <w:r w:rsidRPr="005A6213">
        <w:rPr>
          <w:bCs/>
          <w:sz w:val="22"/>
          <w:szCs w:val="22"/>
          <w:lang w:val="en-US"/>
        </w:rPr>
        <w:t>(1), 78–90.</w:t>
      </w:r>
    </w:p>
    <w:p w14:paraId="7A94982D" w14:textId="0502F9FD" w:rsidR="00E46A83" w:rsidRDefault="00E46A83" w:rsidP="00775827">
      <w:pPr>
        <w:ind w:left="284" w:hanging="284"/>
        <w:rPr>
          <w:bCs/>
          <w:sz w:val="22"/>
          <w:szCs w:val="22"/>
          <w:lang w:val="en-US"/>
        </w:rPr>
      </w:pPr>
      <w:proofErr w:type="spellStart"/>
      <w:r>
        <w:rPr>
          <w:bCs/>
          <w:sz w:val="22"/>
          <w:szCs w:val="22"/>
          <w:lang w:val="en-US"/>
        </w:rPr>
        <w:t>Ikonen</w:t>
      </w:r>
      <w:proofErr w:type="spellEnd"/>
      <w:r>
        <w:rPr>
          <w:bCs/>
          <w:sz w:val="22"/>
          <w:szCs w:val="22"/>
          <w:lang w:val="en-US"/>
        </w:rPr>
        <w:t xml:space="preserve">, P. (2015). Codes of ethics in the age of online sponsored content. (Unpublished </w:t>
      </w:r>
      <w:proofErr w:type="spellStart"/>
      <w:proofErr w:type="gramStart"/>
      <w:r>
        <w:rPr>
          <w:bCs/>
          <w:sz w:val="22"/>
          <w:szCs w:val="22"/>
          <w:lang w:val="en-US"/>
        </w:rPr>
        <w:t>masters</w:t>
      </w:r>
      <w:proofErr w:type="spellEnd"/>
      <w:proofErr w:type="gramEnd"/>
      <w:r>
        <w:rPr>
          <w:bCs/>
          <w:sz w:val="22"/>
          <w:szCs w:val="22"/>
          <w:lang w:val="en-US"/>
        </w:rPr>
        <w:t xml:space="preserve"> thesis). University of </w:t>
      </w:r>
      <w:proofErr w:type="spellStart"/>
      <w:r>
        <w:rPr>
          <w:bCs/>
          <w:sz w:val="22"/>
          <w:szCs w:val="22"/>
          <w:lang w:val="en-US"/>
        </w:rPr>
        <w:t>Jyväskylä</w:t>
      </w:r>
      <w:proofErr w:type="spellEnd"/>
      <w:r>
        <w:rPr>
          <w:bCs/>
          <w:sz w:val="22"/>
          <w:szCs w:val="22"/>
          <w:lang w:val="en-US"/>
        </w:rPr>
        <w:t xml:space="preserve">, Finland. Retrieved from </w:t>
      </w:r>
      <w:r w:rsidRPr="00E46A83">
        <w:rPr>
          <w:bCs/>
          <w:sz w:val="22"/>
          <w:szCs w:val="22"/>
          <w:lang w:val="en-US"/>
        </w:rPr>
        <w:t>https://jyx.jyu.fi/dspace/bitstream/handle/123456789/46653/URN%3ANBN%3Afi%3Ajyu-201508192706.pdf?sequence=1</w:t>
      </w:r>
    </w:p>
    <w:p w14:paraId="3AB7C5C4" w14:textId="319EEA30" w:rsidR="007B38AE" w:rsidRPr="005A6213" w:rsidRDefault="007B38AE" w:rsidP="00775827">
      <w:pPr>
        <w:ind w:left="284" w:hanging="284"/>
        <w:rPr>
          <w:sz w:val="22"/>
          <w:szCs w:val="22"/>
        </w:rPr>
      </w:pPr>
      <w:r w:rsidRPr="005A6213">
        <w:rPr>
          <w:bCs/>
          <w:sz w:val="22"/>
          <w:szCs w:val="22"/>
          <w:lang w:val="en-US"/>
        </w:rPr>
        <w:t xml:space="preserve">Kent, M. (2013). </w:t>
      </w:r>
      <w:r w:rsidRPr="005A6213">
        <w:rPr>
          <w:sz w:val="22"/>
          <w:szCs w:val="22"/>
          <w:lang w:val="en-US"/>
        </w:rPr>
        <w:t xml:space="preserve">Using social media dialogically: Public relations role in reviving democracy. </w:t>
      </w:r>
      <w:r w:rsidRPr="005A6213">
        <w:rPr>
          <w:i/>
          <w:iCs/>
          <w:sz w:val="22"/>
          <w:szCs w:val="22"/>
          <w:lang w:val="en-US"/>
        </w:rPr>
        <w:t>Public Relations Review</w:t>
      </w:r>
      <w:r w:rsidRPr="005A6213">
        <w:rPr>
          <w:sz w:val="22"/>
          <w:szCs w:val="22"/>
          <w:lang w:val="en-US"/>
        </w:rPr>
        <w:t xml:space="preserve">, </w:t>
      </w:r>
      <w:r w:rsidRPr="005A6213">
        <w:rPr>
          <w:i/>
          <w:iCs/>
          <w:sz w:val="22"/>
          <w:szCs w:val="22"/>
          <w:lang w:val="en-US"/>
        </w:rPr>
        <w:t>39</w:t>
      </w:r>
      <w:r w:rsidRPr="005A6213">
        <w:rPr>
          <w:sz w:val="22"/>
          <w:szCs w:val="22"/>
          <w:lang w:val="en-US"/>
        </w:rPr>
        <w:t>(4), 337</w:t>
      </w:r>
      <w:r w:rsidRPr="005A6213">
        <w:rPr>
          <w:sz w:val="22"/>
          <w:szCs w:val="22"/>
          <w:lang w:val="en-GB"/>
        </w:rPr>
        <w:t>–</w:t>
      </w:r>
      <w:r w:rsidRPr="005A6213">
        <w:rPr>
          <w:sz w:val="22"/>
          <w:szCs w:val="22"/>
          <w:lang w:val="en-US"/>
        </w:rPr>
        <w:t>345.</w:t>
      </w:r>
      <w:r w:rsidR="008D4704" w:rsidRPr="005A6213">
        <w:rPr>
          <w:sz w:val="22"/>
          <w:szCs w:val="22"/>
          <w:lang w:val="en-US"/>
        </w:rPr>
        <w:t xml:space="preserve"> </w:t>
      </w:r>
      <w:r w:rsidR="008D4704" w:rsidRPr="005A6213">
        <w:rPr>
          <w:sz w:val="22"/>
          <w:szCs w:val="22"/>
        </w:rPr>
        <w:t>doi.org/10.1016/j.pubrev.2013.07.024</w:t>
      </w:r>
    </w:p>
    <w:p w14:paraId="372AD4C2" w14:textId="545D52D0" w:rsidR="007B38AE" w:rsidRPr="005A6213" w:rsidRDefault="007B38AE" w:rsidP="00775827">
      <w:pPr>
        <w:ind w:left="284" w:hanging="284"/>
        <w:rPr>
          <w:sz w:val="22"/>
          <w:szCs w:val="22"/>
        </w:rPr>
      </w:pPr>
      <w:r w:rsidRPr="005A6213">
        <w:rPr>
          <w:bCs/>
          <w:sz w:val="22"/>
          <w:szCs w:val="22"/>
          <w:lang w:val="en-US"/>
        </w:rPr>
        <w:t xml:space="preserve">Kent, M., &amp; Taylor, M. (2002). </w:t>
      </w:r>
      <w:r w:rsidRPr="005A6213">
        <w:rPr>
          <w:sz w:val="22"/>
          <w:szCs w:val="22"/>
          <w:lang w:val="en-US"/>
        </w:rPr>
        <w:t xml:space="preserve">Toward a dialogic theory of public relations. </w:t>
      </w:r>
      <w:r w:rsidRPr="005A6213">
        <w:rPr>
          <w:i/>
          <w:iCs/>
          <w:sz w:val="22"/>
          <w:szCs w:val="22"/>
          <w:lang w:val="en-US"/>
        </w:rPr>
        <w:t>Public Relations Review</w:t>
      </w:r>
      <w:r w:rsidRPr="005A6213">
        <w:rPr>
          <w:sz w:val="22"/>
          <w:szCs w:val="22"/>
          <w:lang w:val="en-US"/>
        </w:rPr>
        <w:t xml:space="preserve">, </w:t>
      </w:r>
      <w:r w:rsidRPr="005A6213">
        <w:rPr>
          <w:i/>
          <w:iCs/>
          <w:sz w:val="22"/>
          <w:szCs w:val="22"/>
          <w:lang w:val="en-US"/>
        </w:rPr>
        <w:t>28</w:t>
      </w:r>
      <w:r w:rsidRPr="005A6213">
        <w:rPr>
          <w:sz w:val="22"/>
          <w:szCs w:val="22"/>
          <w:lang w:val="en-US"/>
        </w:rPr>
        <w:t>(1), 21</w:t>
      </w:r>
      <w:r w:rsidRPr="005A6213">
        <w:rPr>
          <w:sz w:val="22"/>
          <w:szCs w:val="22"/>
          <w:lang w:val="en-GB"/>
        </w:rPr>
        <w:t>–</w:t>
      </w:r>
      <w:r w:rsidRPr="005A6213">
        <w:rPr>
          <w:sz w:val="22"/>
          <w:szCs w:val="22"/>
          <w:lang w:val="en-US"/>
        </w:rPr>
        <w:t>37.</w:t>
      </w:r>
      <w:r w:rsidR="008D4704" w:rsidRPr="005A6213">
        <w:rPr>
          <w:sz w:val="22"/>
          <w:szCs w:val="22"/>
          <w:lang w:val="en-US"/>
        </w:rPr>
        <w:t xml:space="preserve"> </w:t>
      </w:r>
      <w:r w:rsidR="008D4704" w:rsidRPr="005A6213">
        <w:rPr>
          <w:sz w:val="22"/>
          <w:szCs w:val="22"/>
        </w:rPr>
        <w:t>doi.org/10.1016/S0363-</w:t>
      </w:r>
      <w:proofErr w:type="gramStart"/>
      <w:r w:rsidR="008D4704" w:rsidRPr="005A6213">
        <w:rPr>
          <w:sz w:val="22"/>
          <w:szCs w:val="22"/>
        </w:rPr>
        <w:t>8111(</w:t>
      </w:r>
      <w:proofErr w:type="gramEnd"/>
      <w:r w:rsidR="008D4704" w:rsidRPr="005A6213">
        <w:rPr>
          <w:sz w:val="22"/>
          <w:szCs w:val="22"/>
        </w:rPr>
        <w:t>02)00108-X</w:t>
      </w:r>
    </w:p>
    <w:p w14:paraId="263514BE" w14:textId="49E370A7" w:rsidR="00EB2C6E" w:rsidRPr="005A6213" w:rsidRDefault="00EB2C6E" w:rsidP="00775827">
      <w:pPr>
        <w:ind w:left="284" w:hanging="284"/>
        <w:rPr>
          <w:sz w:val="22"/>
          <w:szCs w:val="22"/>
        </w:rPr>
      </w:pPr>
      <w:r w:rsidRPr="005A6213">
        <w:rPr>
          <w:sz w:val="22"/>
          <w:szCs w:val="22"/>
        </w:rPr>
        <w:t xml:space="preserve">Kim, B., </w:t>
      </w:r>
      <w:proofErr w:type="spellStart"/>
      <w:r w:rsidRPr="005A6213">
        <w:rPr>
          <w:sz w:val="22"/>
          <w:szCs w:val="22"/>
        </w:rPr>
        <w:t>Pasadeos</w:t>
      </w:r>
      <w:proofErr w:type="spellEnd"/>
      <w:r w:rsidRPr="005A6213">
        <w:rPr>
          <w:sz w:val="22"/>
          <w:szCs w:val="22"/>
        </w:rPr>
        <w:t xml:space="preserve">, Y., &amp; </w:t>
      </w:r>
      <w:proofErr w:type="spellStart"/>
      <w:r w:rsidRPr="005A6213">
        <w:rPr>
          <w:sz w:val="22"/>
          <w:szCs w:val="22"/>
        </w:rPr>
        <w:t>Barban</w:t>
      </w:r>
      <w:proofErr w:type="spellEnd"/>
      <w:r w:rsidRPr="005A6213">
        <w:rPr>
          <w:sz w:val="22"/>
          <w:szCs w:val="22"/>
        </w:rPr>
        <w:t xml:space="preserve">, A. (2001). On the deceptive effectiveness of labelled and unlabelled advertorial formats. </w:t>
      </w:r>
      <w:r w:rsidRPr="005A6213">
        <w:rPr>
          <w:i/>
          <w:sz w:val="22"/>
          <w:szCs w:val="22"/>
        </w:rPr>
        <w:t>Mass Communication &amp; Society, 4</w:t>
      </w:r>
      <w:r w:rsidRPr="005A6213">
        <w:rPr>
          <w:sz w:val="22"/>
          <w:szCs w:val="22"/>
        </w:rPr>
        <w:t>(3), 265–281.</w:t>
      </w:r>
    </w:p>
    <w:p w14:paraId="0130E72E" w14:textId="5D697D03" w:rsidR="00616D89" w:rsidRPr="005A6213" w:rsidRDefault="00616D89" w:rsidP="00775827">
      <w:pPr>
        <w:ind w:left="284" w:hanging="284"/>
        <w:rPr>
          <w:sz w:val="22"/>
          <w:szCs w:val="22"/>
        </w:rPr>
      </w:pPr>
      <w:proofErr w:type="spellStart"/>
      <w:r w:rsidRPr="005A6213">
        <w:rPr>
          <w:sz w:val="22"/>
          <w:szCs w:val="22"/>
        </w:rPr>
        <w:t>Kokemuller</w:t>
      </w:r>
      <w:proofErr w:type="spellEnd"/>
      <w:r w:rsidRPr="005A6213">
        <w:rPr>
          <w:sz w:val="22"/>
          <w:szCs w:val="22"/>
        </w:rPr>
        <w:t xml:space="preserve">, N. (2013). Concept of embedded marketing and product placement. </w:t>
      </w:r>
      <w:r w:rsidRPr="005A6213">
        <w:rPr>
          <w:i/>
          <w:iCs/>
          <w:sz w:val="22"/>
          <w:szCs w:val="22"/>
        </w:rPr>
        <w:t>Chron.com</w:t>
      </w:r>
      <w:r w:rsidRPr="005A6213">
        <w:rPr>
          <w:sz w:val="22"/>
          <w:szCs w:val="22"/>
        </w:rPr>
        <w:t xml:space="preserve">, Small Business. Retrieved from </w:t>
      </w:r>
      <w:r w:rsidRPr="005A6213">
        <w:rPr>
          <w:bCs/>
          <w:sz w:val="22"/>
          <w:szCs w:val="22"/>
        </w:rPr>
        <w:t>http://smallbusiness.chron.com/concept-embedded-marketing-product-placement-20278.html</w:t>
      </w:r>
    </w:p>
    <w:p w14:paraId="4C2174E0" w14:textId="52402441" w:rsidR="000A248C" w:rsidRPr="005A6213" w:rsidRDefault="000A248C" w:rsidP="00775827">
      <w:pPr>
        <w:ind w:left="284" w:hanging="284"/>
        <w:rPr>
          <w:rFonts w:eastAsia="Times New Roman"/>
          <w:sz w:val="22"/>
          <w:szCs w:val="22"/>
          <w:lang w:eastAsia="en-AU"/>
        </w:rPr>
      </w:pPr>
      <w:r w:rsidRPr="005A6213">
        <w:rPr>
          <w:rFonts w:eastAsia="Times New Roman"/>
          <w:sz w:val="22"/>
          <w:szCs w:val="22"/>
          <w:lang w:eastAsia="en-AU"/>
        </w:rPr>
        <w:t xml:space="preserve">Kuhn, K., Hume, M., &amp; Love, A. (2010). Examining the covert nature of product placement: Implications for public policy. </w:t>
      </w:r>
      <w:r w:rsidRPr="005A6213">
        <w:rPr>
          <w:rFonts w:eastAsia="Times New Roman"/>
          <w:i/>
          <w:sz w:val="22"/>
          <w:szCs w:val="22"/>
          <w:lang w:eastAsia="en-AU"/>
        </w:rPr>
        <w:t>Journal of Promotion Management</w:t>
      </w:r>
      <w:r w:rsidRPr="005A6213">
        <w:rPr>
          <w:rFonts w:eastAsia="Times New Roman"/>
          <w:sz w:val="22"/>
          <w:szCs w:val="22"/>
          <w:lang w:eastAsia="en-AU"/>
        </w:rPr>
        <w:t xml:space="preserve">, </w:t>
      </w:r>
      <w:r w:rsidRPr="005A6213">
        <w:rPr>
          <w:rFonts w:eastAsia="Times New Roman"/>
          <w:i/>
          <w:sz w:val="22"/>
          <w:szCs w:val="22"/>
          <w:lang w:eastAsia="en-AU"/>
        </w:rPr>
        <w:t>16</w:t>
      </w:r>
      <w:r w:rsidRPr="005A6213">
        <w:rPr>
          <w:rFonts w:eastAsia="Times New Roman"/>
          <w:sz w:val="22"/>
          <w:szCs w:val="22"/>
          <w:lang w:eastAsia="en-AU"/>
        </w:rPr>
        <w:t xml:space="preserve">(1–2), 59–70. </w:t>
      </w:r>
      <w:r w:rsidR="008D4704" w:rsidRPr="005A6213">
        <w:rPr>
          <w:sz w:val="22"/>
          <w:szCs w:val="22"/>
        </w:rPr>
        <w:t>doi.org/10.1080/10496490903572983</w:t>
      </w:r>
    </w:p>
    <w:p w14:paraId="5DB49BEC" w14:textId="0DC68409" w:rsidR="00B95064" w:rsidRPr="00B95064" w:rsidRDefault="00B95064" w:rsidP="00775827">
      <w:pPr>
        <w:ind w:left="284" w:hanging="284"/>
        <w:rPr>
          <w:i/>
          <w:iCs/>
          <w:sz w:val="22"/>
          <w:szCs w:val="22"/>
        </w:rPr>
      </w:pPr>
      <w:proofErr w:type="spellStart"/>
      <w:r w:rsidRPr="00B95064">
        <w:rPr>
          <w:sz w:val="22"/>
          <w:szCs w:val="22"/>
        </w:rPr>
        <w:t>Löwgren</w:t>
      </w:r>
      <w:proofErr w:type="spellEnd"/>
      <w:r w:rsidRPr="00B95064">
        <w:rPr>
          <w:sz w:val="22"/>
          <w:szCs w:val="22"/>
        </w:rPr>
        <w:t>, J.</w:t>
      </w:r>
      <w:r>
        <w:rPr>
          <w:sz w:val="22"/>
          <w:szCs w:val="22"/>
        </w:rPr>
        <w:t xml:space="preserve">, &amp; </w:t>
      </w:r>
      <w:r w:rsidRPr="00B95064">
        <w:rPr>
          <w:sz w:val="22"/>
          <w:szCs w:val="22"/>
        </w:rPr>
        <w:t xml:space="preserve">Reimer, </w:t>
      </w:r>
      <w:r>
        <w:rPr>
          <w:sz w:val="22"/>
          <w:szCs w:val="22"/>
        </w:rPr>
        <w:t xml:space="preserve">B. (2013). </w:t>
      </w:r>
      <w:r w:rsidRPr="00B95064">
        <w:rPr>
          <w:i/>
          <w:iCs/>
          <w:sz w:val="22"/>
          <w:szCs w:val="22"/>
        </w:rPr>
        <w:t>Collaborative media: Production, consumption and design</w:t>
      </w:r>
      <w:r>
        <w:rPr>
          <w:i/>
          <w:iCs/>
          <w:sz w:val="22"/>
          <w:szCs w:val="22"/>
        </w:rPr>
        <w:t xml:space="preserve"> </w:t>
      </w:r>
      <w:r w:rsidRPr="00B95064">
        <w:rPr>
          <w:i/>
          <w:iCs/>
          <w:sz w:val="22"/>
          <w:szCs w:val="22"/>
        </w:rPr>
        <w:t>interventions</w:t>
      </w:r>
      <w:r>
        <w:rPr>
          <w:sz w:val="22"/>
          <w:szCs w:val="22"/>
        </w:rPr>
        <w:t>.</w:t>
      </w:r>
      <w:r w:rsidRPr="00B95064">
        <w:rPr>
          <w:sz w:val="22"/>
          <w:szCs w:val="22"/>
        </w:rPr>
        <w:t xml:space="preserve"> Cambridge, MA: MIT Press</w:t>
      </w:r>
    </w:p>
    <w:p w14:paraId="3A8D92D0" w14:textId="74CE8B11" w:rsidR="007B38AE" w:rsidRPr="005A6213" w:rsidRDefault="007B38AE" w:rsidP="00775827">
      <w:pPr>
        <w:ind w:left="284" w:hanging="284"/>
        <w:rPr>
          <w:sz w:val="22"/>
          <w:szCs w:val="22"/>
        </w:rPr>
      </w:pPr>
      <w:r w:rsidRPr="00B95064">
        <w:rPr>
          <w:sz w:val="22"/>
          <w:szCs w:val="22"/>
        </w:rPr>
        <w:t xml:space="preserve">Luttrell, R. (2014). </w:t>
      </w:r>
      <w:r w:rsidRPr="00B95064">
        <w:rPr>
          <w:i/>
          <w:sz w:val="22"/>
          <w:szCs w:val="22"/>
        </w:rPr>
        <w:t>Social media: How to engage,</w:t>
      </w:r>
      <w:r w:rsidRPr="005A6213">
        <w:rPr>
          <w:i/>
          <w:sz w:val="22"/>
          <w:szCs w:val="22"/>
        </w:rPr>
        <w:t xml:space="preserve"> share, and connect</w:t>
      </w:r>
      <w:r w:rsidRPr="005A6213">
        <w:rPr>
          <w:sz w:val="22"/>
          <w:szCs w:val="22"/>
        </w:rPr>
        <w:t xml:space="preserve">. Lanham, MD: </w:t>
      </w:r>
      <w:proofErr w:type="spellStart"/>
      <w:r w:rsidRPr="005A6213">
        <w:rPr>
          <w:sz w:val="22"/>
          <w:szCs w:val="22"/>
        </w:rPr>
        <w:t>Rowman</w:t>
      </w:r>
      <w:proofErr w:type="spellEnd"/>
      <w:r w:rsidRPr="005A6213">
        <w:rPr>
          <w:sz w:val="22"/>
          <w:szCs w:val="22"/>
        </w:rPr>
        <w:t xml:space="preserve"> &amp; Littlefield.</w:t>
      </w:r>
    </w:p>
    <w:p w14:paraId="644607E8" w14:textId="77777777" w:rsidR="000948AF" w:rsidRPr="005A6213" w:rsidRDefault="000948AF" w:rsidP="00775827">
      <w:pPr>
        <w:ind w:left="284" w:hanging="284"/>
        <w:rPr>
          <w:bCs/>
          <w:sz w:val="22"/>
          <w:szCs w:val="22"/>
          <w:lang w:val="en-GB"/>
        </w:rPr>
      </w:pPr>
      <w:r w:rsidRPr="005A6213">
        <w:rPr>
          <w:bCs/>
          <w:sz w:val="22"/>
          <w:szCs w:val="22"/>
          <w:lang w:val="en-GB"/>
        </w:rPr>
        <w:t xml:space="preserve">Macnamara, J. (2012). </w:t>
      </w:r>
      <w:r w:rsidRPr="005A6213">
        <w:rPr>
          <w:bCs/>
          <w:i/>
          <w:sz w:val="22"/>
          <w:szCs w:val="22"/>
          <w:lang w:val="en-GB"/>
        </w:rPr>
        <w:t>Public relations theories, practices, critiques</w:t>
      </w:r>
      <w:r w:rsidRPr="005A6213">
        <w:rPr>
          <w:bCs/>
          <w:sz w:val="22"/>
          <w:szCs w:val="22"/>
          <w:lang w:val="en-GB"/>
        </w:rPr>
        <w:t>. Sydney, NSW: Pearson.</w:t>
      </w:r>
    </w:p>
    <w:p w14:paraId="5AE71792" w14:textId="204937CC" w:rsidR="006C4BF7" w:rsidRPr="005A6213" w:rsidRDefault="006C4BF7" w:rsidP="00775827">
      <w:pPr>
        <w:ind w:left="284" w:hanging="284"/>
        <w:rPr>
          <w:sz w:val="22"/>
          <w:szCs w:val="22"/>
        </w:rPr>
      </w:pPr>
      <w:r w:rsidRPr="005A6213">
        <w:rPr>
          <w:bCs/>
          <w:sz w:val="22"/>
          <w:szCs w:val="22"/>
          <w:lang w:val="en-GB"/>
        </w:rPr>
        <w:t xml:space="preserve">Macnamara, J. (2014a). </w:t>
      </w:r>
      <w:r w:rsidRPr="005A6213">
        <w:rPr>
          <w:sz w:val="22"/>
          <w:szCs w:val="22"/>
          <w:lang w:val="en-GB"/>
        </w:rPr>
        <w:t xml:space="preserve">Journalism-PR relations revisited: The good news, the bad news, and insights into tomorrow’s news. </w:t>
      </w:r>
      <w:r w:rsidRPr="005A6213">
        <w:rPr>
          <w:i/>
          <w:iCs/>
          <w:sz w:val="22"/>
          <w:szCs w:val="22"/>
          <w:lang w:val="en-GB"/>
        </w:rPr>
        <w:t>Public Relations Review, 40</w:t>
      </w:r>
      <w:r w:rsidRPr="005A6213">
        <w:rPr>
          <w:sz w:val="22"/>
          <w:szCs w:val="22"/>
          <w:lang w:val="en-GB"/>
        </w:rPr>
        <w:t>(5), 739–750.</w:t>
      </w:r>
      <w:r w:rsidR="008D4704" w:rsidRPr="005A6213">
        <w:rPr>
          <w:sz w:val="22"/>
          <w:szCs w:val="22"/>
          <w:lang w:val="en-GB"/>
        </w:rPr>
        <w:t xml:space="preserve"> </w:t>
      </w:r>
      <w:r w:rsidR="008D4704" w:rsidRPr="005A6213">
        <w:rPr>
          <w:sz w:val="22"/>
          <w:szCs w:val="22"/>
        </w:rPr>
        <w:t>doi.org/10.1016/j.pubrev.2014.07.002</w:t>
      </w:r>
    </w:p>
    <w:p w14:paraId="6DAA4105" w14:textId="5777CE7A" w:rsidR="007B38AE" w:rsidRPr="005A6213" w:rsidRDefault="00C72350" w:rsidP="00775827">
      <w:pPr>
        <w:ind w:left="284" w:hanging="284"/>
        <w:rPr>
          <w:sz w:val="22"/>
          <w:szCs w:val="22"/>
        </w:rPr>
      </w:pPr>
      <w:r w:rsidRPr="005A6213">
        <w:rPr>
          <w:bCs/>
          <w:sz w:val="22"/>
          <w:szCs w:val="22"/>
          <w:lang w:val="en-GB"/>
        </w:rPr>
        <w:t>Macnamara, J. (2014</w:t>
      </w:r>
      <w:r w:rsidR="006C4BF7" w:rsidRPr="005A6213">
        <w:rPr>
          <w:bCs/>
          <w:sz w:val="22"/>
          <w:szCs w:val="22"/>
          <w:lang w:val="en-GB"/>
        </w:rPr>
        <w:t>b</w:t>
      </w:r>
      <w:r w:rsidRPr="005A6213">
        <w:rPr>
          <w:bCs/>
          <w:sz w:val="22"/>
          <w:szCs w:val="22"/>
          <w:lang w:val="en-GB"/>
        </w:rPr>
        <w:t xml:space="preserve">). </w:t>
      </w:r>
      <w:r w:rsidR="007B38AE" w:rsidRPr="005A6213">
        <w:rPr>
          <w:i/>
          <w:iCs/>
          <w:sz w:val="22"/>
          <w:szCs w:val="22"/>
          <w:lang w:val="en-GB"/>
        </w:rPr>
        <w:t>The 21 century media (r</w:t>
      </w:r>
      <w:proofErr w:type="gramStart"/>
      <w:r w:rsidR="007B38AE" w:rsidRPr="005A6213">
        <w:rPr>
          <w:i/>
          <w:iCs/>
          <w:sz w:val="22"/>
          <w:szCs w:val="22"/>
          <w:lang w:val="en-GB"/>
        </w:rPr>
        <w:t>)evolution</w:t>
      </w:r>
      <w:proofErr w:type="gramEnd"/>
      <w:r w:rsidR="007B38AE" w:rsidRPr="005A6213">
        <w:rPr>
          <w:i/>
          <w:iCs/>
          <w:sz w:val="22"/>
          <w:szCs w:val="22"/>
          <w:lang w:val="en-GB"/>
        </w:rPr>
        <w:t>: Emergent communication practices</w:t>
      </w:r>
      <w:r w:rsidR="007B38AE" w:rsidRPr="005A6213">
        <w:rPr>
          <w:sz w:val="22"/>
          <w:szCs w:val="22"/>
          <w:lang w:val="en-GB"/>
        </w:rPr>
        <w:t>. New York, NY: Peter Lang.</w:t>
      </w:r>
    </w:p>
    <w:p w14:paraId="5F4811C2" w14:textId="1B340529" w:rsidR="007B38AE" w:rsidRPr="005A6213" w:rsidRDefault="007B38AE" w:rsidP="00775827">
      <w:pPr>
        <w:ind w:left="284" w:hanging="284"/>
        <w:rPr>
          <w:sz w:val="22"/>
          <w:szCs w:val="22"/>
        </w:rPr>
      </w:pPr>
      <w:r w:rsidRPr="005A6213">
        <w:rPr>
          <w:bCs/>
          <w:sz w:val="22"/>
          <w:szCs w:val="22"/>
          <w:lang w:val="en-US"/>
        </w:rPr>
        <w:t>Ma</w:t>
      </w:r>
      <w:r w:rsidR="005D04E0" w:rsidRPr="005A6213">
        <w:rPr>
          <w:bCs/>
          <w:sz w:val="22"/>
          <w:szCs w:val="22"/>
          <w:lang w:val="en-US"/>
        </w:rPr>
        <w:t>cnamara, J. (2015</w:t>
      </w:r>
      <w:r w:rsidRPr="005A6213">
        <w:rPr>
          <w:bCs/>
          <w:sz w:val="22"/>
          <w:szCs w:val="22"/>
          <w:lang w:val="en-US"/>
        </w:rPr>
        <w:t xml:space="preserve">). </w:t>
      </w:r>
      <w:r w:rsidRPr="005A6213">
        <w:rPr>
          <w:sz w:val="22"/>
          <w:szCs w:val="22"/>
          <w:lang w:val="en-US"/>
        </w:rPr>
        <w:t xml:space="preserve">The continuing convergence of journalism and PR: New insights for ethical practice from a three-country study of senior practitioners. </w:t>
      </w:r>
      <w:r w:rsidRPr="005A6213">
        <w:rPr>
          <w:i/>
          <w:iCs/>
          <w:sz w:val="22"/>
          <w:szCs w:val="22"/>
          <w:lang w:val="en-US"/>
        </w:rPr>
        <w:t>Journalism &amp; Mass Communication Qua</w:t>
      </w:r>
      <w:r w:rsidRPr="00FE1246">
        <w:rPr>
          <w:i/>
          <w:iCs/>
          <w:sz w:val="22"/>
          <w:szCs w:val="22"/>
          <w:lang w:val="en-US"/>
        </w:rPr>
        <w:t>rterly</w:t>
      </w:r>
      <w:r w:rsidR="00FE1246">
        <w:rPr>
          <w:sz w:val="22"/>
          <w:szCs w:val="22"/>
          <w:lang w:val="en-US"/>
        </w:rPr>
        <w:t xml:space="preserve">, </w:t>
      </w:r>
      <w:r w:rsidR="00FE1246" w:rsidRPr="00FE1246">
        <w:rPr>
          <w:i/>
          <w:sz w:val="22"/>
          <w:szCs w:val="22"/>
        </w:rPr>
        <w:t>93</w:t>
      </w:r>
      <w:r w:rsidR="00FE1246">
        <w:rPr>
          <w:sz w:val="22"/>
          <w:szCs w:val="22"/>
        </w:rPr>
        <w:t xml:space="preserve">(1), </w:t>
      </w:r>
      <w:r w:rsidR="00FE1246" w:rsidRPr="00FE1246">
        <w:rPr>
          <w:sz w:val="22"/>
          <w:szCs w:val="22"/>
        </w:rPr>
        <w:t>118–</w:t>
      </w:r>
      <w:r w:rsidR="00FE1246">
        <w:rPr>
          <w:sz w:val="22"/>
          <w:szCs w:val="22"/>
        </w:rPr>
        <w:t>1</w:t>
      </w:r>
      <w:r w:rsidR="00FE1246" w:rsidRPr="00FE1246">
        <w:rPr>
          <w:sz w:val="22"/>
          <w:szCs w:val="22"/>
        </w:rPr>
        <w:t>41</w:t>
      </w:r>
      <w:r w:rsidRPr="00FE1246">
        <w:rPr>
          <w:sz w:val="22"/>
          <w:szCs w:val="22"/>
          <w:lang w:val="en-US"/>
        </w:rPr>
        <w:t xml:space="preserve">. </w:t>
      </w:r>
      <w:proofErr w:type="spellStart"/>
      <w:r w:rsidRPr="00FE1246">
        <w:rPr>
          <w:sz w:val="22"/>
          <w:szCs w:val="22"/>
          <w:lang w:val="en-US"/>
        </w:rPr>
        <w:t>doi</w:t>
      </w:r>
      <w:proofErr w:type="spellEnd"/>
      <w:r w:rsidRPr="00FE1246">
        <w:rPr>
          <w:sz w:val="22"/>
          <w:szCs w:val="22"/>
          <w:lang w:val="en-US"/>
        </w:rPr>
        <w:t>: 10.1177/1077699</w:t>
      </w:r>
      <w:r w:rsidRPr="005A6213">
        <w:rPr>
          <w:sz w:val="22"/>
          <w:szCs w:val="22"/>
          <w:lang w:val="en-US"/>
        </w:rPr>
        <w:t>015605803</w:t>
      </w:r>
    </w:p>
    <w:p w14:paraId="6ADE229B" w14:textId="77777777" w:rsidR="00C97A2E" w:rsidRPr="005A6213" w:rsidRDefault="00C97A2E" w:rsidP="00775827">
      <w:pPr>
        <w:ind w:left="284" w:hanging="284"/>
        <w:rPr>
          <w:bCs/>
          <w:sz w:val="22"/>
          <w:szCs w:val="22"/>
        </w:rPr>
      </w:pPr>
      <w:r w:rsidRPr="005A6213">
        <w:rPr>
          <w:bCs/>
          <w:sz w:val="22"/>
          <w:szCs w:val="22"/>
          <w:lang w:val="en-US"/>
        </w:rPr>
        <w:t xml:space="preserve">Macnamara, J. (2016). </w:t>
      </w:r>
      <w:r w:rsidRPr="005A6213">
        <w:rPr>
          <w:bCs/>
          <w:i/>
          <w:iCs/>
          <w:sz w:val="22"/>
          <w:szCs w:val="22"/>
          <w:lang w:val="en-US"/>
        </w:rPr>
        <w:t>Organizational listening: The missing essential in public communication</w:t>
      </w:r>
      <w:r w:rsidRPr="005A6213">
        <w:rPr>
          <w:bCs/>
          <w:sz w:val="22"/>
          <w:szCs w:val="22"/>
          <w:lang w:val="en-US"/>
        </w:rPr>
        <w:t>. New York, NY: Peter Lang.</w:t>
      </w:r>
    </w:p>
    <w:p w14:paraId="53DE9A78" w14:textId="3CB118CC" w:rsidR="00886651" w:rsidRPr="005A6213" w:rsidRDefault="00886651" w:rsidP="00775827">
      <w:pPr>
        <w:ind w:left="284" w:hanging="284"/>
        <w:rPr>
          <w:sz w:val="22"/>
          <w:szCs w:val="22"/>
        </w:rPr>
      </w:pPr>
      <w:r w:rsidRPr="005A6213">
        <w:rPr>
          <w:sz w:val="22"/>
          <w:szCs w:val="22"/>
        </w:rPr>
        <w:t>Macnamara, J., &amp; Dessaix, A. (2014, July). The ethics of ‘embedded’ media content: Product placement and ‘advertorial’ on steroids. In D. Bossio (Ed.), Referred proceedings of the Australian and New Zealand Communication Association Conference (ANZCA) 2014, Swinburne University, Melbourne. Retrieved from http://www.anzca.net/conferences/past-conferences/2014-conf/p2.html</w:t>
      </w:r>
    </w:p>
    <w:p w14:paraId="66E27A0F" w14:textId="356CB745" w:rsidR="00662EAF" w:rsidRPr="005A6213" w:rsidRDefault="00662EAF" w:rsidP="00775827">
      <w:pPr>
        <w:ind w:left="284" w:hanging="284"/>
        <w:rPr>
          <w:sz w:val="22"/>
          <w:szCs w:val="22"/>
        </w:rPr>
      </w:pPr>
      <w:r w:rsidRPr="005A6213">
        <w:rPr>
          <w:sz w:val="22"/>
          <w:szCs w:val="22"/>
        </w:rPr>
        <w:t xml:space="preserve">Macnamara, J. </w:t>
      </w:r>
      <w:proofErr w:type="spellStart"/>
      <w:r w:rsidRPr="005A6213">
        <w:rPr>
          <w:sz w:val="22"/>
          <w:szCs w:val="22"/>
        </w:rPr>
        <w:t>Sakinofsky</w:t>
      </w:r>
      <w:proofErr w:type="spellEnd"/>
      <w:r w:rsidRPr="005A6213">
        <w:rPr>
          <w:sz w:val="22"/>
          <w:szCs w:val="22"/>
        </w:rPr>
        <w:t xml:space="preserve">, P. &amp; Beattie, J. (2012). </w:t>
      </w:r>
      <w:r w:rsidRPr="005A6213">
        <w:rPr>
          <w:i/>
          <w:sz w:val="22"/>
          <w:szCs w:val="22"/>
        </w:rPr>
        <w:t>E-</w:t>
      </w:r>
      <w:proofErr w:type="spellStart"/>
      <w:r w:rsidRPr="005A6213">
        <w:rPr>
          <w:i/>
          <w:sz w:val="22"/>
          <w:szCs w:val="22"/>
        </w:rPr>
        <w:t>lectoral</w:t>
      </w:r>
      <w:proofErr w:type="spellEnd"/>
      <w:r w:rsidRPr="005A6213">
        <w:rPr>
          <w:i/>
          <w:sz w:val="22"/>
          <w:szCs w:val="22"/>
        </w:rPr>
        <w:t xml:space="preserve"> Engagement: Maintaining Democratic Participation through Social Media</w:t>
      </w:r>
      <w:r w:rsidRPr="005A6213">
        <w:rPr>
          <w:sz w:val="22"/>
          <w:szCs w:val="22"/>
        </w:rPr>
        <w:t xml:space="preserve">. Sydney, NSW: Australian Centre for Public Communication, University of Technology. Retrieved from </w:t>
      </w:r>
      <w:r w:rsidRPr="005A6213">
        <w:rPr>
          <w:sz w:val="22"/>
          <w:szCs w:val="22"/>
          <w:bdr w:val="none" w:sz="0" w:space="0" w:color="auto" w:frame="1"/>
          <w:lang w:val="en"/>
        </w:rPr>
        <w:t>http://apo.org.au/node/32704</w:t>
      </w:r>
      <w:r w:rsidRPr="005A6213">
        <w:rPr>
          <w:sz w:val="22"/>
          <w:szCs w:val="22"/>
        </w:rPr>
        <w:t xml:space="preserve"> </w:t>
      </w:r>
    </w:p>
    <w:p w14:paraId="19718511" w14:textId="77777777" w:rsidR="00C97A2E" w:rsidRPr="005A6213" w:rsidRDefault="00C97A2E" w:rsidP="00775827">
      <w:pPr>
        <w:ind w:left="284" w:hanging="284"/>
        <w:rPr>
          <w:sz w:val="22"/>
          <w:szCs w:val="22"/>
          <w:lang w:val="en-US"/>
        </w:rPr>
      </w:pPr>
      <w:r w:rsidRPr="005A6213">
        <w:rPr>
          <w:bCs/>
          <w:sz w:val="22"/>
          <w:szCs w:val="22"/>
          <w:lang w:val="en-US"/>
        </w:rPr>
        <w:t xml:space="preserve">McChesney, R. (2013). </w:t>
      </w:r>
      <w:r w:rsidRPr="005A6213">
        <w:rPr>
          <w:i/>
          <w:iCs/>
          <w:sz w:val="22"/>
          <w:szCs w:val="22"/>
          <w:lang w:val="en-US"/>
        </w:rPr>
        <w:t>Digital disconnect: How capitalism is turning the internet against democracy</w:t>
      </w:r>
      <w:r w:rsidRPr="005A6213">
        <w:rPr>
          <w:sz w:val="22"/>
          <w:szCs w:val="22"/>
          <w:lang w:val="en-US"/>
        </w:rPr>
        <w:t>. New York, NY: The Free Press.</w:t>
      </w:r>
    </w:p>
    <w:p w14:paraId="38DDB110" w14:textId="1A71782B" w:rsidR="000C0833" w:rsidRPr="005A6213" w:rsidRDefault="000C0833" w:rsidP="00775827">
      <w:pPr>
        <w:autoSpaceDE w:val="0"/>
        <w:autoSpaceDN w:val="0"/>
        <w:adjustRightInd w:val="0"/>
        <w:ind w:left="284" w:hanging="284"/>
        <w:rPr>
          <w:sz w:val="22"/>
          <w:szCs w:val="22"/>
        </w:rPr>
      </w:pPr>
      <w:proofErr w:type="spellStart"/>
      <w:r w:rsidRPr="005A6213">
        <w:rPr>
          <w:sz w:val="22"/>
          <w:szCs w:val="22"/>
        </w:rPr>
        <w:t>McQuail</w:t>
      </w:r>
      <w:proofErr w:type="spellEnd"/>
      <w:r w:rsidRPr="005A6213">
        <w:rPr>
          <w:sz w:val="22"/>
          <w:szCs w:val="22"/>
        </w:rPr>
        <w:t xml:space="preserve">, D. 1994). </w:t>
      </w:r>
      <w:r w:rsidRPr="005A6213">
        <w:rPr>
          <w:i/>
          <w:sz w:val="22"/>
          <w:szCs w:val="22"/>
        </w:rPr>
        <w:t>Mass communication theory: An introduction</w:t>
      </w:r>
      <w:r w:rsidRPr="005A6213">
        <w:rPr>
          <w:sz w:val="22"/>
          <w:szCs w:val="22"/>
        </w:rPr>
        <w:t xml:space="preserve"> (3rd </w:t>
      </w:r>
      <w:proofErr w:type="gramStart"/>
      <w:r w:rsidRPr="005A6213">
        <w:rPr>
          <w:sz w:val="22"/>
          <w:szCs w:val="22"/>
        </w:rPr>
        <w:t>ed</w:t>
      </w:r>
      <w:proofErr w:type="gramEnd"/>
      <w:r w:rsidRPr="005A6213">
        <w:rPr>
          <w:sz w:val="22"/>
          <w:szCs w:val="22"/>
        </w:rPr>
        <w:t>.). London, UK: Sage.</w:t>
      </w:r>
    </w:p>
    <w:p w14:paraId="31218DEE" w14:textId="38FAD914" w:rsidR="00405D67" w:rsidRPr="00925C7D" w:rsidRDefault="00405D67" w:rsidP="00775827">
      <w:pPr>
        <w:widowControl w:val="0"/>
        <w:autoSpaceDE w:val="0"/>
        <w:autoSpaceDN w:val="0"/>
        <w:adjustRightInd w:val="0"/>
        <w:ind w:left="426" w:hanging="426"/>
        <w:rPr>
          <w:sz w:val="22"/>
          <w:szCs w:val="22"/>
          <w:lang w:val="en-US"/>
        </w:rPr>
      </w:pPr>
      <w:proofErr w:type="spellStart"/>
      <w:r>
        <w:rPr>
          <w:sz w:val="22"/>
          <w:szCs w:val="22"/>
          <w:lang w:val="en-US"/>
        </w:rPr>
        <w:t>Messner</w:t>
      </w:r>
      <w:proofErr w:type="spellEnd"/>
      <w:r>
        <w:rPr>
          <w:sz w:val="22"/>
          <w:szCs w:val="22"/>
          <w:lang w:val="en-US"/>
        </w:rPr>
        <w:t xml:space="preserve">, M. (2014). To tweet or not to tweet: An analysis of ethical guidelines for the social media engagement of nonprofit organizations. In </w:t>
      </w:r>
      <w:r w:rsidRPr="00925C7D">
        <w:rPr>
          <w:sz w:val="22"/>
          <w:szCs w:val="22"/>
          <w:lang w:val="en-US"/>
        </w:rPr>
        <w:t xml:space="preserve">In M. </w:t>
      </w:r>
      <w:proofErr w:type="spellStart"/>
      <w:r w:rsidRPr="00925C7D">
        <w:rPr>
          <w:sz w:val="22"/>
          <w:szCs w:val="22"/>
          <w:lang w:val="en-US"/>
        </w:rPr>
        <w:t>DiStaso</w:t>
      </w:r>
      <w:proofErr w:type="spellEnd"/>
      <w:r w:rsidRPr="00925C7D">
        <w:rPr>
          <w:sz w:val="22"/>
          <w:szCs w:val="22"/>
          <w:lang w:val="en-US"/>
        </w:rPr>
        <w:t xml:space="preserve"> &amp; D. </w:t>
      </w:r>
      <w:proofErr w:type="spellStart"/>
      <w:r w:rsidRPr="00925C7D">
        <w:rPr>
          <w:sz w:val="22"/>
          <w:szCs w:val="22"/>
          <w:lang w:val="en-US"/>
        </w:rPr>
        <w:t>Sevick</w:t>
      </w:r>
      <w:proofErr w:type="spellEnd"/>
      <w:r w:rsidRPr="00925C7D">
        <w:rPr>
          <w:sz w:val="22"/>
          <w:szCs w:val="22"/>
          <w:lang w:val="en-US"/>
        </w:rPr>
        <w:t xml:space="preserve"> </w:t>
      </w:r>
      <w:proofErr w:type="spellStart"/>
      <w:r w:rsidRPr="00925C7D">
        <w:rPr>
          <w:sz w:val="22"/>
          <w:szCs w:val="22"/>
          <w:lang w:val="en-US"/>
        </w:rPr>
        <w:t>Vortree</w:t>
      </w:r>
      <w:proofErr w:type="spellEnd"/>
      <w:r w:rsidRPr="00925C7D">
        <w:rPr>
          <w:sz w:val="22"/>
          <w:szCs w:val="22"/>
          <w:lang w:val="en-US"/>
        </w:rPr>
        <w:t xml:space="preserve"> (Eds.) </w:t>
      </w:r>
      <w:r w:rsidRPr="00925C7D">
        <w:rPr>
          <w:i/>
          <w:sz w:val="22"/>
          <w:szCs w:val="22"/>
          <w:lang w:val="en-US"/>
        </w:rPr>
        <w:t xml:space="preserve">Ethical practice of social media in public relations </w:t>
      </w:r>
      <w:r>
        <w:rPr>
          <w:sz w:val="22"/>
          <w:szCs w:val="22"/>
          <w:lang w:val="en-US"/>
        </w:rPr>
        <w:t>(pp. 82</w:t>
      </w:r>
      <w:r w:rsidRPr="00925C7D">
        <w:rPr>
          <w:sz w:val="22"/>
          <w:szCs w:val="22"/>
          <w:lang w:val="en-US"/>
        </w:rPr>
        <w:t>–</w:t>
      </w:r>
      <w:r>
        <w:rPr>
          <w:sz w:val="22"/>
          <w:szCs w:val="22"/>
          <w:lang w:val="en-US"/>
        </w:rPr>
        <w:t>98</w:t>
      </w:r>
      <w:r w:rsidRPr="00925C7D">
        <w:rPr>
          <w:sz w:val="22"/>
          <w:szCs w:val="22"/>
          <w:lang w:val="en-US"/>
        </w:rPr>
        <w:t>). New York, NY: Routledge</w:t>
      </w:r>
      <w:r>
        <w:rPr>
          <w:sz w:val="22"/>
          <w:szCs w:val="22"/>
          <w:lang w:val="en-US"/>
        </w:rPr>
        <w:t>.</w:t>
      </w:r>
    </w:p>
    <w:p w14:paraId="330A9B11" w14:textId="77777777" w:rsidR="00656107" w:rsidRPr="00E37069" w:rsidRDefault="00656107" w:rsidP="00775827">
      <w:pPr>
        <w:ind w:left="284" w:hanging="284"/>
        <w:outlineLvl w:val="2"/>
        <w:rPr>
          <w:sz w:val="22"/>
          <w:szCs w:val="22"/>
          <w:lang w:val="en"/>
        </w:rPr>
      </w:pPr>
      <w:r w:rsidRPr="00E37069">
        <w:rPr>
          <w:sz w:val="22"/>
          <w:szCs w:val="22"/>
          <w:lang w:val="en"/>
        </w:rPr>
        <w:lastRenderedPageBreak/>
        <w:t xml:space="preserve">Mitchell, A. (2015, April). </w:t>
      </w:r>
      <w:r w:rsidRPr="00E37069">
        <w:rPr>
          <w:i/>
          <w:sz w:val="22"/>
          <w:szCs w:val="22"/>
          <w:lang w:val="en"/>
        </w:rPr>
        <w:t>State of the news media 2015</w:t>
      </w:r>
      <w:r w:rsidRPr="00E37069">
        <w:rPr>
          <w:sz w:val="22"/>
          <w:szCs w:val="22"/>
          <w:lang w:val="en"/>
        </w:rPr>
        <w:t>. Washington, DC: Pew Research Center. Retrieved from http://www.journalism.org/files/2015/04/FINAL-STATE-OF-THE-NEWS-MEDIA1.pdf</w:t>
      </w:r>
    </w:p>
    <w:p w14:paraId="1531E576" w14:textId="77777777" w:rsidR="00E37069" w:rsidRPr="00E37069" w:rsidRDefault="00E37069" w:rsidP="00775827">
      <w:pPr>
        <w:ind w:left="284" w:hanging="284"/>
        <w:rPr>
          <w:sz w:val="22"/>
          <w:szCs w:val="22"/>
        </w:rPr>
      </w:pPr>
      <w:r w:rsidRPr="00E37069">
        <w:rPr>
          <w:sz w:val="22"/>
          <w:szCs w:val="22"/>
        </w:rPr>
        <w:t xml:space="preserve">Motion, J., Heath, R., &amp; Leitch, S. (2016). </w:t>
      </w:r>
      <w:r w:rsidRPr="00E37069">
        <w:rPr>
          <w:i/>
          <w:sz w:val="22"/>
          <w:szCs w:val="22"/>
        </w:rPr>
        <w:t>Social media and public relations: Fake friends and powerful publics</w:t>
      </w:r>
      <w:r w:rsidRPr="00E37069">
        <w:rPr>
          <w:sz w:val="22"/>
          <w:szCs w:val="22"/>
        </w:rPr>
        <w:t>. Abingdon, UK: Routledge.</w:t>
      </w:r>
    </w:p>
    <w:p w14:paraId="38EBB65D" w14:textId="77777777" w:rsidR="00656107" w:rsidRPr="005A6213" w:rsidRDefault="00656107" w:rsidP="00775827">
      <w:pPr>
        <w:ind w:left="284" w:hanging="284"/>
        <w:outlineLvl w:val="2"/>
        <w:rPr>
          <w:rFonts w:eastAsia="Times New Roman"/>
          <w:bCs/>
          <w:sz w:val="22"/>
          <w:szCs w:val="22"/>
          <w:lang w:eastAsia="en-AU"/>
        </w:rPr>
      </w:pPr>
      <w:r w:rsidRPr="005A6213">
        <w:rPr>
          <w:sz w:val="22"/>
          <w:szCs w:val="22"/>
          <w:lang w:val="en"/>
        </w:rPr>
        <w:t xml:space="preserve">Nielsen. (2015a, September 29). Consumer trust in traditional advertising declines in UK, while a recommendation from friends remains most credible. London, UK: Author. Retrieved from </w:t>
      </w:r>
      <w:r w:rsidRPr="005A6213">
        <w:rPr>
          <w:rFonts w:eastAsia="Times New Roman"/>
          <w:bCs/>
          <w:sz w:val="22"/>
          <w:szCs w:val="22"/>
          <w:lang w:eastAsia="en-AU"/>
        </w:rPr>
        <w:t>http://www.nielsen.com/uk/en/press-room/2015/consumer-trust-in-traditional-advertising-declines-in-uk-while-a-recommendation-from-friends-remains-most-credible.html</w:t>
      </w:r>
    </w:p>
    <w:p w14:paraId="45BFE9CC" w14:textId="77777777" w:rsidR="00656107" w:rsidRPr="005A6213" w:rsidRDefault="00656107" w:rsidP="00775827">
      <w:pPr>
        <w:ind w:left="284" w:hanging="284"/>
        <w:rPr>
          <w:sz w:val="22"/>
          <w:szCs w:val="22"/>
          <w:lang w:val="en"/>
        </w:rPr>
      </w:pPr>
      <w:r w:rsidRPr="005A6213">
        <w:rPr>
          <w:sz w:val="22"/>
          <w:szCs w:val="22"/>
          <w:lang w:val="en"/>
        </w:rPr>
        <w:t>Nielsen. (2015b, September). Global trust in advertising: Winning strategies for an evolving landscape. New York, NY: Author. Retrieved from http://www.nielsen.com/content/dam/nielsenglobal/apac/docs/reports/2015/nielsen-global-trust-in-advertising-report-september-2015.pdf</w:t>
      </w:r>
    </w:p>
    <w:p w14:paraId="6E79130B" w14:textId="77777777" w:rsidR="000A248C" w:rsidRPr="005A6213" w:rsidRDefault="000A248C" w:rsidP="00775827">
      <w:pPr>
        <w:shd w:val="clear" w:color="auto" w:fill="FFFFFF"/>
        <w:ind w:left="284" w:hanging="284"/>
        <w:outlineLvl w:val="2"/>
        <w:rPr>
          <w:rFonts w:eastAsia="Times New Roman"/>
          <w:b/>
          <w:bCs/>
          <w:spacing w:val="-12"/>
          <w:sz w:val="22"/>
          <w:szCs w:val="22"/>
          <w:lang w:eastAsia="en-AU"/>
        </w:rPr>
      </w:pPr>
      <w:r w:rsidRPr="005A6213">
        <w:rPr>
          <w:sz w:val="22"/>
          <w:szCs w:val="22"/>
        </w:rPr>
        <w:t xml:space="preserve">Pew Research </w:t>
      </w:r>
      <w:proofErr w:type="spellStart"/>
      <w:r w:rsidRPr="005A6213">
        <w:rPr>
          <w:sz w:val="22"/>
          <w:szCs w:val="22"/>
        </w:rPr>
        <w:t>Center</w:t>
      </w:r>
      <w:proofErr w:type="spellEnd"/>
      <w:r w:rsidRPr="005A6213">
        <w:rPr>
          <w:sz w:val="22"/>
          <w:szCs w:val="22"/>
        </w:rPr>
        <w:t xml:space="preserve">. 2013). </w:t>
      </w:r>
      <w:proofErr w:type="gramStart"/>
      <w:r w:rsidRPr="005A6213">
        <w:rPr>
          <w:i/>
          <w:sz w:val="22"/>
          <w:szCs w:val="22"/>
        </w:rPr>
        <w:t>The</w:t>
      </w:r>
      <w:proofErr w:type="gramEnd"/>
      <w:r w:rsidRPr="005A6213">
        <w:rPr>
          <w:i/>
          <w:sz w:val="22"/>
          <w:szCs w:val="22"/>
        </w:rPr>
        <w:t xml:space="preserve"> state of the news media 2013</w:t>
      </w:r>
      <w:r w:rsidRPr="005A6213">
        <w:rPr>
          <w:sz w:val="22"/>
          <w:szCs w:val="22"/>
        </w:rPr>
        <w:t xml:space="preserve">. Washington, DC: Pew Research </w:t>
      </w:r>
      <w:proofErr w:type="spellStart"/>
      <w:r w:rsidRPr="005A6213">
        <w:rPr>
          <w:sz w:val="22"/>
          <w:szCs w:val="22"/>
        </w:rPr>
        <w:t>Center</w:t>
      </w:r>
      <w:proofErr w:type="spellEnd"/>
      <w:r w:rsidRPr="005A6213">
        <w:rPr>
          <w:sz w:val="22"/>
          <w:szCs w:val="22"/>
        </w:rPr>
        <w:t>. Retrieved from http://www.stateofthemedia.org/2013</w:t>
      </w:r>
    </w:p>
    <w:p w14:paraId="35DC8854" w14:textId="59276A05" w:rsidR="000A248C" w:rsidRPr="005A6213" w:rsidRDefault="000A248C" w:rsidP="00775827">
      <w:pPr>
        <w:autoSpaceDE w:val="0"/>
        <w:autoSpaceDN w:val="0"/>
        <w:adjustRightInd w:val="0"/>
        <w:ind w:left="284" w:hanging="284"/>
        <w:rPr>
          <w:sz w:val="22"/>
          <w:szCs w:val="22"/>
        </w:rPr>
      </w:pPr>
      <w:r w:rsidRPr="005A6213">
        <w:rPr>
          <w:sz w:val="22"/>
          <w:szCs w:val="22"/>
        </w:rPr>
        <w:t xml:space="preserve">Roy, A., &amp; Chattopadhyay, S. (2010). Stealth marketing as a strategy. </w:t>
      </w:r>
      <w:r w:rsidRPr="005A6213">
        <w:rPr>
          <w:i/>
          <w:sz w:val="22"/>
          <w:szCs w:val="22"/>
        </w:rPr>
        <w:t>Business Horizons</w:t>
      </w:r>
      <w:r w:rsidRPr="005A6213">
        <w:rPr>
          <w:sz w:val="22"/>
          <w:szCs w:val="22"/>
        </w:rPr>
        <w:t xml:space="preserve">, </w:t>
      </w:r>
      <w:r w:rsidRPr="005A6213">
        <w:rPr>
          <w:i/>
          <w:sz w:val="22"/>
          <w:szCs w:val="22"/>
        </w:rPr>
        <w:t>53</w:t>
      </w:r>
      <w:r w:rsidRPr="005A6213">
        <w:rPr>
          <w:sz w:val="22"/>
          <w:szCs w:val="22"/>
        </w:rPr>
        <w:t>(1), 69–79.</w:t>
      </w:r>
      <w:r w:rsidR="008D4704" w:rsidRPr="005A6213">
        <w:rPr>
          <w:sz w:val="22"/>
          <w:szCs w:val="22"/>
        </w:rPr>
        <w:t xml:space="preserve"> doi.org/10.1016/j.bushor.2009.09.004</w:t>
      </w:r>
    </w:p>
    <w:p w14:paraId="6866D7C1" w14:textId="77777777" w:rsidR="00C97A2E" w:rsidRPr="005A6213" w:rsidRDefault="00C97A2E" w:rsidP="00775827">
      <w:pPr>
        <w:ind w:left="284" w:hanging="284"/>
        <w:rPr>
          <w:sz w:val="22"/>
          <w:szCs w:val="22"/>
        </w:rPr>
      </w:pPr>
      <w:proofErr w:type="spellStart"/>
      <w:r w:rsidRPr="005A6213">
        <w:rPr>
          <w:bCs/>
          <w:sz w:val="22"/>
          <w:szCs w:val="22"/>
          <w:lang w:val="en-GB"/>
        </w:rPr>
        <w:t>Siapera</w:t>
      </w:r>
      <w:proofErr w:type="spellEnd"/>
      <w:r w:rsidRPr="005A6213">
        <w:rPr>
          <w:bCs/>
          <w:sz w:val="22"/>
          <w:szCs w:val="22"/>
          <w:lang w:val="en-GB"/>
        </w:rPr>
        <w:t>, E. (2012).</w:t>
      </w:r>
      <w:r w:rsidRPr="005A6213">
        <w:rPr>
          <w:b/>
          <w:bCs/>
          <w:sz w:val="22"/>
          <w:szCs w:val="22"/>
          <w:lang w:val="en-GB"/>
        </w:rPr>
        <w:t xml:space="preserve"> </w:t>
      </w:r>
      <w:r w:rsidRPr="005A6213">
        <w:rPr>
          <w:i/>
          <w:iCs/>
          <w:sz w:val="22"/>
          <w:szCs w:val="22"/>
          <w:lang w:val="en-GB"/>
        </w:rPr>
        <w:t xml:space="preserve">Understanding new media. </w:t>
      </w:r>
      <w:r w:rsidRPr="005A6213">
        <w:rPr>
          <w:sz w:val="22"/>
          <w:szCs w:val="22"/>
          <w:lang w:val="en-GB"/>
        </w:rPr>
        <w:t>Thousand Oaks, CA: Sage.</w:t>
      </w:r>
    </w:p>
    <w:p w14:paraId="7D014C32" w14:textId="77777777" w:rsidR="004D605B" w:rsidRPr="005A6213" w:rsidRDefault="00911DC6" w:rsidP="00775827">
      <w:pPr>
        <w:ind w:left="284" w:hanging="284"/>
        <w:rPr>
          <w:sz w:val="22"/>
          <w:szCs w:val="22"/>
        </w:rPr>
      </w:pPr>
      <w:proofErr w:type="spellStart"/>
      <w:r w:rsidRPr="005A6213">
        <w:rPr>
          <w:sz w:val="22"/>
          <w:szCs w:val="22"/>
        </w:rPr>
        <w:t>Statista</w:t>
      </w:r>
      <w:proofErr w:type="spellEnd"/>
      <w:r w:rsidRPr="005A6213">
        <w:rPr>
          <w:sz w:val="22"/>
          <w:szCs w:val="22"/>
        </w:rPr>
        <w:t>. (2016a</w:t>
      </w:r>
      <w:r w:rsidR="004D605B" w:rsidRPr="005A6213">
        <w:rPr>
          <w:sz w:val="22"/>
          <w:szCs w:val="22"/>
        </w:rPr>
        <w:t>). Statistics and facts about the global advertising market. Retrieved from http://www.statista.com/topics/990/global-advertising-market</w:t>
      </w:r>
    </w:p>
    <w:p w14:paraId="35D50BC2" w14:textId="77777777" w:rsidR="00DB5298" w:rsidRPr="005A6213" w:rsidRDefault="00DB5298" w:rsidP="00775827">
      <w:pPr>
        <w:ind w:left="284" w:hanging="284"/>
        <w:rPr>
          <w:sz w:val="22"/>
          <w:szCs w:val="22"/>
        </w:rPr>
      </w:pPr>
      <w:proofErr w:type="spellStart"/>
      <w:r w:rsidRPr="005A6213">
        <w:rPr>
          <w:sz w:val="22"/>
          <w:szCs w:val="22"/>
        </w:rPr>
        <w:t>Statista</w:t>
      </w:r>
      <w:proofErr w:type="spellEnd"/>
      <w:r w:rsidRPr="005A6213">
        <w:rPr>
          <w:sz w:val="22"/>
          <w:szCs w:val="22"/>
        </w:rPr>
        <w:t>. (2016</w:t>
      </w:r>
      <w:r w:rsidR="00911DC6" w:rsidRPr="005A6213">
        <w:rPr>
          <w:sz w:val="22"/>
          <w:szCs w:val="22"/>
        </w:rPr>
        <w:t>b</w:t>
      </w:r>
      <w:r w:rsidRPr="005A6213">
        <w:rPr>
          <w:sz w:val="22"/>
          <w:szCs w:val="22"/>
        </w:rPr>
        <w:t>). Number of active monthly Instagram users. Retrieved from http://www.statista.com/statistics/253577/number-of-monthly-active-instagram-users</w:t>
      </w:r>
    </w:p>
    <w:p w14:paraId="6FE5D63D" w14:textId="6B8A0E3A" w:rsidR="00780E18" w:rsidRPr="003D227D" w:rsidRDefault="00780E18" w:rsidP="00775827">
      <w:pPr>
        <w:shd w:val="clear" w:color="auto" w:fill="FFFFFF"/>
        <w:ind w:left="284" w:hanging="284"/>
        <w:rPr>
          <w:sz w:val="22"/>
          <w:szCs w:val="22"/>
          <w:lang w:val="en-US"/>
        </w:rPr>
      </w:pPr>
      <w:r w:rsidRPr="003D227D">
        <w:rPr>
          <w:sz w:val="22"/>
          <w:szCs w:val="22"/>
          <w:lang w:val="en-US"/>
        </w:rPr>
        <w:t xml:space="preserve">Stephen, </w:t>
      </w:r>
      <w:r>
        <w:rPr>
          <w:sz w:val="22"/>
          <w:szCs w:val="22"/>
          <w:lang w:val="en-US"/>
        </w:rPr>
        <w:t xml:space="preserve">A., &amp; </w:t>
      </w:r>
      <w:proofErr w:type="spellStart"/>
      <w:r w:rsidRPr="003D227D">
        <w:rPr>
          <w:sz w:val="22"/>
          <w:szCs w:val="22"/>
          <w:lang w:val="en-US"/>
        </w:rPr>
        <w:t>Galak</w:t>
      </w:r>
      <w:proofErr w:type="spellEnd"/>
      <w:r>
        <w:rPr>
          <w:sz w:val="22"/>
          <w:szCs w:val="22"/>
          <w:lang w:val="en-US"/>
        </w:rPr>
        <w:t>, J.</w:t>
      </w:r>
      <w:r w:rsidRPr="00780E18">
        <w:rPr>
          <w:sz w:val="22"/>
          <w:szCs w:val="22"/>
          <w:lang w:val="en-US"/>
        </w:rPr>
        <w:t xml:space="preserve"> (</w:t>
      </w:r>
      <w:r w:rsidRPr="00780E18">
        <w:rPr>
          <w:iCs/>
          <w:sz w:val="22"/>
          <w:szCs w:val="22"/>
          <w:lang w:val="en-US"/>
        </w:rPr>
        <w:t>2012</w:t>
      </w:r>
      <w:r w:rsidRPr="00780E18">
        <w:rPr>
          <w:sz w:val="22"/>
          <w:szCs w:val="22"/>
          <w:lang w:val="en-US"/>
        </w:rPr>
        <w:t>)</w:t>
      </w:r>
      <w:r>
        <w:rPr>
          <w:sz w:val="22"/>
          <w:szCs w:val="22"/>
          <w:lang w:val="en-US"/>
        </w:rPr>
        <w:t>.</w:t>
      </w:r>
      <w:r w:rsidRPr="00780E18">
        <w:rPr>
          <w:sz w:val="22"/>
          <w:szCs w:val="22"/>
          <w:lang w:val="en-US"/>
        </w:rPr>
        <w:t xml:space="preserve"> </w:t>
      </w:r>
      <w:r>
        <w:rPr>
          <w:sz w:val="22"/>
          <w:szCs w:val="22"/>
          <w:lang w:val="en-US"/>
        </w:rPr>
        <w:t xml:space="preserve">The effects of traditional and social earned media on sales: A study of a </w:t>
      </w:r>
      <w:proofErr w:type="spellStart"/>
      <w:r>
        <w:rPr>
          <w:sz w:val="22"/>
          <w:szCs w:val="22"/>
          <w:lang w:val="en-US"/>
        </w:rPr>
        <w:t>microlending</w:t>
      </w:r>
      <w:proofErr w:type="spellEnd"/>
      <w:r>
        <w:rPr>
          <w:sz w:val="22"/>
          <w:szCs w:val="22"/>
          <w:lang w:val="en-US"/>
        </w:rPr>
        <w:t xml:space="preserve"> m</w:t>
      </w:r>
      <w:r w:rsidRPr="003D227D">
        <w:rPr>
          <w:sz w:val="22"/>
          <w:szCs w:val="22"/>
          <w:lang w:val="en-US"/>
        </w:rPr>
        <w:t xml:space="preserve">arketplace. </w:t>
      </w:r>
      <w:r w:rsidRPr="00780E18">
        <w:rPr>
          <w:i/>
          <w:sz w:val="22"/>
          <w:szCs w:val="22"/>
          <w:lang w:val="en-US"/>
        </w:rPr>
        <w:t>Journal of Marketing Research, 49</w:t>
      </w:r>
      <w:r>
        <w:rPr>
          <w:sz w:val="22"/>
          <w:szCs w:val="22"/>
          <w:lang w:val="en-US"/>
        </w:rPr>
        <w:t>(5), 624–</w:t>
      </w:r>
      <w:r w:rsidRPr="003D227D">
        <w:rPr>
          <w:sz w:val="22"/>
          <w:szCs w:val="22"/>
          <w:lang w:val="en-US"/>
        </w:rPr>
        <w:t xml:space="preserve">639. </w:t>
      </w:r>
      <w:proofErr w:type="spellStart"/>
      <w:proofErr w:type="gramStart"/>
      <w:r w:rsidRPr="003D227D">
        <w:rPr>
          <w:bCs/>
          <w:sz w:val="22"/>
          <w:szCs w:val="22"/>
          <w:lang w:val="en-US"/>
        </w:rPr>
        <w:t>doi</w:t>
      </w:r>
      <w:proofErr w:type="spellEnd"/>
      <w:proofErr w:type="gramEnd"/>
      <w:r w:rsidRPr="003D227D">
        <w:rPr>
          <w:bCs/>
          <w:sz w:val="22"/>
          <w:szCs w:val="22"/>
          <w:lang w:val="en-US"/>
        </w:rPr>
        <w:t>:</w:t>
      </w:r>
      <w:r w:rsidRPr="003D227D">
        <w:rPr>
          <w:sz w:val="22"/>
          <w:szCs w:val="22"/>
          <w:lang w:val="en-US"/>
        </w:rPr>
        <w:t xml:space="preserve"> http://dx.doi.org/10.1509/jmr.09.0401 </w:t>
      </w:r>
    </w:p>
    <w:p w14:paraId="432B5C81" w14:textId="269E6410" w:rsidR="004971C4" w:rsidRPr="005A6213" w:rsidRDefault="004971C4" w:rsidP="00775827">
      <w:pPr>
        <w:ind w:left="284" w:hanging="284"/>
        <w:rPr>
          <w:bCs/>
          <w:sz w:val="22"/>
          <w:szCs w:val="22"/>
          <w:lang w:val="en-GB"/>
        </w:rPr>
      </w:pPr>
      <w:proofErr w:type="spellStart"/>
      <w:r w:rsidRPr="00372958">
        <w:rPr>
          <w:bCs/>
          <w:sz w:val="22"/>
          <w:szCs w:val="22"/>
          <w:lang w:val="es-ES_tradnl"/>
        </w:rPr>
        <w:t>Taiminen</w:t>
      </w:r>
      <w:proofErr w:type="spellEnd"/>
      <w:r w:rsidRPr="00372958">
        <w:rPr>
          <w:bCs/>
          <w:sz w:val="22"/>
          <w:szCs w:val="22"/>
          <w:lang w:val="es-ES_tradnl"/>
        </w:rPr>
        <w:t xml:space="preserve">, K., Luoma-aho, V., </w:t>
      </w:r>
      <w:proofErr w:type="spellStart"/>
      <w:r w:rsidRPr="00372958">
        <w:rPr>
          <w:bCs/>
          <w:sz w:val="22"/>
          <w:szCs w:val="22"/>
          <w:lang w:val="es-ES_tradnl"/>
        </w:rPr>
        <w:t>Tolvanen</w:t>
      </w:r>
      <w:proofErr w:type="spellEnd"/>
      <w:r w:rsidRPr="00372958">
        <w:rPr>
          <w:bCs/>
          <w:sz w:val="22"/>
          <w:szCs w:val="22"/>
          <w:lang w:val="es-ES_tradnl"/>
        </w:rPr>
        <w:t xml:space="preserve">, K. (2015). </w:t>
      </w:r>
      <w:r w:rsidRPr="005A6213">
        <w:rPr>
          <w:bCs/>
          <w:sz w:val="22"/>
          <w:szCs w:val="22"/>
          <w:lang w:val="en-GB"/>
        </w:rPr>
        <w:t xml:space="preserve">The transparent communicative organization and new hybrid forms of content. </w:t>
      </w:r>
      <w:r w:rsidRPr="005A6213">
        <w:rPr>
          <w:bCs/>
          <w:i/>
          <w:sz w:val="22"/>
          <w:szCs w:val="22"/>
          <w:lang w:val="en-GB"/>
        </w:rPr>
        <w:t>Public Relations Review, 41</w:t>
      </w:r>
      <w:r w:rsidRPr="005A6213">
        <w:rPr>
          <w:bCs/>
          <w:sz w:val="22"/>
          <w:szCs w:val="22"/>
          <w:lang w:val="en-GB"/>
        </w:rPr>
        <w:t>(5), 734–743.</w:t>
      </w:r>
      <w:r w:rsidR="008D4704" w:rsidRPr="005A6213">
        <w:rPr>
          <w:bCs/>
          <w:sz w:val="22"/>
          <w:szCs w:val="22"/>
          <w:lang w:val="en-GB"/>
        </w:rPr>
        <w:t xml:space="preserve"> </w:t>
      </w:r>
      <w:r w:rsidR="008D4704" w:rsidRPr="005A6213">
        <w:rPr>
          <w:sz w:val="22"/>
          <w:szCs w:val="22"/>
        </w:rPr>
        <w:t>doi.org/10.1016/j.pubrev.2015.06.016</w:t>
      </w:r>
    </w:p>
    <w:p w14:paraId="711CFDFF" w14:textId="77777777" w:rsidR="00656107" w:rsidRPr="005A6213" w:rsidRDefault="00656107" w:rsidP="00775827">
      <w:pPr>
        <w:ind w:left="284" w:hanging="284"/>
        <w:rPr>
          <w:sz w:val="22"/>
          <w:szCs w:val="22"/>
          <w:lang w:val="en"/>
        </w:rPr>
      </w:pPr>
      <w:proofErr w:type="spellStart"/>
      <w:r w:rsidRPr="005A6213">
        <w:rPr>
          <w:sz w:val="22"/>
          <w:szCs w:val="22"/>
          <w:lang w:val="en"/>
        </w:rPr>
        <w:t>Trefis</w:t>
      </w:r>
      <w:proofErr w:type="spellEnd"/>
      <w:r w:rsidRPr="005A6213">
        <w:rPr>
          <w:sz w:val="22"/>
          <w:szCs w:val="22"/>
          <w:lang w:val="en"/>
        </w:rPr>
        <w:t xml:space="preserve"> Team. (2015, July 1). News Corp’s print media will continue to decline – though other segments show promise. </w:t>
      </w:r>
      <w:r w:rsidRPr="005A6213">
        <w:rPr>
          <w:i/>
          <w:sz w:val="22"/>
          <w:szCs w:val="22"/>
          <w:lang w:val="en"/>
        </w:rPr>
        <w:t>Forbes</w:t>
      </w:r>
      <w:r w:rsidRPr="005A6213">
        <w:rPr>
          <w:sz w:val="22"/>
          <w:szCs w:val="22"/>
          <w:lang w:val="en"/>
        </w:rPr>
        <w:t>, Investing. Retrieved from http://www.forbes.com/sites/greatspeculations/2015/07/01/news-corps-print-media-will-continue-to-decline-though-other-segments-show-promise</w:t>
      </w:r>
    </w:p>
    <w:p w14:paraId="004917E7" w14:textId="0DC4E72D" w:rsidR="000A248C" w:rsidRPr="005A6213" w:rsidRDefault="000A248C" w:rsidP="00775827">
      <w:pPr>
        <w:autoSpaceDE w:val="0"/>
        <w:autoSpaceDN w:val="0"/>
        <w:adjustRightInd w:val="0"/>
        <w:ind w:left="284" w:hanging="284"/>
        <w:rPr>
          <w:sz w:val="22"/>
          <w:szCs w:val="22"/>
        </w:rPr>
      </w:pPr>
      <w:proofErr w:type="spellStart"/>
      <w:r w:rsidRPr="00372958">
        <w:rPr>
          <w:sz w:val="22"/>
          <w:szCs w:val="22"/>
          <w:lang w:val="es-ES_tradnl"/>
        </w:rPr>
        <w:t>Tutaj</w:t>
      </w:r>
      <w:proofErr w:type="spellEnd"/>
      <w:r w:rsidRPr="00372958">
        <w:rPr>
          <w:sz w:val="22"/>
          <w:szCs w:val="22"/>
          <w:lang w:val="es-ES_tradnl"/>
        </w:rPr>
        <w:t xml:space="preserve">, K., &amp; van </w:t>
      </w:r>
      <w:proofErr w:type="spellStart"/>
      <w:r w:rsidRPr="00372958">
        <w:rPr>
          <w:sz w:val="22"/>
          <w:szCs w:val="22"/>
          <w:lang w:val="es-ES_tradnl"/>
        </w:rPr>
        <w:t>Reijmersdal</w:t>
      </w:r>
      <w:proofErr w:type="spellEnd"/>
      <w:r w:rsidRPr="00372958">
        <w:rPr>
          <w:sz w:val="22"/>
          <w:szCs w:val="22"/>
          <w:lang w:val="es-ES_tradnl"/>
        </w:rPr>
        <w:t xml:space="preserve">, E. (2012). </w:t>
      </w:r>
      <w:r w:rsidRPr="005A6213">
        <w:rPr>
          <w:sz w:val="22"/>
          <w:szCs w:val="22"/>
        </w:rPr>
        <w:t xml:space="preserve">Effects of online advertising format and persuasion knowledge on audience reactions. </w:t>
      </w:r>
      <w:r w:rsidRPr="005A6213">
        <w:rPr>
          <w:i/>
          <w:iCs/>
          <w:sz w:val="22"/>
          <w:szCs w:val="22"/>
        </w:rPr>
        <w:t>Journal of Marketing Communications,</w:t>
      </w:r>
      <w:r w:rsidRPr="005A6213">
        <w:rPr>
          <w:sz w:val="22"/>
          <w:szCs w:val="22"/>
        </w:rPr>
        <w:t xml:space="preserve"> </w:t>
      </w:r>
      <w:r w:rsidRPr="005A6213">
        <w:rPr>
          <w:i/>
          <w:iCs/>
          <w:sz w:val="22"/>
          <w:szCs w:val="22"/>
        </w:rPr>
        <w:t>18</w:t>
      </w:r>
      <w:r w:rsidRPr="005A6213">
        <w:rPr>
          <w:sz w:val="22"/>
          <w:szCs w:val="22"/>
        </w:rPr>
        <w:t>(1), 5–18.</w:t>
      </w:r>
      <w:r w:rsidR="008D4704" w:rsidRPr="005A6213">
        <w:rPr>
          <w:sz w:val="22"/>
          <w:szCs w:val="22"/>
        </w:rPr>
        <w:t xml:space="preserve"> doi.org/10.1080/13527266.2011.620765</w:t>
      </w:r>
    </w:p>
    <w:p w14:paraId="0F269A90" w14:textId="66FBA890" w:rsidR="000A248C" w:rsidRPr="005A6213" w:rsidRDefault="000A248C" w:rsidP="00775827">
      <w:pPr>
        <w:ind w:left="284" w:hanging="284"/>
        <w:rPr>
          <w:sz w:val="22"/>
          <w:szCs w:val="22"/>
        </w:rPr>
      </w:pPr>
      <w:r w:rsidRPr="005A6213">
        <w:rPr>
          <w:sz w:val="22"/>
          <w:szCs w:val="22"/>
        </w:rPr>
        <w:t xml:space="preserve">Vega, T. (2013, April 7). Sponsors now pay for online articles, not just ads. </w:t>
      </w:r>
      <w:r w:rsidRPr="005A6213">
        <w:rPr>
          <w:i/>
          <w:sz w:val="22"/>
          <w:szCs w:val="22"/>
        </w:rPr>
        <w:t>The New York Times</w:t>
      </w:r>
      <w:r w:rsidRPr="005A6213">
        <w:rPr>
          <w:sz w:val="22"/>
          <w:szCs w:val="22"/>
        </w:rPr>
        <w:t xml:space="preserve">, Media &amp; Advertising, Retrieved from </w:t>
      </w:r>
      <w:r w:rsidRPr="005A6213">
        <w:rPr>
          <w:bCs/>
          <w:sz w:val="22"/>
          <w:szCs w:val="22"/>
        </w:rPr>
        <w:t>http://www.nytimes.com/2013/04/08/business/media/sponsors-now-pay-for-online-articles-not-just-ads.html?pagewanted=all</w:t>
      </w:r>
    </w:p>
    <w:p w14:paraId="57044F25" w14:textId="1B3655E1" w:rsidR="007B38AE" w:rsidRPr="005A6213" w:rsidRDefault="007B38AE" w:rsidP="00775827">
      <w:pPr>
        <w:shd w:val="clear" w:color="auto" w:fill="FFFFFF"/>
        <w:ind w:left="284" w:hanging="284"/>
        <w:rPr>
          <w:color w:val="2E2E2E"/>
          <w:sz w:val="22"/>
          <w:szCs w:val="22"/>
        </w:rPr>
      </w:pPr>
      <w:proofErr w:type="spellStart"/>
      <w:r w:rsidRPr="005A6213">
        <w:rPr>
          <w:bCs/>
          <w:sz w:val="22"/>
          <w:szCs w:val="22"/>
          <w:lang w:val="en-US"/>
        </w:rPr>
        <w:t>Verčič</w:t>
      </w:r>
      <w:proofErr w:type="spellEnd"/>
      <w:r w:rsidRPr="005A6213">
        <w:rPr>
          <w:bCs/>
          <w:sz w:val="22"/>
          <w:szCs w:val="22"/>
          <w:lang w:val="en-US"/>
        </w:rPr>
        <w:t xml:space="preserve">, D., &amp; </w:t>
      </w:r>
      <w:proofErr w:type="spellStart"/>
      <w:r w:rsidRPr="005A6213">
        <w:rPr>
          <w:bCs/>
          <w:sz w:val="22"/>
          <w:szCs w:val="22"/>
          <w:lang w:val="en-US"/>
        </w:rPr>
        <w:t>Tkalac</w:t>
      </w:r>
      <w:proofErr w:type="spellEnd"/>
      <w:r w:rsidRPr="005A6213">
        <w:rPr>
          <w:bCs/>
          <w:sz w:val="22"/>
          <w:szCs w:val="22"/>
          <w:lang w:val="en-US"/>
        </w:rPr>
        <w:t xml:space="preserve"> </w:t>
      </w:r>
      <w:proofErr w:type="spellStart"/>
      <w:r w:rsidRPr="005A6213">
        <w:rPr>
          <w:bCs/>
          <w:sz w:val="22"/>
          <w:szCs w:val="22"/>
          <w:lang w:val="en-US"/>
        </w:rPr>
        <w:t>Verčič</w:t>
      </w:r>
      <w:proofErr w:type="spellEnd"/>
      <w:r w:rsidRPr="005A6213">
        <w:rPr>
          <w:bCs/>
          <w:sz w:val="22"/>
          <w:szCs w:val="22"/>
          <w:lang w:val="en-US"/>
        </w:rPr>
        <w:t xml:space="preserve">, A. (2015). </w:t>
      </w:r>
      <w:r w:rsidRPr="005A6213">
        <w:rPr>
          <w:sz w:val="22"/>
          <w:szCs w:val="22"/>
          <w:lang w:val="en-US"/>
        </w:rPr>
        <w:t xml:space="preserve">The new publicity: From reflexive to reflective </w:t>
      </w:r>
      <w:proofErr w:type="spellStart"/>
      <w:r w:rsidRPr="005A6213">
        <w:rPr>
          <w:sz w:val="22"/>
          <w:szCs w:val="22"/>
          <w:lang w:val="en-US"/>
        </w:rPr>
        <w:t>mediatization</w:t>
      </w:r>
      <w:proofErr w:type="spellEnd"/>
      <w:r w:rsidRPr="005A6213">
        <w:rPr>
          <w:sz w:val="22"/>
          <w:szCs w:val="22"/>
          <w:lang w:val="en-US"/>
        </w:rPr>
        <w:t xml:space="preserve">. </w:t>
      </w:r>
      <w:r w:rsidRPr="005A6213">
        <w:rPr>
          <w:i/>
          <w:iCs/>
          <w:sz w:val="22"/>
          <w:szCs w:val="22"/>
          <w:lang w:val="en-US"/>
        </w:rPr>
        <w:t>Public Relations Review, 41</w:t>
      </w:r>
      <w:r w:rsidRPr="005A6213">
        <w:rPr>
          <w:sz w:val="22"/>
          <w:szCs w:val="22"/>
          <w:lang w:val="en-US"/>
        </w:rPr>
        <w:t>(4), 142</w:t>
      </w:r>
      <w:r w:rsidRPr="005A6213">
        <w:rPr>
          <w:sz w:val="22"/>
          <w:szCs w:val="22"/>
          <w:lang w:val="en-GB"/>
        </w:rPr>
        <w:t>–1</w:t>
      </w:r>
      <w:r w:rsidRPr="005A6213">
        <w:rPr>
          <w:sz w:val="22"/>
          <w:szCs w:val="22"/>
          <w:lang w:val="en-US"/>
        </w:rPr>
        <w:t xml:space="preserve">52. </w:t>
      </w:r>
      <w:r w:rsidR="008D4704" w:rsidRPr="005A6213">
        <w:rPr>
          <w:color w:val="2E2E2E"/>
          <w:sz w:val="22"/>
          <w:szCs w:val="22"/>
        </w:rPr>
        <w:t>doi:10.1016/j.pubrev.2015.07.008</w:t>
      </w:r>
    </w:p>
    <w:p w14:paraId="1D11208A" w14:textId="77777777" w:rsidR="00542FD1" w:rsidRPr="005A6213" w:rsidRDefault="00542FD1" w:rsidP="00775827">
      <w:pPr>
        <w:autoSpaceDE w:val="0"/>
        <w:autoSpaceDN w:val="0"/>
        <w:adjustRightInd w:val="0"/>
        <w:ind w:left="284" w:hanging="284"/>
        <w:rPr>
          <w:sz w:val="22"/>
          <w:szCs w:val="22"/>
        </w:rPr>
      </w:pPr>
      <w:r w:rsidRPr="005A6213">
        <w:rPr>
          <w:sz w:val="22"/>
          <w:szCs w:val="22"/>
        </w:rPr>
        <w:t xml:space="preserve">Wasserman, T. (2013, September 26). Why native advertising is the opposite of porn. </w:t>
      </w:r>
      <w:r w:rsidRPr="005A6213">
        <w:rPr>
          <w:i/>
          <w:sz w:val="22"/>
          <w:szCs w:val="22"/>
        </w:rPr>
        <w:t>Mashable</w:t>
      </w:r>
      <w:r w:rsidRPr="005A6213">
        <w:rPr>
          <w:sz w:val="22"/>
          <w:szCs w:val="22"/>
        </w:rPr>
        <w:t>. Retrieved from http://mashable.com/2013/09/25/native-advertising-porn</w:t>
      </w:r>
    </w:p>
    <w:p w14:paraId="3519FED6" w14:textId="77777777" w:rsidR="007B38AE" w:rsidRPr="005A6213" w:rsidRDefault="007B38AE" w:rsidP="00775827">
      <w:pPr>
        <w:ind w:left="284" w:hanging="284"/>
        <w:rPr>
          <w:sz w:val="22"/>
          <w:szCs w:val="22"/>
        </w:rPr>
      </w:pPr>
      <w:r w:rsidRPr="005A6213">
        <w:rPr>
          <w:bCs/>
          <w:sz w:val="22"/>
          <w:szCs w:val="22"/>
          <w:lang w:val="en-GB"/>
        </w:rPr>
        <w:t xml:space="preserve">Watson, T. (2012). </w:t>
      </w:r>
      <w:r w:rsidRPr="005A6213">
        <w:rPr>
          <w:sz w:val="22"/>
          <w:szCs w:val="22"/>
          <w:lang w:val="en-GB"/>
        </w:rPr>
        <w:t xml:space="preserve">The evolution of public relations measurement and evaluation. </w:t>
      </w:r>
      <w:r w:rsidRPr="005A6213">
        <w:rPr>
          <w:i/>
          <w:iCs/>
          <w:sz w:val="22"/>
          <w:szCs w:val="22"/>
          <w:lang w:val="en-GB"/>
        </w:rPr>
        <w:t>Public Relations Review,</w:t>
      </w:r>
      <w:r w:rsidRPr="005A6213">
        <w:rPr>
          <w:sz w:val="22"/>
          <w:szCs w:val="22"/>
          <w:lang w:val="en-GB"/>
        </w:rPr>
        <w:t xml:space="preserve"> </w:t>
      </w:r>
      <w:r w:rsidRPr="005A6213">
        <w:rPr>
          <w:i/>
          <w:iCs/>
          <w:sz w:val="22"/>
          <w:szCs w:val="22"/>
          <w:lang w:val="en-GB"/>
        </w:rPr>
        <w:t>38</w:t>
      </w:r>
      <w:r w:rsidRPr="005A6213">
        <w:rPr>
          <w:sz w:val="22"/>
          <w:szCs w:val="22"/>
          <w:lang w:val="en-GB"/>
        </w:rPr>
        <w:t>(3), 390–398.</w:t>
      </w:r>
    </w:p>
    <w:p w14:paraId="09A6AE68" w14:textId="77777777" w:rsidR="008B0870" w:rsidRPr="005A6213" w:rsidRDefault="008B0870" w:rsidP="00775827">
      <w:pPr>
        <w:autoSpaceDE w:val="0"/>
        <w:autoSpaceDN w:val="0"/>
        <w:adjustRightInd w:val="0"/>
        <w:ind w:left="284" w:hanging="284"/>
        <w:rPr>
          <w:sz w:val="22"/>
          <w:szCs w:val="22"/>
        </w:rPr>
      </w:pPr>
      <w:proofErr w:type="spellStart"/>
      <w:r w:rsidRPr="005A6213">
        <w:rPr>
          <w:sz w:val="22"/>
          <w:szCs w:val="22"/>
        </w:rPr>
        <w:t>Wemple</w:t>
      </w:r>
      <w:proofErr w:type="spellEnd"/>
      <w:r w:rsidRPr="005A6213">
        <w:rPr>
          <w:sz w:val="22"/>
          <w:szCs w:val="22"/>
        </w:rPr>
        <w:t xml:space="preserve">, E. (2013, January 15). The Atlantic’s scientology problem, start to finish. </w:t>
      </w:r>
      <w:r w:rsidRPr="005A6213">
        <w:rPr>
          <w:i/>
          <w:sz w:val="22"/>
          <w:szCs w:val="22"/>
        </w:rPr>
        <w:t xml:space="preserve">Washington Post </w:t>
      </w:r>
      <w:r w:rsidRPr="005A6213">
        <w:rPr>
          <w:sz w:val="22"/>
          <w:szCs w:val="22"/>
        </w:rPr>
        <w:t>[Web log post]. Retrieved from http://www.washingtonpost.com/blogs/erik-wemple/wp/2013/01/15/the-atlantics-scientologyproblem-start-to-finish</w:t>
      </w:r>
    </w:p>
    <w:p w14:paraId="5A7D8C25" w14:textId="77777777" w:rsidR="007B38AE" w:rsidRPr="005A6213" w:rsidRDefault="007B38AE" w:rsidP="00775827">
      <w:pPr>
        <w:ind w:left="284" w:hanging="284"/>
        <w:rPr>
          <w:sz w:val="22"/>
          <w:szCs w:val="22"/>
        </w:rPr>
      </w:pPr>
      <w:r w:rsidRPr="005A6213">
        <w:rPr>
          <w:bCs/>
          <w:sz w:val="22"/>
          <w:szCs w:val="22"/>
        </w:rPr>
        <w:t xml:space="preserve">Wright, D., &amp; Hinson, M. (2012). </w:t>
      </w:r>
      <w:r w:rsidRPr="005A6213">
        <w:rPr>
          <w:sz w:val="22"/>
          <w:szCs w:val="22"/>
          <w:lang w:val="en-GB"/>
        </w:rPr>
        <w:t>Examining how social and emerging media have been used in public re</w:t>
      </w:r>
      <w:r w:rsidR="0007497E" w:rsidRPr="005A6213">
        <w:rPr>
          <w:sz w:val="22"/>
          <w:szCs w:val="22"/>
          <w:lang w:val="en-GB"/>
        </w:rPr>
        <w:t xml:space="preserve">lations between 2006 and 2012: </w:t>
      </w:r>
      <w:r w:rsidRPr="005A6213">
        <w:rPr>
          <w:sz w:val="22"/>
          <w:szCs w:val="22"/>
          <w:lang w:val="en-GB"/>
        </w:rPr>
        <w:t xml:space="preserve">A longitudinal analysis. </w:t>
      </w:r>
      <w:r w:rsidRPr="005A6213">
        <w:rPr>
          <w:i/>
          <w:iCs/>
          <w:sz w:val="22"/>
          <w:szCs w:val="22"/>
          <w:lang w:val="en-GB"/>
        </w:rPr>
        <w:t>Public Relations Journal, 6</w:t>
      </w:r>
      <w:r w:rsidRPr="005A6213">
        <w:rPr>
          <w:sz w:val="22"/>
          <w:szCs w:val="22"/>
          <w:lang w:val="en-GB"/>
        </w:rPr>
        <w:t>(4), 1–40.</w:t>
      </w:r>
    </w:p>
    <w:p w14:paraId="1D764268" w14:textId="77777777" w:rsidR="00DB5298" w:rsidRPr="005A6213" w:rsidRDefault="00DB5298" w:rsidP="00775827">
      <w:pPr>
        <w:ind w:left="284" w:hanging="284"/>
        <w:rPr>
          <w:sz w:val="22"/>
          <w:szCs w:val="22"/>
        </w:rPr>
      </w:pPr>
      <w:r w:rsidRPr="005A6213">
        <w:rPr>
          <w:sz w:val="22"/>
          <w:szCs w:val="22"/>
        </w:rPr>
        <w:t>YouTube. (2016). Statistics. Retrieved from http://www.youtube.com/t/press_statistics</w:t>
      </w:r>
    </w:p>
    <w:p w14:paraId="5CDE56E3" w14:textId="77777777" w:rsidR="007B38AE" w:rsidRDefault="007B38AE" w:rsidP="00775827">
      <w:pPr>
        <w:ind w:left="284" w:hanging="284"/>
        <w:rPr>
          <w:sz w:val="22"/>
          <w:szCs w:val="22"/>
          <w:lang w:val="en-GB"/>
        </w:rPr>
      </w:pPr>
      <w:r w:rsidRPr="005A6213">
        <w:rPr>
          <w:bCs/>
          <w:sz w:val="22"/>
          <w:szCs w:val="22"/>
          <w:lang w:val="de-DE"/>
        </w:rPr>
        <w:t xml:space="preserve">Zerfass, A., Verčič, D., Verhoeven, P., Moreno, A., &amp; Tench, R. (2015). </w:t>
      </w:r>
      <w:r w:rsidR="00A504E5" w:rsidRPr="005A6213">
        <w:rPr>
          <w:i/>
          <w:iCs/>
          <w:sz w:val="22"/>
          <w:szCs w:val="22"/>
          <w:lang w:val="en-GB"/>
        </w:rPr>
        <w:t>European communication m</w:t>
      </w:r>
      <w:r w:rsidRPr="005A6213">
        <w:rPr>
          <w:i/>
          <w:iCs/>
          <w:sz w:val="22"/>
          <w:szCs w:val="22"/>
          <w:lang w:val="en-GB"/>
        </w:rPr>
        <w:t>onitor 2015. Creating communication value through listening, messaging and measurement. Results of a Survey in 41 Countries.</w:t>
      </w:r>
      <w:r w:rsidRPr="005A6213">
        <w:rPr>
          <w:sz w:val="22"/>
          <w:szCs w:val="22"/>
          <w:lang w:val="en-GB"/>
        </w:rPr>
        <w:t xml:space="preserve"> Brussels</w:t>
      </w:r>
      <w:r w:rsidR="00A504E5" w:rsidRPr="005A6213">
        <w:rPr>
          <w:sz w:val="22"/>
          <w:szCs w:val="22"/>
          <w:lang w:val="en-GB"/>
        </w:rPr>
        <w:t>, Belgium</w:t>
      </w:r>
      <w:r w:rsidRPr="005A6213">
        <w:rPr>
          <w:sz w:val="22"/>
          <w:szCs w:val="22"/>
          <w:lang w:val="en-GB"/>
        </w:rPr>
        <w:t xml:space="preserve">: </w:t>
      </w:r>
      <w:r w:rsidR="00A504E5" w:rsidRPr="005A6213">
        <w:rPr>
          <w:sz w:val="22"/>
          <w:szCs w:val="22"/>
          <w:lang w:val="en-GB"/>
        </w:rPr>
        <w:t xml:space="preserve">European Association of Communication Directors </w:t>
      </w:r>
      <w:r w:rsidR="00A504E5" w:rsidRPr="005A6213">
        <w:rPr>
          <w:sz w:val="22"/>
          <w:szCs w:val="22"/>
          <w:lang w:val="en-GB"/>
        </w:rPr>
        <w:lastRenderedPageBreak/>
        <w:t>(EACD), European Public Relations Education and Research Association (</w:t>
      </w:r>
      <w:r w:rsidRPr="005A6213">
        <w:rPr>
          <w:sz w:val="22"/>
          <w:szCs w:val="22"/>
          <w:lang w:val="en-GB"/>
        </w:rPr>
        <w:t>EUPRERA</w:t>
      </w:r>
      <w:r w:rsidR="00A504E5" w:rsidRPr="005A6213">
        <w:rPr>
          <w:sz w:val="22"/>
          <w:szCs w:val="22"/>
          <w:lang w:val="en-GB"/>
        </w:rPr>
        <w:t>)</w:t>
      </w:r>
      <w:r w:rsidRPr="005A6213">
        <w:rPr>
          <w:sz w:val="22"/>
          <w:szCs w:val="22"/>
          <w:lang w:val="en-GB"/>
        </w:rPr>
        <w:t>,</w:t>
      </w:r>
      <w:r w:rsidR="00A504E5" w:rsidRPr="005A6213">
        <w:rPr>
          <w:sz w:val="22"/>
          <w:szCs w:val="22"/>
          <w:lang w:val="en-GB"/>
        </w:rPr>
        <w:t xml:space="preserve"> and</w:t>
      </w:r>
      <w:r w:rsidRPr="005A6213">
        <w:rPr>
          <w:sz w:val="22"/>
          <w:szCs w:val="22"/>
          <w:lang w:val="en-GB"/>
        </w:rPr>
        <w:t xml:space="preserve"> Helios Media.</w:t>
      </w:r>
    </w:p>
    <w:p w14:paraId="3782C14E" w14:textId="2C46CA4D" w:rsidR="00E46A83" w:rsidRPr="005A6213" w:rsidRDefault="00E46A83" w:rsidP="008F7C8E">
      <w:pPr>
        <w:rPr>
          <w:sz w:val="22"/>
          <w:szCs w:val="22"/>
          <w:lang w:val="en-GB"/>
        </w:rPr>
      </w:pPr>
    </w:p>
    <w:sectPr w:rsidR="00E46A83" w:rsidRPr="005A6213" w:rsidSect="00AD0C02">
      <w:footerReference w:type="default" r:id="rId8"/>
      <w:endnotePr>
        <w:numFmt w:val="decimal"/>
      </w:endnotePr>
      <w:pgSz w:w="12242" w:h="15842" w:code="1"/>
      <w:pgMar w:top="1440" w:right="1440" w:bottom="794" w:left="1440" w:header="68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B69A2" w14:textId="77777777" w:rsidR="00F04A31" w:rsidRDefault="00F04A31" w:rsidP="00D06FF8">
      <w:r>
        <w:separator/>
      </w:r>
    </w:p>
  </w:endnote>
  <w:endnote w:type="continuationSeparator" w:id="0">
    <w:p w14:paraId="39D5B9DE" w14:textId="77777777" w:rsidR="00F04A31" w:rsidRDefault="00F04A31" w:rsidP="00D06FF8">
      <w:r>
        <w:continuationSeparator/>
      </w:r>
    </w:p>
  </w:endnote>
  <w:endnote w:id="1">
    <w:p w14:paraId="5517D571" w14:textId="0E642792" w:rsidR="00ED4B75" w:rsidRDefault="00ED4B75" w:rsidP="004A4E23">
      <w:pPr>
        <w:pStyle w:val="EndnoteText"/>
        <w:ind w:left="284" w:hanging="284"/>
      </w:pPr>
      <w:r>
        <w:rPr>
          <w:rStyle w:val="EndnoteReference"/>
        </w:rPr>
        <w:endnoteRef/>
      </w:r>
      <w:r>
        <w:t xml:space="preserve"> </w:t>
      </w:r>
      <w:r>
        <w:tab/>
        <w:t>‘Media’ strategies is used here to denote a broad range of mediated communication channels including press, radio, TV, social media, Web sites, events, house publications, Web sites, and mobile applications.</w:t>
      </w:r>
    </w:p>
    <w:p w14:paraId="08573313" w14:textId="77777777" w:rsidR="00E46A83" w:rsidRDefault="00E46A83" w:rsidP="004A4E23">
      <w:pPr>
        <w:pStyle w:val="EndnoteText"/>
        <w:ind w:left="284" w:hanging="284"/>
      </w:pPr>
    </w:p>
    <w:p w14:paraId="3310772C" w14:textId="77777777" w:rsidR="00E46A83" w:rsidRDefault="00E46A83" w:rsidP="00E46A83">
      <w:pPr>
        <w:pStyle w:val="HTMLPreformatted"/>
        <w:ind w:left="284" w:hanging="284"/>
        <w:jc w:val="both"/>
        <w:rPr>
          <w:rFonts w:ascii="Times New Roman" w:hAnsi="Times New Roman" w:cs="Times New Roman"/>
          <w:color w:val="000000"/>
          <w:sz w:val="20"/>
          <w:szCs w:val="20"/>
        </w:rPr>
      </w:pPr>
    </w:p>
    <w:p w14:paraId="19B89DFE" w14:textId="77777777" w:rsidR="00E46A83" w:rsidRPr="00600F58" w:rsidRDefault="00E46A83" w:rsidP="00E46A83">
      <w:pPr>
        <w:pBdr>
          <w:top w:val="single" w:sz="4" w:space="1" w:color="auto"/>
          <w:left w:val="single" w:sz="4" w:space="4" w:color="auto"/>
          <w:bottom w:val="single" w:sz="4" w:space="1" w:color="auto"/>
          <w:right w:val="single" w:sz="4" w:space="4" w:color="auto"/>
        </w:pBdr>
        <w:ind w:left="142" w:right="96"/>
        <w:rPr>
          <w:b/>
        </w:rPr>
      </w:pPr>
      <w:r w:rsidRPr="00600F58">
        <w:rPr>
          <w:b/>
        </w:rPr>
        <w:t>Published reference:</w:t>
      </w:r>
    </w:p>
    <w:p w14:paraId="5A91C5EE" w14:textId="77777777" w:rsidR="00E46A83" w:rsidRPr="00600F58" w:rsidRDefault="00E46A83" w:rsidP="00E46A83">
      <w:pPr>
        <w:pBdr>
          <w:top w:val="single" w:sz="4" w:space="1" w:color="auto"/>
          <w:left w:val="single" w:sz="4" w:space="4" w:color="auto"/>
          <w:bottom w:val="single" w:sz="4" w:space="1" w:color="auto"/>
          <w:right w:val="single" w:sz="4" w:space="4" w:color="auto"/>
        </w:pBdr>
        <w:ind w:left="142" w:right="96"/>
        <w:rPr>
          <w:sz w:val="16"/>
          <w:szCs w:val="16"/>
        </w:rPr>
      </w:pPr>
    </w:p>
    <w:p w14:paraId="25631F31" w14:textId="4EC0A9E1" w:rsidR="00E46A83" w:rsidRDefault="00E46A83" w:rsidP="00E46A83">
      <w:pPr>
        <w:pBdr>
          <w:top w:val="single" w:sz="4" w:space="1" w:color="auto"/>
          <w:left w:val="single" w:sz="4" w:space="4" w:color="auto"/>
          <w:bottom w:val="single" w:sz="4" w:space="1" w:color="auto"/>
          <w:right w:val="single" w:sz="4" w:space="4" w:color="auto"/>
        </w:pBdr>
        <w:ind w:left="426" w:right="96" w:hanging="284"/>
        <w:rPr>
          <w:sz w:val="22"/>
          <w:szCs w:val="22"/>
        </w:rPr>
      </w:pPr>
      <w:r>
        <w:rPr>
          <w:sz w:val="22"/>
          <w:szCs w:val="22"/>
        </w:rPr>
        <w:t>Macnamara J.</w:t>
      </w:r>
      <w:r w:rsidR="008F7C8E">
        <w:rPr>
          <w:sz w:val="22"/>
          <w:szCs w:val="22"/>
        </w:rPr>
        <w:t>, L</w:t>
      </w:r>
      <w:r w:rsidR="00877C55">
        <w:rPr>
          <w:sz w:val="22"/>
          <w:szCs w:val="22"/>
        </w:rPr>
        <w:t xml:space="preserve">win, M., Adi, A., &amp; </w:t>
      </w:r>
      <w:proofErr w:type="spellStart"/>
      <w:r w:rsidR="00877C55">
        <w:rPr>
          <w:sz w:val="22"/>
          <w:szCs w:val="22"/>
        </w:rPr>
        <w:t>Zerfass</w:t>
      </w:r>
      <w:proofErr w:type="spellEnd"/>
      <w:r w:rsidR="00877C55">
        <w:rPr>
          <w:sz w:val="22"/>
          <w:szCs w:val="22"/>
        </w:rPr>
        <w:t>, A.</w:t>
      </w:r>
      <w:r w:rsidR="009E2481">
        <w:rPr>
          <w:sz w:val="22"/>
          <w:szCs w:val="22"/>
        </w:rPr>
        <w:t xml:space="preserve"> (in print)</w:t>
      </w:r>
      <w:bookmarkStart w:id="0" w:name="_GoBack"/>
      <w:bookmarkEnd w:id="0"/>
      <w:r w:rsidRPr="00D173AE">
        <w:rPr>
          <w:sz w:val="22"/>
          <w:szCs w:val="22"/>
        </w:rPr>
        <w:t xml:space="preserve">. </w:t>
      </w:r>
      <w:r>
        <w:rPr>
          <w:sz w:val="22"/>
          <w:szCs w:val="22"/>
        </w:rPr>
        <w:t>‘PESO’ media strategy shifts to ‘SOEP’: Opportunities and ethical dilemmas</w:t>
      </w:r>
      <w:r w:rsidRPr="005168C1">
        <w:rPr>
          <w:sz w:val="22"/>
          <w:szCs w:val="22"/>
        </w:rPr>
        <w:t xml:space="preserve">. </w:t>
      </w:r>
      <w:r>
        <w:rPr>
          <w:i/>
          <w:sz w:val="22"/>
          <w:szCs w:val="22"/>
        </w:rPr>
        <w:t>Public Relations Review</w:t>
      </w:r>
      <w:r w:rsidRPr="005168C1">
        <w:rPr>
          <w:sz w:val="22"/>
          <w:szCs w:val="22"/>
        </w:rPr>
        <w:t xml:space="preserve">. </w:t>
      </w:r>
      <w:proofErr w:type="spellStart"/>
      <w:r w:rsidR="009E2481">
        <w:rPr>
          <w:sz w:val="22"/>
          <w:szCs w:val="22"/>
        </w:rPr>
        <w:t>doi</w:t>
      </w:r>
      <w:proofErr w:type="spellEnd"/>
      <w:r w:rsidR="009E2481">
        <w:rPr>
          <w:sz w:val="22"/>
          <w:szCs w:val="22"/>
        </w:rPr>
        <w:t xml:space="preserve">: </w:t>
      </w:r>
      <w:r w:rsidR="009E2481">
        <w:t>10.1016/j.pubrev.2016.03.001</w:t>
      </w:r>
    </w:p>
    <w:p w14:paraId="66B06B92" w14:textId="77777777" w:rsidR="00E46A83" w:rsidRPr="00A937A9" w:rsidRDefault="00E46A83" w:rsidP="00E46A83">
      <w:pPr>
        <w:pBdr>
          <w:top w:val="single" w:sz="4" w:space="1" w:color="auto"/>
          <w:left w:val="single" w:sz="4" w:space="4" w:color="auto"/>
          <w:bottom w:val="single" w:sz="4" w:space="1" w:color="auto"/>
          <w:right w:val="single" w:sz="4" w:space="4" w:color="auto"/>
        </w:pBdr>
        <w:ind w:left="426" w:right="96" w:hanging="284"/>
        <w:rPr>
          <w:sz w:val="16"/>
          <w:szCs w:val="16"/>
        </w:rPr>
      </w:pPr>
    </w:p>
    <w:p w14:paraId="191BB8E7" w14:textId="77777777" w:rsidR="00E46A83" w:rsidRDefault="00E46A83" w:rsidP="00E46A83">
      <w:pPr>
        <w:pStyle w:val="EndnoteText"/>
        <w:ind w:left="284" w:hanging="284"/>
        <w:jc w:val="both"/>
      </w:pPr>
    </w:p>
    <w:p w14:paraId="37683044" w14:textId="77777777" w:rsidR="00E46A83" w:rsidRDefault="00E46A83" w:rsidP="004A4E23">
      <w:pPr>
        <w:pStyle w:val="EndnoteText"/>
        <w:ind w:left="284" w:hanging="28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104520"/>
      <w:docPartObj>
        <w:docPartGallery w:val="Page Numbers (Bottom of Page)"/>
        <w:docPartUnique/>
      </w:docPartObj>
    </w:sdtPr>
    <w:sdtEndPr>
      <w:rPr>
        <w:noProof/>
      </w:rPr>
    </w:sdtEndPr>
    <w:sdtContent>
      <w:p w14:paraId="592F01B6" w14:textId="77777777" w:rsidR="00ED4B75" w:rsidRDefault="00ED4B75" w:rsidP="00A247E4">
        <w:pPr>
          <w:pStyle w:val="Footer"/>
          <w:jc w:val="right"/>
        </w:pPr>
        <w:r>
          <w:fldChar w:fldCharType="begin"/>
        </w:r>
        <w:r>
          <w:instrText xml:space="preserve"> PAGE   \* MERGEFORMAT </w:instrText>
        </w:r>
        <w:r>
          <w:fldChar w:fldCharType="separate"/>
        </w:r>
        <w:r w:rsidR="009E2481">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101AC" w14:textId="77777777" w:rsidR="00F04A31" w:rsidRDefault="00F04A31" w:rsidP="00D06FF8">
      <w:r>
        <w:separator/>
      </w:r>
    </w:p>
  </w:footnote>
  <w:footnote w:type="continuationSeparator" w:id="0">
    <w:p w14:paraId="0D86A0E3" w14:textId="77777777" w:rsidR="00F04A31" w:rsidRDefault="00F04A31" w:rsidP="00D06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C4D03"/>
    <w:multiLevelType w:val="hybridMultilevel"/>
    <w:tmpl w:val="588A20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8BD12DF"/>
    <w:multiLevelType w:val="multilevel"/>
    <w:tmpl w:val="4802C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9A07D0"/>
    <w:multiLevelType w:val="hybridMultilevel"/>
    <w:tmpl w:val="D084D1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2D603F5"/>
    <w:multiLevelType w:val="hybridMultilevel"/>
    <w:tmpl w:val="F25659E4"/>
    <w:lvl w:ilvl="0" w:tplc="9C72500E">
      <w:start w:val="1"/>
      <w:numFmt w:val="bullet"/>
      <w:lvlText w:val=""/>
      <w:lvlJc w:val="left"/>
      <w:pPr>
        <w:tabs>
          <w:tab w:val="num" w:pos="360"/>
        </w:tabs>
        <w:ind w:left="36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C97481"/>
    <w:multiLevelType w:val="multilevel"/>
    <w:tmpl w:val="B614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8A3005"/>
    <w:multiLevelType w:val="hybridMultilevel"/>
    <w:tmpl w:val="CCAEA6E4"/>
    <w:lvl w:ilvl="0" w:tplc="9C72500E">
      <w:start w:val="1"/>
      <w:numFmt w:val="bullet"/>
      <w:lvlText w:val=""/>
      <w:lvlJc w:val="left"/>
      <w:pPr>
        <w:tabs>
          <w:tab w:val="num" w:pos="360"/>
        </w:tabs>
        <w:ind w:left="36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717689"/>
    <w:multiLevelType w:val="multilevel"/>
    <w:tmpl w:val="53E8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D1"/>
    <w:rsid w:val="00023869"/>
    <w:rsid w:val="0003250B"/>
    <w:rsid w:val="000343E7"/>
    <w:rsid w:val="0006021C"/>
    <w:rsid w:val="0007497E"/>
    <w:rsid w:val="000823B5"/>
    <w:rsid w:val="00084867"/>
    <w:rsid w:val="00087548"/>
    <w:rsid w:val="00087986"/>
    <w:rsid w:val="000948AF"/>
    <w:rsid w:val="000A248C"/>
    <w:rsid w:val="000A65F6"/>
    <w:rsid w:val="000B48F3"/>
    <w:rsid w:val="000C0833"/>
    <w:rsid w:val="00103FF8"/>
    <w:rsid w:val="001043F0"/>
    <w:rsid w:val="001179D9"/>
    <w:rsid w:val="00145285"/>
    <w:rsid w:val="00157CCF"/>
    <w:rsid w:val="0018350F"/>
    <w:rsid w:val="001B5B22"/>
    <w:rsid w:val="001B6573"/>
    <w:rsid w:val="001D0074"/>
    <w:rsid w:val="001E0A4C"/>
    <w:rsid w:val="001F4E8E"/>
    <w:rsid w:val="00212E1D"/>
    <w:rsid w:val="00214191"/>
    <w:rsid w:val="002352CF"/>
    <w:rsid w:val="00240B63"/>
    <w:rsid w:val="002535AE"/>
    <w:rsid w:val="002642ED"/>
    <w:rsid w:val="00285B7B"/>
    <w:rsid w:val="0029215C"/>
    <w:rsid w:val="002B4C70"/>
    <w:rsid w:val="002B6B6E"/>
    <w:rsid w:val="002C4F16"/>
    <w:rsid w:val="002D6BCD"/>
    <w:rsid w:val="00300AE1"/>
    <w:rsid w:val="00312C11"/>
    <w:rsid w:val="00320B77"/>
    <w:rsid w:val="00321CF3"/>
    <w:rsid w:val="00333CFF"/>
    <w:rsid w:val="00337A8B"/>
    <w:rsid w:val="003457DD"/>
    <w:rsid w:val="00357CE8"/>
    <w:rsid w:val="00370F1E"/>
    <w:rsid w:val="00372958"/>
    <w:rsid w:val="003756B4"/>
    <w:rsid w:val="0038195C"/>
    <w:rsid w:val="0038243E"/>
    <w:rsid w:val="00385BD1"/>
    <w:rsid w:val="003A6A7A"/>
    <w:rsid w:val="003A771B"/>
    <w:rsid w:val="003B6DB8"/>
    <w:rsid w:val="003C18C0"/>
    <w:rsid w:val="003D074C"/>
    <w:rsid w:val="003D13CA"/>
    <w:rsid w:val="003D2155"/>
    <w:rsid w:val="003D227D"/>
    <w:rsid w:val="003D7F89"/>
    <w:rsid w:val="003F53F0"/>
    <w:rsid w:val="00400812"/>
    <w:rsid w:val="00405D67"/>
    <w:rsid w:val="00411FF7"/>
    <w:rsid w:val="00417D65"/>
    <w:rsid w:val="0042252D"/>
    <w:rsid w:val="00422829"/>
    <w:rsid w:val="0042497A"/>
    <w:rsid w:val="004261C7"/>
    <w:rsid w:val="00437D52"/>
    <w:rsid w:val="004402A9"/>
    <w:rsid w:val="00452528"/>
    <w:rsid w:val="00471A85"/>
    <w:rsid w:val="00485A3F"/>
    <w:rsid w:val="004959FD"/>
    <w:rsid w:val="004971C4"/>
    <w:rsid w:val="004A4E23"/>
    <w:rsid w:val="004A72C9"/>
    <w:rsid w:val="004B06CB"/>
    <w:rsid w:val="004B2B23"/>
    <w:rsid w:val="004D605B"/>
    <w:rsid w:val="004D6EA8"/>
    <w:rsid w:val="004E1C97"/>
    <w:rsid w:val="004E45E5"/>
    <w:rsid w:val="0050745F"/>
    <w:rsid w:val="0051222D"/>
    <w:rsid w:val="00523F96"/>
    <w:rsid w:val="00531A30"/>
    <w:rsid w:val="00534042"/>
    <w:rsid w:val="00542FD1"/>
    <w:rsid w:val="00552737"/>
    <w:rsid w:val="00573ED4"/>
    <w:rsid w:val="00586A10"/>
    <w:rsid w:val="00594E66"/>
    <w:rsid w:val="00595632"/>
    <w:rsid w:val="005A0A44"/>
    <w:rsid w:val="005A4D49"/>
    <w:rsid w:val="005A6213"/>
    <w:rsid w:val="005C11CF"/>
    <w:rsid w:val="005C1217"/>
    <w:rsid w:val="005D04E0"/>
    <w:rsid w:val="005D0ADE"/>
    <w:rsid w:val="005D4FE9"/>
    <w:rsid w:val="00603370"/>
    <w:rsid w:val="00616D89"/>
    <w:rsid w:val="00617765"/>
    <w:rsid w:val="0062574B"/>
    <w:rsid w:val="00643250"/>
    <w:rsid w:val="00650618"/>
    <w:rsid w:val="00650804"/>
    <w:rsid w:val="00655CD3"/>
    <w:rsid w:val="00656107"/>
    <w:rsid w:val="00662EAF"/>
    <w:rsid w:val="006726A0"/>
    <w:rsid w:val="00684463"/>
    <w:rsid w:val="006A3B8F"/>
    <w:rsid w:val="006B434D"/>
    <w:rsid w:val="006B5178"/>
    <w:rsid w:val="006C0942"/>
    <w:rsid w:val="006C3476"/>
    <w:rsid w:val="006C4BF7"/>
    <w:rsid w:val="006D1234"/>
    <w:rsid w:val="006F18D3"/>
    <w:rsid w:val="006F2CEE"/>
    <w:rsid w:val="006F3DB5"/>
    <w:rsid w:val="00710E24"/>
    <w:rsid w:val="00725D95"/>
    <w:rsid w:val="007278EA"/>
    <w:rsid w:val="00733411"/>
    <w:rsid w:val="00740174"/>
    <w:rsid w:val="00745153"/>
    <w:rsid w:val="007513C8"/>
    <w:rsid w:val="00754893"/>
    <w:rsid w:val="007566D5"/>
    <w:rsid w:val="00773482"/>
    <w:rsid w:val="00775827"/>
    <w:rsid w:val="00776286"/>
    <w:rsid w:val="00780E18"/>
    <w:rsid w:val="00794846"/>
    <w:rsid w:val="007B00AD"/>
    <w:rsid w:val="007B2432"/>
    <w:rsid w:val="007B38AE"/>
    <w:rsid w:val="007B57AC"/>
    <w:rsid w:val="007C6612"/>
    <w:rsid w:val="007C6F0B"/>
    <w:rsid w:val="007D0A7A"/>
    <w:rsid w:val="007D4D8B"/>
    <w:rsid w:val="007D55A8"/>
    <w:rsid w:val="007E1536"/>
    <w:rsid w:val="00804C9A"/>
    <w:rsid w:val="00812728"/>
    <w:rsid w:val="00820A1F"/>
    <w:rsid w:val="0083688D"/>
    <w:rsid w:val="00853F28"/>
    <w:rsid w:val="0085499E"/>
    <w:rsid w:val="00857E78"/>
    <w:rsid w:val="00871752"/>
    <w:rsid w:val="00877C55"/>
    <w:rsid w:val="00881FB4"/>
    <w:rsid w:val="00883DCD"/>
    <w:rsid w:val="0088568F"/>
    <w:rsid w:val="00886651"/>
    <w:rsid w:val="0089265D"/>
    <w:rsid w:val="008A3573"/>
    <w:rsid w:val="008B0870"/>
    <w:rsid w:val="008C4742"/>
    <w:rsid w:val="008D4704"/>
    <w:rsid w:val="008E4853"/>
    <w:rsid w:val="008F7C8E"/>
    <w:rsid w:val="0090234B"/>
    <w:rsid w:val="00911DC6"/>
    <w:rsid w:val="00914FD5"/>
    <w:rsid w:val="00925C7D"/>
    <w:rsid w:val="00933ED7"/>
    <w:rsid w:val="009351C7"/>
    <w:rsid w:val="00955165"/>
    <w:rsid w:val="00962204"/>
    <w:rsid w:val="00964E5C"/>
    <w:rsid w:val="0096761D"/>
    <w:rsid w:val="00984F97"/>
    <w:rsid w:val="009905EE"/>
    <w:rsid w:val="009B5D7E"/>
    <w:rsid w:val="009D0B1F"/>
    <w:rsid w:val="009E04BB"/>
    <w:rsid w:val="009E2481"/>
    <w:rsid w:val="009E4EDB"/>
    <w:rsid w:val="009E4F2B"/>
    <w:rsid w:val="009E725B"/>
    <w:rsid w:val="009F1187"/>
    <w:rsid w:val="00A05FF3"/>
    <w:rsid w:val="00A136EE"/>
    <w:rsid w:val="00A247E4"/>
    <w:rsid w:val="00A439FB"/>
    <w:rsid w:val="00A504E5"/>
    <w:rsid w:val="00A60F7B"/>
    <w:rsid w:val="00A64F29"/>
    <w:rsid w:val="00A75C54"/>
    <w:rsid w:val="00A938C1"/>
    <w:rsid w:val="00AA6CFE"/>
    <w:rsid w:val="00AA7499"/>
    <w:rsid w:val="00AB3400"/>
    <w:rsid w:val="00AB7182"/>
    <w:rsid w:val="00AD0C02"/>
    <w:rsid w:val="00AD392A"/>
    <w:rsid w:val="00AD7BCA"/>
    <w:rsid w:val="00AE5226"/>
    <w:rsid w:val="00B01EE3"/>
    <w:rsid w:val="00B03CCF"/>
    <w:rsid w:val="00B122F9"/>
    <w:rsid w:val="00B12F1D"/>
    <w:rsid w:val="00B243D4"/>
    <w:rsid w:val="00B32CFC"/>
    <w:rsid w:val="00B34FC7"/>
    <w:rsid w:val="00B67825"/>
    <w:rsid w:val="00B74351"/>
    <w:rsid w:val="00B7675C"/>
    <w:rsid w:val="00B817CA"/>
    <w:rsid w:val="00B83964"/>
    <w:rsid w:val="00B84687"/>
    <w:rsid w:val="00B943BD"/>
    <w:rsid w:val="00B95064"/>
    <w:rsid w:val="00B95956"/>
    <w:rsid w:val="00BA09DC"/>
    <w:rsid w:val="00BA2F19"/>
    <w:rsid w:val="00BA7083"/>
    <w:rsid w:val="00BB074A"/>
    <w:rsid w:val="00BB571A"/>
    <w:rsid w:val="00BC28E0"/>
    <w:rsid w:val="00BC7ECE"/>
    <w:rsid w:val="00BD3A60"/>
    <w:rsid w:val="00BE4BB9"/>
    <w:rsid w:val="00C03C34"/>
    <w:rsid w:val="00C05CE3"/>
    <w:rsid w:val="00C1356B"/>
    <w:rsid w:val="00C34F40"/>
    <w:rsid w:val="00C548A1"/>
    <w:rsid w:val="00C548E0"/>
    <w:rsid w:val="00C55D70"/>
    <w:rsid w:val="00C6302D"/>
    <w:rsid w:val="00C66AB4"/>
    <w:rsid w:val="00C72350"/>
    <w:rsid w:val="00C7509D"/>
    <w:rsid w:val="00C828C8"/>
    <w:rsid w:val="00C84EC7"/>
    <w:rsid w:val="00C8593E"/>
    <w:rsid w:val="00C9018B"/>
    <w:rsid w:val="00C920E9"/>
    <w:rsid w:val="00C96901"/>
    <w:rsid w:val="00C97A2E"/>
    <w:rsid w:val="00C97C0F"/>
    <w:rsid w:val="00CA3AC6"/>
    <w:rsid w:val="00CC1E7F"/>
    <w:rsid w:val="00CE2975"/>
    <w:rsid w:val="00CE2A1D"/>
    <w:rsid w:val="00CF13D0"/>
    <w:rsid w:val="00D0152D"/>
    <w:rsid w:val="00D06FF8"/>
    <w:rsid w:val="00D2059A"/>
    <w:rsid w:val="00D34194"/>
    <w:rsid w:val="00D56745"/>
    <w:rsid w:val="00D700AE"/>
    <w:rsid w:val="00D75290"/>
    <w:rsid w:val="00D76AE6"/>
    <w:rsid w:val="00D83113"/>
    <w:rsid w:val="00D94CA3"/>
    <w:rsid w:val="00D96BF2"/>
    <w:rsid w:val="00DA586F"/>
    <w:rsid w:val="00DB5298"/>
    <w:rsid w:val="00DC2D92"/>
    <w:rsid w:val="00DD4954"/>
    <w:rsid w:val="00DE0D80"/>
    <w:rsid w:val="00DE1049"/>
    <w:rsid w:val="00DE7BE6"/>
    <w:rsid w:val="00DE7C4A"/>
    <w:rsid w:val="00DF343F"/>
    <w:rsid w:val="00DF7AEE"/>
    <w:rsid w:val="00E10C79"/>
    <w:rsid w:val="00E122C8"/>
    <w:rsid w:val="00E21F9E"/>
    <w:rsid w:val="00E24282"/>
    <w:rsid w:val="00E3316D"/>
    <w:rsid w:val="00E37069"/>
    <w:rsid w:val="00E46A83"/>
    <w:rsid w:val="00E600E6"/>
    <w:rsid w:val="00E609F4"/>
    <w:rsid w:val="00E663B1"/>
    <w:rsid w:val="00E860F7"/>
    <w:rsid w:val="00E86DF7"/>
    <w:rsid w:val="00E8700D"/>
    <w:rsid w:val="00EA07BA"/>
    <w:rsid w:val="00EB2C6E"/>
    <w:rsid w:val="00EC5050"/>
    <w:rsid w:val="00EC7F7A"/>
    <w:rsid w:val="00ED42EB"/>
    <w:rsid w:val="00ED4B75"/>
    <w:rsid w:val="00ED6A1A"/>
    <w:rsid w:val="00EF3E05"/>
    <w:rsid w:val="00F04A31"/>
    <w:rsid w:val="00F058D0"/>
    <w:rsid w:val="00F068A7"/>
    <w:rsid w:val="00F14DDC"/>
    <w:rsid w:val="00F224F8"/>
    <w:rsid w:val="00F3436B"/>
    <w:rsid w:val="00F51B4C"/>
    <w:rsid w:val="00F55165"/>
    <w:rsid w:val="00F631F1"/>
    <w:rsid w:val="00F659DE"/>
    <w:rsid w:val="00F74587"/>
    <w:rsid w:val="00F76DA9"/>
    <w:rsid w:val="00F843EA"/>
    <w:rsid w:val="00F86325"/>
    <w:rsid w:val="00F914D2"/>
    <w:rsid w:val="00F9574F"/>
    <w:rsid w:val="00FA5ED8"/>
    <w:rsid w:val="00FC64E2"/>
    <w:rsid w:val="00FE1246"/>
    <w:rsid w:val="00FE76D4"/>
    <w:rsid w:val="00FF49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9A04CB"/>
  <w15:docId w15:val="{59388DA8-7441-4E8A-B11B-5364FF8C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BD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D06FF8"/>
    <w:rPr>
      <w:sz w:val="20"/>
      <w:szCs w:val="20"/>
    </w:rPr>
  </w:style>
  <w:style w:type="character" w:customStyle="1" w:styleId="EndnoteTextChar">
    <w:name w:val="Endnote Text Char"/>
    <w:basedOn w:val="DefaultParagraphFont"/>
    <w:link w:val="EndnoteText"/>
    <w:rsid w:val="00D06FF8"/>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D06FF8"/>
    <w:rPr>
      <w:vertAlign w:val="superscript"/>
    </w:rPr>
  </w:style>
  <w:style w:type="paragraph" w:styleId="FootnoteText">
    <w:name w:val="footnote text"/>
    <w:basedOn w:val="Normal"/>
    <w:link w:val="FootnoteTextChar"/>
    <w:uiPriority w:val="99"/>
    <w:semiHidden/>
    <w:unhideWhenUsed/>
    <w:rsid w:val="00D06FF8"/>
    <w:rPr>
      <w:sz w:val="20"/>
      <w:szCs w:val="20"/>
    </w:rPr>
  </w:style>
  <w:style w:type="character" w:customStyle="1" w:styleId="FootnoteTextChar">
    <w:name w:val="Footnote Text Char"/>
    <w:basedOn w:val="DefaultParagraphFont"/>
    <w:link w:val="FootnoteText"/>
    <w:uiPriority w:val="99"/>
    <w:semiHidden/>
    <w:rsid w:val="00D06FF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06FF8"/>
    <w:rPr>
      <w:vertAlign w:val="superscript"/>
    </w:rPr>
  </w:style>
  <w:style w:type="paragraph" w:styleId="NormalWeb">
    <w:name w:val="Normal (Web)"/>
    <w:basedOn w:val="Normal"/>
    <w:uiPriority w:val="99"/>
    <w:unhideWhenUsed/>
    <w:rsid w:val="00D06FF8"/>
    <w:pPr>
      <w:spacing w:before="100" w:beforeAutospacing="1" w:after="100" w:afterAutospacing="1"/>
    </w:pPr>
    <w:rPr>
      <w:rFonts w:eastAsia="Times New Roman"/>
      <w:lang w:eastAsia="en-AU"/>
    </w:rPr>
  </w:style>
  <w:style w:type="paragraph" w:styleId="ListParagraph">
    <w:name w:val="List Paragraph"/>
    <w:basedOn w:val="Normal"/>
    <w:uiPriority w:val="34"/>
    <w:qFormat/>
    <w:rsid w:val="00D06FF8"/>
    <w:pPr>
      <w:ind w:left="720"/>
      <w:contextualSpacing/>
    </w:pPr>
  </w:style>
  <w:style w:type="paragraph" w:styleId="Header">
    <w:name w:val="header"/>
    <w:basedOn w:val="Normal"/>
    <w:link w:val="HeaderChar"/>
    <w:uiPriority w:val="99"/>
    <w:unhideWhenUsed/>
    <w:rsid w:val="00A247E4"/>
    <w:pPr>
      <w:tabs>
        <w:tab w:val="center" w:pos="4513"/>
        <w:tab w:val="right" w:pos="9026"/>
      </w:tabs>
    </w:pPr>
  </w:style>
  <w:style w:type="character" w:customStyle="1" w:styleId="HeaderChar">
    <w:name w:val="Header Char"/>
    <w:basedOn w:val="DefaultParagraphFont"/>
    <w:link w:val="Header"/>
    <w:uiPriority w:val="99"/>
    <w:rsid w:val="00A247E4"/>
    <w:rPr>
      <w:rFonts w:ascii="Times New Roman" w:hAnsi="Times New Roman" w:cs="Times New Roman"/>
      <w:sz w:val="24"/>
      <w:szCs w:val="24"/>
    </w:rPr>
  </w:style>
  <w:style w:type="paragraph" w:styleId="Footer">
    <w:name w:val="footer"/>
    <w:basedOn w:val="Normal"/>
    <w:link w:val="FooterChar"/>
    <w:uiPriority w:val="99"/>
    <w:unhideWhenUsed/>
    <w:rsid w:val="00A247E4"/>
    <w:pPr>
      <w:tabs>
        <w:tab w:val="center" w:pos="4513"/>
        <w:tab w:val="right" w:pos="9026"/>
      </w:tabs>
    </w:pPr>
  </w:style>
  <w:style w:type="character" w:customStyle="1" w:styleId="FooterChar">
    <w:name w:val="Footer Char"/>
    <w:basedOn w:val="DefaultParagraphFont"/>
    <w:link w:val="Footer"/>
    <w:uiPriority w:val="99"/>
    <w:rsid w:val="00A247E4"/>
    <w:rPr>
      <w:rFonts w:ascii="Times New Roman" w:hAnsi="Times New Roman" w:cs="Times New Roman"/>
      <w:sz w:val="24"/>
      <w:szCs w:val="24"/>
    </w:rPr>
  </w:style>
  <w:style w:type="character" w:customStyle="1" w:styleId="personname2">
    <w:name w:val="person_name2"/>
    <w:basedOn w:val="DefaultParagraphFont"/>
    <w:rsid w:val="00FA5ED8"/>
  </w:style>
  <w:style w:type="character" w:styleId="Emphasis">
    <w:name w:val="Emphasis"/>
    <w:basedOn w:val="DefaultParagraphFont"/>
    <w:uiPriority w:val="20"/>
    <w:qFormat/>
    <w:rsid w:val="00FA5ED8"/>
    <w:rPr>
      <w:i/>
      <w:iCs/>
    </w:rPr>
  </w:style>
  <w:style w:type="character" w:styleId="Hyperlink">
    <w:name w:val="Hyperlink"/>
    <w:basedOn w:val="DefaultParagraphFont"/>
    <w:uiPriority w:val="99"/>
    <w:unhideWhenUsed/>
    <w:rsid w:val="0038195C"/>
    <w:rPr>
      <w:color w:val="0563C1" w:themeColor="hyperlink"/>
      <w:u w:val="single"/>
    </w:rPr>
  </w:style>
  <w:style w:type="character" w:styleId="FollowedHyperlink">
    <w:name w:val="FollowedHyperlink"/>
    <w:basedOn w:val="DefaultParagraphFont"/>
    <w:uiPriority w:val="99"/>
    <w:semiHidden/>
    <w:unhideWhenUsed/>
    <w:rsid w:val="00662EAF"/>
    <w:rPr>
      <w:color w:val="954F72" w:themeColor="followedHyperlink"/>
      <w:u w:val="single"/>
    </w:rPr>
  </w:style>
  <w:style w:type="paragraph" w:styleId="PlainText">
    <w:name w:val="Plain Text"/>
    <w:basedOn w:val="Normal"/>
    <w:link w:val="PlainTextChar"/>
    <w:uiPriority w:val="99"/>
    <w:semiHidden/>
    <w:unhideWhenUsed/>
    <w:rsid w:val="005D04E0"/>
    <w:rPr>
      <w:rFonts w:ascii="Calibri" w:eastAsia="Times New Roman" w:hAnsi="Calibri"/>
      <w:sz w:val="22"/>
      <w:szCs w:val="21"/>
      <w:lang w:eastAsia="en-AU"/>
    </w:rPr>
  </w:style>
  <w:style w:type="character" w:customStyle="1" w:styleId="PlainTextChar">
    <w:name w:val="Plain Text Char"/>
    <w:basedOn w:val="DefaultParagraphFont"/>
    <w:link w:val="PlainText"/>
    <w:uiPriority w:val="99"/>
    <w:semiHidden/>
    <w:rsid w:val="005D04E0"/>
    <w:rPr>
      <w:rFonts w:ascii="Calibri" w:eastAsia="Times New Roman" w:hAnsi="Calibri" w:cs="Times New Roman"/>
      <w:szCs w:val="21"/>
      <w:lang w:eastAsia="en-AU"/>
    </w:rPr>
  </w:style>
  <w:style w:type="character" w:styleId="HTMLCite">
    <w:name w:val="HTML Cite"/>
    <w:basedOn w:val="DefaultParagraphFont"/>
    <w:uiPriority w:val="99"/>
    <w:semiHidden/>
    <w:unhideWhenUsed/>
    <w:rsid w:val="00EC7F7A"/>
    <w:rPr>
      <w:i/>
      <w:iCs/>
    </w:rPr>
  </w:style>
  <w:style w:type="character" w:customStyle="1" w:styleId="microcontent">
    <w:name w:val="microcontent"/>
    <w:basedOn w:val="DefaultParagraphFont"/>
    <w:rsid w:val="00616D89"/>
  </w:style>
  <w:style w:type="character" w:customStyle="1" w:styleId="st1">
    <w:name w:val="st1"/>
    <w:rsid w:val="00BC7ECE"/>
  </w:style>
  <w:style w:type="paragraph" w:styleId="BalloonText">
    <w:name w:val="Balloon Text"/>
    <w:basedOn w:val="Normal"/>
    <w:link w:val="BalloonTextChar"/>
    <w:uiPriority w:val="99"/>
    <w:semiHidden/>
    <w:unhideWhenUsed/>
    <w:rsid w:val="004B06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6CB"/>
    <w:rPr>
      <w:rFonts w:ascii="Lucida Grande" w:hAnsi="Lucida Grande" w:cs="Lucida Grande"/>
      <w:sz w:val="18"/>
      <w:szCs w:val="18"/>
    </w:rPr>
  </w:style>
  <w:style w:type="character" w:styleId="CommentReference">
    <w:name w:val="annotation reference"/>
    <w:basedOn w:val="DefaultParagraphFont"/>
    <w:uiPriority w:val="99"/>
    <w:semiHidden/>
    <w:unhideWhenUsed/>
    <w:rsid w:val="003756B4"/>
    <w:rPr>
      <w:sz w:val="18"/>
      <w:szCs w:val="18"/>
    </w:rPr>
  </w:style>
  <w:style w:type="paragraph" w:styleId="CommentText">
    <w:name w:val="annotation text"/>
    <w:basedOn w:val="Normal"/>
    <w:link w:val="CommentTextChar"/>
    <w:uiPriority w:val="99"/>
    <w:semiHidden/>
    <w:unhideWhenUsed/>
    <w:rsid w:val="003756B4"/>
  </w:style>
  <w:style w:type="character" w:customStyle="1" w:styleId="CommentTextChar">
    <w:name w:val="Comment Text Char"/>
    <w:basedOn w:val="DefaultParagraphFont"/>
    <w:link w:val="CommentText"/>
    <w:uiPriority w:val="99"/>
    <w:semiHidden/>
    <w:rsid w:val="003756B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756B4"/>
    <w:rPr>
      <w:b/>
      <w:bCs/>
      <w:sz w:val="20"/>
      <w:szCs w:val="20"/>
    </w:rPr>
  </w:style>
  <w:style w:type="character" w:customStyle="1" w:styleId="CommentSubjectChar">
    <w:name w:val="Comment Subject Char"/>
    <w:basedOn w:val="CommentTextChar"/>
    <w:link w:val="CommentSubject"/>
    <w:uiPriority w:val="99"/>
    <w:semiHidden/>
    <w:rsid w:val="003756B4"/>
    <w:rPr>
      <w:rFonts w:ascii="Times New Roman" w:hAnsi="Times New Roman" w:cs="Times New Roman"/>
      <w:b/>
      <w:bCs/>
      <w:sz w:val="20"/>
      <w:szCs w:val="20"/>
    </w:rPr>
  </w:style>
  <w:style w:type="character" w:styleId="Strong">
    <w:name w:val="Strong"/>
    <w:uiPriority w:val="22"/>
    <w:qFormat/>
    <w:rsid w:val="00886651"/>
    <w:rPr>
      <w:b/>
      <w:bCs/>
    </w:rPr>
  </w:style>
  <w:style w:type="character" w:customStyle="1" w:styleId="name">
    <w:name w:val="name"/>
    <w:basedOn w:val="DefaultParagraphFont"/>
    <w:rsid w:val="00321CF3"/>
  </w:style>
  <w:style w:type="character" w:customStyle="1" w:styleId="slug-doi">
    <w:name w:val="slug-doi"/>
    <w:basedOn w:val="DefaultParagraphFont"/>
    <w:rsid w:val="00321CF3"/>
  </w:style>
  <w:style w:type="character" w:customStyle="1" w:styleId="slug-pub-date3">
    <w:name w:val="slug-pub-date3"/>
    <w:basedOn w:val="DefaultParagraphFont"/>
    <w:rsid w:val="00321CF3"/>
    <w:rPr>
      <w:b/>
      <w:bCs/>
    </w:rPr>
  </w:style>
  <w:style w:type="character" w:customStyle="1" w:styleId="slug-vol">
    <w:name w:val="slug-vol"/>
    <w:basedOn w:val="DefaultParagraphFont"/>
    <w:rsid w:val="00321CF3"/>
  </w:style>
  <w:style w:type="character" w:customStyle="1" w:styleId="slug-issue">
    <w:name w:val="slug-issue"/>
    <w:basedOn w:val="DefaultParagraphFont"/>
    <w:rsid w:val="00321CF3"/>
  </w:style>
  <w:style w:type="character" w:customStyle="1" w:styleId="slug-pages3">
    <w:name w:val="slug-pages3"/>
    <w:basedOn w:val="DefaultParagraphFont"/>
    <w:rsid w:val="00321CF3"/>
    <w:rPr>
      <w:b/>
      <w:bCs/>
    </w:rPr>
  </w:style>
  <w:style w:type="table" w:customStyle="1" w:styleId="PlainTable31">
    <w:name w:val="Plain Table 31"/>
    <w:basedOn w:val="TableNormal"/>
    <w:uiPriority w:val="99"/>
    <w:rsid w:val="004A4E2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372958"/>
    <w:rPr>
      <w:rFonts w:ascii="Times New Roman" w:hAnsi="Times New Roman" w:cs="Times New Roman"/>
      <w:sz w:val="24"/>
      <w:szCs w:val="24"/>
    </w:rPr>
  </w:style>
  <w:style w:type="paragraph" w:styleId="HTMLPreformatted">
    <w:name w:val="HTML Preformatted"/>
    <w:basedOn w:val="Normal"/>
    <w:link w:val="HTMLPreformattedChar"/>
    <w:rsid w:val="00E4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3"/>
      <w:szCs w:val="13"/>
      <w:lang w:eastAsia="en-AU"/>
    </w:rPr>
  </w:style>
  <w:style w:type="character" w:customStyle="1" w:styleId="HTMLPreformattedChar">
    <w:name w:val="HTML Preformatted Char"/>
    <w:basedOn w:val="DefaultParagraphFont"/>
    <w:link w:val="HTMLPreformatted"/>
    <w:rsid w:val="00E46A83"/>
    <w:rPr>
      <w:rFonts w:ascii="Courier New" w:eastAsia="Times New Roman" w:hAnsi="Courier New" w:cs="Courier New"/>
      <w:sz w:val="13"/>
      <w:szCs w:val="1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1894">
      <w:bodyDiv w:val="1"/>
      <w:marLeft w:val="0"/>
      <w:marRight w:val="0"/>
      <w:marTop w:val="0"/>
      <w:marBottom w:val="0"/>
      <w:divBdr>
        <w:top w:val="none" w:sz="0" w:space="0" w:color="auto"/>
        <w:left w:val="none" w:sz="0" w:space="0" w:color="auto"/>
        <w:bottom w:val="none" w:sz="0" w:space="0" w:color="auto"/>
        <w:right w:val="none" w:sz="0" w:space="0" w:color="auto"/>
      </w:divBdr>
    </w:div>
    <w:div w:id="148517705">
      <w:bodyDiv w:val="1"/>
      <w:marLeft w:val="0"/>
      <w:marRight w:val="0"/>
      <w:marTop w:val="0"/>
      <w:marBottom w:val="0"/>
      <w:divBdr>
        <w:top w:val="none" w:sz="0" w:space="0" w:color="auto"/>
        <w:left w:val="none" w:sz="0" w:space="0" w:color="auto"/>
        <w:bottom w:val="none" w:sz="0" w:space="0" w:color="auto"/>
        <w:right w:val="none" w:sz="0" w:space="0" w:color="auto"/>
      </w:divBdr>
    </w:div>
    <w:div w:id="160241684">
      <w:bodyDiv w:val="1"/>
      <w:marLeft w:val="0"/>
      <w:marRight w:val="0"/>
      <w:marTop w:val="0"/>
      <w:marBottom w:val="0"/>
      <w:divBdr>
        <w:top w:val="none" w:sz="0" w:space="0" w:color="auto"/>
        <w:left w:val="none" w:sz="0" w:space="0" w:color="auto"/>
        <w:bottom w:val="none" w:sz="0" w:space="0" w:color="auto"/>
        <w:right w:val="none" w:sz="0" w:space="0" w:color="auto"/>
      </w:divBdr>
    </w:div>
    <w:div w:id="166293597">
      <w:bodyDiv w:val="1"/>
      <w:marLeft w:val="0"/>
      <w:marRight w:val="0"/>
      <w:marTop w:val="0"/>
      <w:marBottom w:val="0"/>
      <w:divBdr>
        <w:top w:val="none" w:sz="0" w:space="0" w:color="auto"/>
        <w:left w:val="none" w:sz="0" w:space="0" w:color="auto"/>
        <w:bottom w:val="none" w:sz="0" w:space="0" w:color="auto"/>
        <w:right w:val="none" w:sz="0" w:space="0" w:color="auto"/>
      </w:divBdr>
    </w:div>
    <w:div w:id="297496032">
      <w:bodyDiv w:val="1"/>
      <w:marLeft w:val="0"/>
      <w:marRight w:val="0"/>
      <w:marTop w:val="0"/>
      <w:marBottom w:val="0"/>
      <w:divBdr>
        <w:top w:val="none" w:sz="0" w:space="0" w:color="auto"/>
        <w:left w:val="none" w:sz="0" w:space="0" w:color="auto"/>
        <w:bottom w:val="none" w:sz="0" w:space="0" w:color="auto"/>
        <w:right w:val="none" w:sz="0" w:space="0" w:color="auto"/>
      </w:divBdr>
      <w:divsChild>
        <w:div w:id="238296086">
          <w:marLeft w:val="0"/>
          <w:marRight w:val="0"/>
          <w:marTop w:val="0"/>
          <w:marBottom w:val="0"/>
          <w:divBdr>
            <w:top w:val="none" w:sz="0" w:space="0" w:color="auto"/>
            <w:left w:val="none" w:sz="0" w:space="0" w:color="auto"/>
            <w:bottom w:val="none" w:sz="0" w:space="0" w:color="auto"/>
            <w:right w:val="none" w:sz="0" w:space="0" w:color="auto"/>
          </w:divBdr>
          <w:divsChild>
            <w:div w:id="10375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5910">
      <w:bodyDiv w:val="1"/>
      <w:marLeft w:val="0"/>
      <w:marRight w:val="0"/>
      <w:marTop w:val="0"/>
      <w:marBottom w:val="0"/>
      <w:divBdr>
        <w:top w:val="none" w:sz="0" w:space="0" w:color="auto"/>
        <w:left w:val="none" w:sz="0" w:space="0" w:color="auto"/>
        <w:bottom w:val="none" w:sz="0" w:space="0" w:color="auto"/>
        <w:right w:val="none" w:sz="0" w:space="0" w:color="auto"/>
      </w:divBdr>
    </w:div>
    <w:div w:id="580258501">
      <w:bodyDiv w:val="1"/>
      <w:marLeft w:val="0"/>
      <w:marRight w:val="0"/>
      <w:marTop w:val="0"/>
      <w:marBottom w:val="0"/>
      <w:divBdr>
        <w:top w:val="none" w:sz="0" w:space="0" w:color="auto"/>
        <w:left w:val="none" w:sz="0" w:space="0" w:color="auto"/>
        <w:bottom w:val="none" w:sz="0" w:space="0" w:color="auto"/>
        <w:right w:val="none" w:sz="0" w:space="0" w:color="auto"/>
      </w:divBdr>
    </w:div>
    <w:div w:id="655375755">
      <w:bodyDiv w:val="1"/>
      <w:marLeft w:val="0"/>
      <w:marRight w:val="0"/>
      <w:marTop w:val="0"/>
      <w:marBottom w:val="0"/>
      <w:divBdr>
        <w:top w:val="none" w:sz="0" w:space="0" w:color="auto"/>
        <w:left w:val="none" w:sz="0" w:space="0" w:color="auto"/>
        <w:bottom w:val="none" w:sz="0" w:space="0" w:color="auto"/>
        <w:right w:val="none" w:sz="0" w:space="0" w:color="auto"/>
      </w:divBdr>
    </w:div>
    <w:div w:id="755903938">
      <w:bodyDiv w:val="1"/>
      <w:marLeft w:val="0"/>
      <w:marRight w:val="0"/>
      <w:marTop w:val="0"/>
      <w:marBottom w:val="0"/>
      <w:divBdr>
        <w:top w:val="none" w:sz="0" w:space="0" w:color="auto"/>
        <w:left w:val="none" w:sz="0" w:space="0" w:color="auto"/>
        <w:bottom w:val="none" w:sz="0" w:space="0" w:color="auto"/>
        <w:right w:val="none" w:sz="0" w:space="0" w:color="auto"/>
      </w:divBdr>
      <w:divsChild>
        <w:div w:id="287664633">
          <w:marLeft w:val="0"/>
          <w:marRight w:val="0"/>
          <w:marTop w:val="0"/>
          <w:marBottom w:val="0"/>
          <w:divBdr>
            <w:top w:val="single" w:sz="2" w:space="0" w:color="2E2E2E"/>
            <w:left w:val="single" w:sz="2" w:space="0" w:color="2E2E2E"/>
            <w:bottom w:val="single" w:sz="2" w:space="0" w:color="2E2E2E"/>
            <w:right w:val="single" w:sz="2" w:space="0" w:color="2E2E2E"/>
          </w:divBdr>
          <w:divsChild>
            <w:div w:id="1556745541">
              <w:marLeft w:val="0"/>
              <w:marRight w:val="0"/>
              <w:marTop w:val="0"/>
              <w:marBottom w:val="0"/>
              <w:divBdr>
                <w:top w:val="single" w:sz="6" w:space="0" w:color="C9C9C9"/>
                <w:left w:val="none" w:sz="0" w:space="0" w:color="auto"/>
                <w:bottom w:val="none" w:sz="0" w:space="0" w:color="auto"/>
                <w:right w:val="none" w:sz="0" w:space="0" w:color="auto"/>
              </w:divBdr>
              <w:divsChild>
                <w:div w:id="1113211054">
                  <w:marLeft w:val="0"/>
                  <w:marRight w:val="0"/>
                  <w:marTop w:val="0"/>
                  <w:marBottom w:val="0"/>
                  <w:divBdr>
                    <w:top w:val="none" w:sz="0" w:space="0" w:color="auto"/>
                    <w:left w:val="none" w:sz="0" w:space="0" w:color="auto"/>
                    <w:bottom w:val="none" w:sz="0" w:space="0" w:color="auto"/>
                    <w:right w:val="none" w:sz="0" w:space="0" w:color="auto"/>
                  </w:divBdr>
                  <w:divsChild>
                    <w:div w:id="1986662630">
                      <w:marLeft w:val="0"/>
                      <w:marRight w:val="0"/>
                      <w:marTop w:val="0"/>
                      <w:marBottom w:val="0"/>
                      <w:divBdr>
                        <w:top w:val="none" w:sz="0" w:space="0" w:color="auto"/>
                        <w:left w:val="none" w:sz="0" w:space="0" w:color="auto"/>
                        <w:bottom w:val="none" w:sz="0" w:space="0" w:color="auto"/>
                        <w:right w:val="none" w:sz="0" w:space="0" w:color="auto"/>
                      </w:divBdr>
                      <w:divsChild>
                        <w:div w:id="18107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14728">
      <w:bodyDiv w:val="1"/>
      <w:marLeft w:val="0"/>
      <w:marRight w:val="0"/>
      <w:marTop w:val="0"/>
      <w:marBottom w:val="0"/>
      <w:divBdr>
        <w:top w:val="none" w:sz="0" w:space="0" w:color="auto"/>
        <w:left w:val="none" w:sz="0" w:space="0" w:color="auto"/>
        <w:bottom w:val="none" w:sz="0" w:space="0" w:color="auto"/>
        <w:right w:val="none" w:sz="0" w:space="0" w:color="auto"/>
      </w:divBdr>
    </w:div>
    <w:div w:id="772700192">
      <w:bodyDiv w:val="1"/>
      <w:marLeft w:val="0"/>
      <w:marRight w:val="0"/>
      <w:marTop w:val="0"/>
      <w:marBottom w:val="0"/>
      <w:divBdr>
        <w:top w:val="none" w:sz="0" w:space="0" w:color="auto"/>
        <w:left w:val="none" w:sz="0" w:space="0" w:color="auto"/>
        <w:bottom w:val="none" w:sz="0" w:space="0" w:color="auto"/>
        <w:right w:val="none" w:sz="0" w:space="0" w:color="auto"/>
      </w:divBdr>
      <w:divsChild>
        <w:div w:id="326178088">
          <w:marLeft w:val="0"/>
          <w:marRight w:val="0"/>
          <w:marTop w:val="0"/>
          <w:marBottom w:val="0"/>
          <w:divBdr>
            <w:top w:val="single" w:sz="2" w:space="0" w:color="2E2E2E"/>
            <w:left w:val="single" w:sz="2" w:space="0" w:color="2E2E2E"/>
            <w:bottom w:val="single" w:sz="2" w:space="0" w:color="2E2E2E"/>
            <w:right w:val="single" w:sz="2" w:space="0" w:color="2E2E2E"/>
          </w:divBdr>
          <w:divsChild>
            <w:div w:id="1794399683">
              <w:marLeft w:val="0"/>
              <w:marRight w:val="0"/>
              <w:marTop w:val="0"/>
              <w:marBottom w:val="0"/>
              <w:divBdr>
                <w:top w:val="single" w:sz="6" w:space="0" w:color="C9C9C9"/>
                <w:left w:val="none" w:sz="0" w:space="0" w:color="auto"/>
                <w:bottom w:val="none" w:sz="0" w:space="0" w:color="auto"/>
                <w:right w:val="none" w:sz="0" w:space="0" w:color="auto"/>
              </w:divBdr>
              <w:divsChild>
                <w:div w:id="742684513">
                  <w:marLeft w:val="0"/>
                  <w:marRight w:val="0"/>
                  <w:marTop w:val="0"/>
                  <w:marBottom w:val="0"/>
                  <w:divBdr>
                    <w:top w:val="none" w:sz="0" w:space="0" w:color="auto"/>
                    <w:left w:val="none" w:sz="0" w:space="0" w:color="auto"/>
                    <w:bottom w:val="none" w:sz="0" w:space="0" w:color="auto"/>
                    <w:right w:val="none" w:sz="0" w:space="0" w:color="auto"/>
                  </w:divBdr>
                  <w:divsChild>
                    <w:div w:id="240872393">
                      <w:marLeft w:val="0"/>
                      <w:marRight w:val="0"/>
                      <w:marTop w:val="0"/>
                      <w:marBottom w:val="0"/>
                      <w:divBdr>
                        <w:top w:val="none" w:sz="0" w:space="0" w:color="auto"/>
                        <w:left w:val="none" w:sz="0" w:space="0" w:color="auto"/>
                        <w:bottom w:val="none" w:sz="0" w:space="0" w:color="auto"/>
                        <w:right w:val="none" w:sz="0" w:space="0" w:color="auto"/>
                      </w:divBdr>
                      <w:divsChild>
                        <w:div w:id="15234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88474">
      <w:bodyDiv w:val="1"/>
      <w:marLeft w:val="0"/>
      <w:marRight w:val="0"/>
      <w:marTop w:val="0"/>
      <w:marBottom w:val="0"/>
      <w:divBdr>
        <w:top w:val="none" w:sz="0" w:space="0" w:color="auto"/>
        <w:left w:val="none" w:sz="0" w:space="0" w:color="auto"/>
        <w:bottom w:val="none" w:sz="0" w:space="0" w:color="auto"/>
        <w:right w:val="none" w:sz="0" w:space="0" w:color="auto"/>
      </w:divBdr>
    </w:div>
    <w:div w:id="1038820431">
      <w:bodyDiv w:val="1"/>
      <w:marLeft w:val="0"/>
      <w:marRight w:val="0"/>
      <w:marTop w:val="0"/>
      <w:marBottom w:val="0"/>
      <w:divBdr>
        <w:top w:val="none" w:sz="0" w:space="0" w:color="auto"/>
        <w:left w:val="none" w:sz="0" w:space="0" w:color="auto"/>
        <w:bottom w:val="none" w:sz="0" w:space="0" w:color="auto"/>
        <w:right w:val="none" w:sz="0" w:space="0" w:color="auto"/>
      </w:divBdr>
      <w:divsChild>
        <w:div w:id="1080980333">
          <w:marLeft w:val="0"/>
          <w:marRight w:val="0"/>
          <w:marTop w:val="0"/>
          <w:marBottom w:val="0"/>
          <w:divBdr>
            <w:top w:val="single" w:sz="2" w:space="0" w:color="2E2E2E"/>
            <w:left w:val="single" w:sz="2" w:space="0" w:color="2E2E2E"/>
            <w:bottom w:val="single" w:sz="2" w:space="0" w:color="2E2E2E"/>
            <w:right w:val="single" w:sz="2" w:space="0" w:color="2E2E2E"/>
          </w:divBdr>
          <w:divsChild>
            <w:div w:id="1481919271">
              <w:marLeft w:val="0"/>
              <w:marRight w:val="0"/>
              <w:marTop w:val="0"/>
              <w:marBottom w:val="0"/>
              <w:divBdr>
                <w:top w:val="single" w:sz="6" w:space="0" w:color="C9C9C9"/>
                <w:left w:val="none" w:sz="0" w:space="0" w:color="auto"/>
                <w:bottom w:val="none" w:sz="0" w:space="0" w:color="auto"/>
                <w:right w:val="none" w:sz="0" w:space="0" w:color="auto"/>
              </w:divBdr>
              <w:divsChild>
                <w:div w:id="471555027">
                  <w:marLeft w:val="0"/>
                  <w:marRight w:val="0"/>
                  <w:marTop w:val="0"/>
                  <w:marBottom w:val="0"/>
                  <w:divBdr>
                    <w:top w:val="none" w:sz="0" w:space="0" w:color="auto"/>
                    <w:left w:val="none" w:sz="0" w:space="0" w:color="auto"/>
                    <w:bottom w:val="none" w:sz="0" w:space="0" w:color="auto"/>
                    <w:right w:val="none" w:sz="0" w:space="0" w:color="auto"/>
                  </w:divBdr>
                  <w:divsChild>
                    <w:div w:id="1878349651">
                      <w:marLeft w:val="0"/>
                      <w:marRight w:val="0"/>
                      <w:marTop w:val="0"/>
                      <w:marBottom w:val="0"/>
                      <w:divBdr>
                        <w:top w:val="none" w:sz="0" w:space="0" w:color="auto"/>
                        <w:left w:val="none" w:sz="0" w:space="0" w:color="auto"/>
                        <w:bottom w:val="none" w:sz="0" w:space="0" w:color="auto"/>
                        <w:right w:val="none" w:sz="0" w:space="0" w:color="auto"/>
                      </w:divBdr>
                      <w:divsChild>
                        <w:div w:id="1226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468863">
      <w:bodyDiv w:val="1"/>
      <w:marLeft w:val="0"/>
      <w:marRight w:val="0"/>
      <w:marTop w:val="0"/>
      <w:marBottom w:val="0"/>
      <w:divBdr>
        <w:top w:val="none" w:sz="0" w:space="0" w:color="auto"/>
        <w:left w:val="none" w:sz="0" w:space="0" w:color="auto"/>
        <w:bottom w:val="none" w:sz="0" w:space="0" w:color="auto"/>
        <w:right w:val="none" w:sz="0" w:space="0" w:color="auto"/>
      </w:divBdr>
    </w:div>
    <w:div w:id="1084306180">
      <w:bodyDiv w:val="1"/>
      <w:marLeft w:val="0"/>
      <w:marRight w:val="0"/>
      <w:marTop w:val="0"/>
      <w:marBottom w:val="0"/>
      <w:divBdr>
        <w:top w:val="none" w:sz="0" w:space="0" w:color="auto"/>
        <w:left w:val="none" w:sz="0" w:space="0" w:color="auto"/>
        <w:bottom w:val="none" w:sz="0" w:space="0" w:color="auto"/>
        <w:right w:val="none" w:sz="0" w:space="0" w:color="auto"/>
      </w:divBdr>
    </w:div>
    <w:div w:id="1380520256">
      <w:bodyDiv w:val="1"/>
      <w:marLeft w:val="0"/>
      <w:marRight w:val="0"/>
      <w:marTop w:val="0"/>
      <w:marBottom w:val="0"/>
      <w:divBdr>
        <w:top w:val="none" w:sz="0" w:space="0" w:color="auto"/>
        <w:left w:val="none" w:sz="0" w:space="0" w:color="auto"/>
        <w:bottom w:val="none" w:sz="0" w:space="0" w:color="auto"/>
        <w:right w:val="none" w:sz="0" w:space="0" w:color="auto"/>
      </w:divBdr>
    </w:div>
    <w:div w:id="1589192954">
      <w:bodyDiv w:val="1"/>
      <w:marLeft w:val="0"/>
      <w:marRight w:val="0"/>
      <w:marTop w:val="0"/>
      <w:marBottom w:val="0"/>
      <w:divBdr>
        <w:top w:val="none" w:sz="0" w:space="0" w:color="auto"/>
        <w:left w:val="none" w:sz="0" w:space="0" w:color="auto"/>
        <w:bottom w:val="none" w:sz="0" w:space="0" w:color="auto"/>
        <w:right w:val="none" w:sz="0" w:space="0" w:color="auto"/>
      </w:divBdr>
    </w:div>
    <w:div w:id="1650741024">
      <w:bodyDiv w:val="1"/>
      <w:marLeft w:val="0"/>
      <w:marRight w:val="0"/>
      <w:marTop w:val="0"/>
      <w:marBottom w:val="0"/>
      <w:divBdr>
        <w:top w:val="none" w:sz="0" w:space="0" w:color="auto"/>
        <w:left w:val="none" w:sz="0" w:space="0" w:color="auto"/>
        <w:bottom w:val="none" w:sz="0" w:space="0" w:color="auto"/>
        <w:right w:val="none" w:sz="0" w:space="0" w:color="auto"/>
      </w:divBdr>
      <w:divsChild>
        <w:div w:id="1661763318">
          <w:marLeft w:val="0"/>
          <w:marRight w:val="0"/>
          <w:marTop w:val="0"/>
          <w:marBottom w:val="0"/>
          <w:divBdr>
            <w:top w:val="single" w:sz="2" w:space="0" w:color="2E2E2E"/>
            <w:left w:val="single" w:sz="2" w:space="0" w:color="2E2E2E"/>
            <w:bottom w:val="single" w:sz="2" w:space="0" w:color="2E2E2E"/>
            <w:right w:val="single" w:sz="2" w:space="0" w:color="2E2E2E"/>
          </w:divBdr>
          <w:divsChild>
            <w:div w:id="1020620857">
              <w:marLeft w:val="0"/>
              <w:marRight w:val="0"/>
              <w:marTop w:val="0"/>
              <w:marBottom w:val="0"/>
              <w:divBdr>
                <w:top w:val="single" w:sz="6" w:space="0" w:color="C9C9C9"/>
                <w:left w:val="none" w:sz="0" w:space="0" w:color="auto"/>
                <w:bottom w:val="none" w:sz="0" w:space="0" w:color="auto"/>
                <w:right w:val="none" w:sz="0" w:space="0" w:color="auto"/>
              </w:divBdr>
              <w:divsChild>
                <w:div w:id="1432779282">
                  <w:marLeft w:val="0"/>
                  <w:marRight w:val="0"/>
                  <w:marTop w:val="0"/>
                  <w:marBottom w:val="0"/>
                  <w:divBdr>
                    <w:top w:val="none" w:sz="0" w:space="0" w:color="auto"/>
                    <w:left w:val="none" w:sz="0" w:space="0" w:color="auto"/>
                    <w:bottom w:val="none" w:sz="0" w:space="0" w:color="auto"/>
                    <w:right w:val="none" w:sz="0" w:space="0" w:color="auto"/>
                  </w:divBdr>
                  <w:divsChild>
                    <w:div w:id="1621691585">
                      <w:marLeft w:val="0"/>
                      <w:marRight w:val="0"/>
                      <w:marTop w:val="0"/>
                      <w:marBottom w:val="0"/>
                      <w:divBdr>
                        <w:top w:val="none" w:sz="0" w:space="0" w:color="auto"/>
                        <w:left w:val="none" w:sz="0" w:space="0" w:color="auto"/>
                        <w:bottom w:val="none" w:sz="0" w:space="0" w:color="auto"/>
                        <w:right w:val="none" w:sz="0" w:space="0" w:color="auto"/>
                      </w:divBdr>
                      <w:divsChild>
                        <w:div w:id="749425832">
                          <w:marLeft w:val="0"/>
                          <w:marRight w:val="0"/>
                          <w:marTop w:val="225"/>
                          <w:marBottom w:val="180"/>
                          <w:divBdr>
                            <w:top w:val="single" w:sz="6" w:space="0" w:color="D7D7D7"/>
                            <w:left w:val="single" w:sz="2" w:space="0" w:color="D7D7D7"/>
                            <w:bottom w:val="single" w:sz="6" w:space="0" w:color="D7D7D7"/>
                            <w:right w:val="single" w:sz="2" w:space="0" w:color="D7D7D7"/>
                          </w:divBdr>
                          <w:divsChild>
                            <w:div w:id="5984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90246">
      <w:bodyDiv w:val="1"/>
      <w:marLeft w:val="0"/>
      <w:marRight w:val="0"/>
      <w:marTop w:val="0"/>
      <w:marBottom w:val="0"/>
      <w:divBdr>
        <w:top w:val="none" w:sz="0" w:space="0" w:color="auto"/>
        <w:left w:val="none" w:sz="0" w:space="0" w:color="auto"/>
        <w:bottom w:val="none" w:sz="0" w:space="0" w:color="auto"/>
        <w:right w:val="none" w:sz="0" w:space="0" w:color="auto"/>
      </w:divBdr>
    </w:div>
    <w:div w:id="2000500614">
      <w:bodyDiv w:val="1"/>
      <w:marLeft w:val="0"/>
      <w:marRight w:val="0"/>
      <w:marTop w:val="0"/>
      <w:marBottom w:val="0"/>
      <w:divBdr>
        <w:top w:val="none" w:sz="0" w:space="0" w:color="auto"/>
        <w:left w:val="none" w:sz="0" w:space="0" w:color="auto"/>
        <w:bottom w:val="none" w:sz="0" w:space="0" w:color="auto"/>
        <w:right w:val="none" w:sz="0" w:space="0" w:color="auto"/>
      </w:divBdr>
    </w:div>
    <w:div w:id="2016372704">
      <w:bodyDiv w:val="1"/>
      <w:marLeft w:val="0"/>
      <w:marRight w:val="0"/>
      <w:marTop w:val="0"/>
      <w:marBottom w:val="0"/>
      <w:divBdr>
        <w:top w:val="none" w:sz="0" w:space="0" w:color="auto"/>
        <w:left w:val="none" w:sz="0" w:space="0" w:color="auto"/>
        <w:bottom w:val="none" w:sz="0" w:space="0" w:color="auto"/>
        <w:right w:val="none" w:sz="0" w:space="0" w:color="auto"/>
      </w:divBdr>
      <w:divsChild>
        <w:div w:id="1068768815">
          <w:marLeft w:val="0"/>
          <w:marRight w:val="0"/>
          <w:marTop w:val="0"/>
          <w:marBottom w:val="0"/>
          <w:divBdr>
            <w:top w:val="single" w:sz="2" w:space="0" w:color="2E2E2E"/>
            <w:left w:val="single" w:sz="2" w:space="0" w:color="2E2E2E"/>
            <w:bottom w:val="single" w:sz="2" w:space="0" w:color="2E2E2E"/>
            <w:right w:val="single" w:sz="2" w:space="0" w:color="2E2E2E"/>
          </w:divBdr>
          <w:divsChild>
            <w:div w:id="1279144988">
              <w:marLeft w:val="0"/>
              <w:marRight w:val="0"/>
              <w:marTop w:val="0"/>
              <w:marBottom w:val="0"/>
              <w:divBdr>
                <w:top w:val="single" w:sz="6" w:space="0" w:color="C9C9C9"/>
                <w:left w:val="none" w:sz="0" w:space="0" w:color="auto"/>
                <w:bottom w:val="none" w:sz="0" w:space="0" w:color="auto"/>
                <w:right w:val="none" w:sz="0" w:space="0" w:color="auto"/>
              </w:divBdr>
              <w:divsChild>
                <w:div w:id="1082797381">
                  <w:marLeft w:val="0"/>
                  <w:marRight w:val="0"/>
                  <w:marTop w:val="0"/>
                  <w:marBottom w:val="0"/>
                  <w:divBdr>
                    <w:top w:val="none" w:sz="0" w:space="0" w:color="auto"/>
                    <w:left w:val="none" w:sz="0" w:space="0" w:color="auto"/>
                    <w:bottom w:val="none" w:sz="0" w:space="0" w:color="auto"/>
                    <w:right w:val="none" w:sz="0" w:space="0" w:color="auto"/>
                  </w:divBdr>
                  <w:divsChild>
                    <w:div w:id="681274567">
                      <w:marLeft w:val="0"/>
                      <w:marRight w:val="0"/>
                      <w:marTop w:val="0"/>
                      <w:marBottom w:val="0"/>
                      <w:divBdr>
                        <w:top w:val="none" w:sz="0" w:space="0" w:color="auto"/>
                        <w:left w:val="none" w:sz="0" w:space="0" w:color="auto"/>
                        <w:bottom w:val="none" w:sz="0" w:space="0" w:color="auto"/>
                        <w:right w:val="none" w:sz="0" w:space="0" w:color="auto"/>
                      </w:divBdr>
                      <w:divsChild>
                        <w:div w:id="18299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30846">
      <w:bodyDiv w:val="1"/>
      <w:marLeft w:val="0"/>
      <w:marRight w:val="0"/>
      <w:marTop w:val="0"/>
      <w:marBottom w:val="0"/>
      <w:divBdr>
        <w:top w:val="none" w:sz="0" w:space="0" w:color="auto"/>
        <w:left w:val="none" w:sz="0" w:space="0" w:color="auto"/>
        <w:bottom w:val="none" w:sz="0" w:space="0" w:color="auto"/>
        <w:right w:val="none" w:sz="0" w:space="0" w:color="auto"/>
      </w:divBdr>
    </w:div>
    <w:div w:id="211740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47163-C439-4DB5-A9B1-ED9BB407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15</Pages>
  <Words>7513</Words>
  <Characters>42826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50239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Macnamara</dc:creator>
  <cp:lastModifiedBy>Jim Macnamara</cp:lastModifiedBy>
  <cp:revision>6</cp:revision>
  <cp:lastPrinted>2016-01-13T14:05:00Z</cp:lastPrinted>
  <dcterms:created xsi:type="dcterms:W3CDTF">2016-03-09T20:25:00Z</dcterms:created>
  <dcterms:modified xsi:type="dcterms:W3CDTF">2016-03-23T00:12:00Z</dcterms:modified>
</cp:coreProperties>
</file>