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3171" w14:textId="77777777" w:rsidR="00F9742A" w:rsidRDefault="00EB50AB" w:rsidP="00F9742A">
      <w:pPr>
        <w:tabs>
          <w:tab w:val="left" w:pos="140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w:t>
      </w:r>
      <w:r w:rsidR="00510E4B">
        <w:rPr>
          <w:rFonts w:ascii="Times New Roman" w:hAnsi="Times New Roman" w:cs="Times New Roman"/>
          <w:b/>
          <w:sz w:val="24"/>
          <w:szCs w:val="24"/>
        </w:rPr>
        <w:t>vidence on why firms use different</w:t>
      </w:r>
      <w:r w:rsidR="00F9742A">
        <w:rPr>
          <w:rFonts w:ascii="Times New Roman" w:hAnsi="Times New Roman" w:cs="Times New Roman"/>
          <w:b/>
          <w:sz w:val="24"/>
          <w:szCs w:val="24"/>
        </w:rPr>
        <w:t xml:space="preserve"> </w:t>
      </w:r>
      <w:r w:rsidR="009E710E">
        <w:rPr>
          <w:rFonts w:ascii="Times New Roman" w:hAnsi="Times New Roman" w:cs="Times New Roman"/>
          <w:b/>
          <w:sz w:val="24"/>
          <w:szCs w:val="24"/>
        </w:rPr>
        <w:t>disclosure outlets</w:t>
      </w:r>
      <w:r w:rsidR="00F9742A">
        <w:rPr>
          <w:rFonts w:ascii="Times New Roman" w:hAnsi="Times New Roman" w:cs="Times New Roman"/>
          <w:b/>
          <w:sz w:val="24"/>
          <w:szCs w:val="24"/>
        </w:rPr>
        <w:t xml:space="preserve">: </w:t>
      </w:r>
      <w:r w:rsidR="00B84512">
        <w:rPr>
          <w:rFonts w:ascii="Times New Roman" w:hAnsi="Times New Roman" w:cs="Times New Roman"/>
          <w:b/>
          <w:sz w:val="24"/>
          <w:szCs w:val="24"/>
        </w:rPr>
        <w:t>P</w:t>
      </w:r>
      <w:r w:rsidR="00F9742A">
        <w:rPr>
          <w:rFonts w:ascii="Times New Roman" w:hAnsi="Times New Roman" w:cs="Times New Roman"/>
          <w:b/>
          <w:sz w:val="24"/>
          <w:szCs w:val="24"/>
        </w:rPr>
        <w:t xml:space="preserve">urchased </w:t>
      </w:r>
      <w:r w:rsidR="00A77092">
        <w:rPr>
          <w:rFonts w:ascii="Times New Roman" w:hAnsi="Times New Roman" w:cs="Times New Roman"/>
          <w:b/>
          <w:sz w:val="24"/>
          <w:szCs w:val="24"/>
        </w:rPr>
        <w:t xml:space="preserve">analyst </w:t>
      </w:r>
      <w:r w:rsidR="00F9742A">
        <w:rPr>
          <w:rFonts w:ascii="Times New Roman" w:hAnsi="Times New Roman" w:cs="Times New Roman"/>
          <w:b/>
          <w:sz w:val="24"/>
          <w:szCs w:val="24"/>
        </w:rPr>
        <w:t xml:space="preserve">research, </w:t>
      </w:r>
      <w:r w:rsidR="009E710E">
        <w:rPr>
          <w:rFonts w:ascii="Times New Roman" w:hAnsi="Times New Roman" w:cs="Times New Roman"/>
          <w:b/>
          <w:sz w:val="24"/>
          <w:szCs w:val="24"/>
        </w:rPr>
        <w:t>investor</w:t>
      </w:r>
      <w:r w:rsidR="00F9742A" w:rsidRPr="00D547A6">
        <w:rPr>
          <w:rFonts w:ascii="Times New Roman" w:hAnsi="Times New Roman" w:cs="Times New Roman"/>
          <w:b/>
          <w:sz w:val="24"/>
          <w:szCs w:val="24"/>
        </w:rPr>
        <w:t xml:space="preserve"> presentations </w:t>
      </w:r>
      <w:r w:rsidR="00F9742A">
        <w:rPr>
          <w:rFonts w:ascii="Times New Roman" w:hAnsi="Times New Roman" w:cs="Times New Roman"/>
          <w:b/>
          <w:sz w:val="24"/>
          <w:szCs w:val="24"/>
        </w:rPr>
        <w:t>and</w:t>
      </w:r>
      <w:r w:rsidR="00F9742A" w:rsidRPr="00D547A6">
        <w:rPr>
          <w:rFonts w:ascii="Times New Roman" w:hAnsi="Times New Roman" w:cs="Times New Roman"/>
          <w:b/>
          <w:sz w:val="24"/>
          <w:szCs w:val="24"/>
        </w:rPr>
        <w:t xml:space="preserve"> </w:t>
      </w:r>
      <w:r w:rsidR="00E831D1">
        <w:rPr>
          <w:rFonts w:ascii="Times New Roman" w:hAnsi="Times New Roman" w:cs="Times New Roman"/>
          <w:b/>
          <w:sz w:val="24"/>
          <w:szCs w:val="24"/>
        </w:rPr>
        <w:t>Open Briefing</w:t>
      </w:r>
      <w:r w:rsidR="00F9742A" w:rsidRPr="00D547A6">
        <w:rPr>
          <w:rFonts w:ascii="Times New Roman" w:hAnsi="Times New Roman" w:cs="Times New Roman"/>
          <w:b/>
          <w:sz w:val="24"/>
          <w:szCs w:val="24"/>
        </w:rPr>
        <w:t>s</w:t>
      </w:r>
    </w:p>
    <w:p w14:paraId="4B6F7A51" w14:textId="77777777" w:rsidR="00261F5C" w:rsidRDefault="00261F5C" w:rsidP="00F9742A">
      <w:pPr>
        <w:tabs>
          <w:tab w:val="left" w:pos="1407"/>
        </w:tabs>
        <w:spacing w:after="0" w:line="480" w:lineRule="auto"/>
        <w:jc w:val="center"/>
        <w:rPr>
          <w:rFonts w:ascii="Times New Roman" w:hAnsi="Times New Roman" w:cs="Times New Roman"/>
          <w:b/>
          <w:sz w:val="24"/>
          <w:szCs w:val="24"/>
        </w:rPr>
      </w:pPr>
    </w:p>
    <w:p w14:paraId="0EB44D18" w14:textId="77777777" w:rsidR="00261F5C" w:rsidRPr="00261F5C" w:rsidRDefault="00261F5C" w:rsidP="00F9742A">
      <w:pPr>
        <w:tabs>
          <w:tab w:val="left" w:pos="1407"/>
        </w:tabs>
        <w:spacing w:after="0" w:line="480" w:lineRule="auto"/>
        <w:jc w:val="center"/>
        <w:rPr>
          <w:rFonts w:ascii="Times New Roman" w:hAnsi="Times New Roman" w:cs="Times New Roman"/>
          <w:b/>
          <w:sz w:val="24"/>
          <w:szCs w:val="24"/>
        </w:rPr>
      </w:pPr>
    </w:p>
    <w:p w14:paraId="35FE5920" w14:textId="77777777" w:rsidR="00BA3C60" w:rsidRPr="00261F5C" w:rsidRDefault="00F90269" w:rsidP="00F9742A">
      <w:pPr>
        <w:tabs>
          <w:tab w:val="left" w:pos="1407"/>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Alex</w:t>
      </w:r>
      <w:r w:rsidR="00B97C00">
        <w:rPr>
          <w:rFonts w:ascii="Times New Roman" w:hAnsi="Times New Roman" w:cs="Times New Roman"/>
          <w:sz w:val="24"/>
          <w:szCs w:val="24"/>
        </w:rPr>
        <w:t>ey</w:t>
      </w:r>
      <w:r>
        <w:rPr>
          <w:rFonts w:ascii="Times New Roman" w:hAnsi="Times New Roman" w:cs="Times New Roman"/>
          <w:sz w:val="24"/>
          <w:szCs w:val="24"/>
        </w:rPr>
        <w:t xml:space="preserve"> Feigin</w:t>
      </w:r>
      <w:r w:rsidR="00B201A0" w:rsidRPr="00B201A0">
        <w:rPr>
          <w:rFonts w:ascii="Times New Roman" w:hAnsi="Times New Roman" w:cs="Times New Roman"/>
          <w:sz w:val="24"/>
          <w:szCs w:val="24"/>
          <w:vertAlign w:val="superscript"/>
        </w:rPr>
        <w:t>+</w:t>
      </w:r>
      <w:r w:rsidR="00261F5C" w:rsidRPr="00261F5C">
        <w:rPr>
          <w:rFonts w:ascii="Times New Roman" w:hAnsi="Times New Roman" w:cs="Times New Roman"/>
          <w:sz w:val="24"/>
          <w:szCs w:val="24"/>
        </w:rPr>
        <w:t>, A</w:t>
      </w:r>
      <w:bookmarkStart w:id="0" w:name="_GoBack"/>
      <w:bookmarkEnd w:id="0"/>
      <w:r w:rsidR="00261F5C" w:rsidRPr="00261F5C">
        <w:rPr>
          <w:rFonts w:ascii="Times New Roman" w:hAnsi="Times New Roman" w:cs="Times New Roman"/>
          <w:sz w:val="24"/>
          <w:szCs w:val="24"/>
        </w:rPr>
        <w:t>ndrew Ferguson</w:t>
      </w:r>
      <w:r w:rsidR="00B201A0" w:rsidRPr="00B201A0">
        <w:rPr>
          <w:rFonts w:ascii="Times New Roman" w:hAnsi="Times New Roman" w:cs="Times New Roman"/>
          <w:sz w:val="24"/>
          <w:szCs w:val="24"/>
          <w:vertAlign w:val="superscript"/>
        </w:rPr>
        <w:t>+</w:t>
      </w:r>
      <w:r w:rsidR="00BA3C60">
        <w:rPr>
          <w:rStyle w:val="FootnoteReference"/>
          <w:rFonts w:ascii="Times New Roman" w:hAnsi="Times New Roman" w:cs="Times New Roman"/>
          <w:sz w:val="24"/>
          <w:szCs w:val="24"/>
        </w:rPr>
        <w:footnoteReference w:customMarkFollows="1" w:id="1"/>
        <w:t>*</w:t>
      </w:r>
      <w:r w:rsidR="00BA3C60" w:rsidRPr="00261F5C">
        <w:rPr>
          <w:rFonts w:ascii="Times New Roman" w:hAnsi="Times New Roman" w:cs="Times New Roman"/>
          <w:sz w:val="24"/>
          <w:szCs w:val="24"/>
        </w:rPr>
        <w:t>, Matt</w:t>
      </w:r>
      <w:r w:rsidR="00BA3C60">
        <w:rPr>
          <w:rFonts w:ascii="Times New Roman" w:hAnsi="Times New Roman" w:cs="Times New Roman"/>
          <w:sz w:val="24"/>
          <w:szCs w:val="24"/>
        </w:rPr>
        <w:t>hew</w:t>
      </w:r>
      <w:r w:rsidR="00BA3C60" w:rsidRPr="00261F5C">
        <w:rPr>
          <w:rFonts w:ascii="Times New Roman" w:hAnsi="Times New Roman" w:cs="Times New Roman"/>
          <w:sz w:val="24"/>
          <w:szCs w:val="24"/>
        </w:rPr>
        <w:t xml:space="preserve"> Grosse</w:t>
      </w:r>
      <w:r w:rsidR="00BA3C60" w:rsidRPr="00B201A0">
        <w:rPr>
          <w:rFonts w:ascii="Times New Roman" w:hAnsi="Times New Roman" w:cs="Times New Roman"/>
          <w:sz w:val="24"/>
          <w:szCs w:val="24"/>
          <w:vertAlign w:val="superscript"/>
        </w:rPr>
        <w:t>+</w:t>
      </w:r>
      <w:r w:rsidR="00BA3C60">
        <w:rPr>
          <w:rFonts w:ascii="Times New Roman" w:hAnsi="Times New Roman" w:cs="Times New Roman"/>
          <w:sz w:val="24"/>
          <w:szCs w:val="24"/>
        </w:rPr>
        <w:t xml:space="preserve"> and </w:t>
      </w:r>
      <w:r w:rsidR="00BA3C60" w:rsidRPr="00261F5C">
        <w:rPr>
          <w:rFonts w:ascii="Times New Roman" w:hAnsi="Times New Roman" w:cs="Times New Roman"/>
          <w:sz w:val="24"/>
          <w:szCs w:val="24"/>
        </w:rPr>
        <w:t>Tom Scott</w:t>
      </w:r>
      <w:r w:rsidR="00BA3C60" w:rsidRPr="00B201A0">
        <w:rPr>
          <w:rFonts w:ascii="Times New Roman" w:hAnsi="Times New Roman" w:cs="Times New Roman"/>
          <w:sz w:val="24"/>
          <w:szCs w:val="24"/>
          <w:vertAlign w:val="superscript"/>
        </w:rPr>
        <w:t>#</w:t>
      </w:r>
    </w:p>
    <w:p w14:paraId="79ADFE6F" w14:textId="77777777" w:rsidR="00BA3C60" w:rsidRPr="00261F5C" w:rsidRDefault="00BA3C60" w:rsidP="00F9742A">
      <w:pPr>
        <w:tabs>
          <w:tab w:val="left" w:pos="1407"/>
        </w:tabs>
        <w:spacing w:after="0" w:line="480" w:lineRule="auto"/>
        <w:jc w:val="center"/>
        <w:rPr>
          <w:rFonts w:ascii="Times New Roman" w:hAnsi="Times New Roman" w:cs="Times New Roman"/>
          <w:sz w:val="24"/>
          <w:szCs w:val="24"/>
        </w:rPr>
      </w:pPr>
    </w:p>
    <w:p w14:paraId="2306D20D" w14:textId="77777777" w:rsidR="00BA3C60" w:rsidRDefault="00BA3C60" w:rsidP="00F9742A">
      <w:pPr>
        <w:tabs>
          <w:tab w:val="left" w:pos="1407"/>
        </w:tabs>
        <w:spacing w:after="0" w:line="480" w:lineRule="auto"/>
        <w:jc w:val="center"/>
        <w:rPr>
          <w:rFonts w:ascii="Times New Roman" w:hAnsi="Times New Roman" w:cs="Times New Roman"/>
          <w:sz w:val="24"/>
          <w:szCs w:val="24"/>
        </w:rPr>
      </w:pPr>
      <w:r w:rsidRPr="00B201A0">
        <w:rPr>
          <w:rFonts w:ascii="Times New Roman" w:hAnsi="Times New Roman" w:cs="Times New Roman"/>
          <w:sz w:val="24"/>
          <w:szCs w:val="24"/>
          <w:vertAlign w:val="superscript"/>
        </w:rPr>
        <w:t>+</w:t>
      </w:r>
      <w:r>
        <w:rPr>
          <w:rFonts w:ascii="Times New Roman" w:hAnsi="Times New Roman" w:cs="Times New Roman"/>
          <w:sz w:val="24"/>
          <w:szCs w:val="24"/>
        </w:rPr>
        <w:t xml:space="preserve">Accounting Discipline Group, </w:t>
      </w:r>
      <w:r w:rsidRPr="00261F5C">
        <w:rPr>
          <w:rFonts w:ascii="Times New Roman" w:hAnsi="Times New Roman" w:cs="Times New Roman"/>
          <w:sz w:val="24"/>
          <w:szCs w:val="24"/>
        </w:rPr>
        <w:t>University of Technology, Sydney</w:t>
      </w:r>
    </w:p>
    <w:p w14:paraId="57B4FB96" w14:textId="77777777" w:rsidR="00BA3C60" w:rsidRPr="00261F5C" w:rsidRDefault="00BA3C60" w:rsidP="00F9742A">
      <w:pPr>
        <w:tabs>
          <w:tab w:val="left" w:pos="1407"/>
        </w:tabs>
        <w:spacing w:after="0" w:line="480" w:lineRule="auto"/>
        <w:jc w:val="center"/>
        <w:rPr>
          <w:rFonts w:ascii="Times New Roman" w:hAnsi="Times New Roman" w:cs="Times New Roman"/>
          <w:sz w:val="24"/>
          <w:szCs w:val="24"/>
        </w:rPr>
      </w:pPr>
      <w:r w:rsidRPr="00B201A0">
        <w:rPr>
          <w:rFonts w:ascii="Times New Roman" w:hAnsi="Times New Roman" w:cs="Times New Roman"/>
          <w:sz w:val="24"/>
          <w:szCs w:val="24"/>
          <w:vertAlign w:val="superscript"/>
        </w:rPr>
        <w:t>#</w:t>
      </w:r>
      <w:r>
        <w:rPr>
          <w:rFonts w:ascii="Times New Roman" w:hAnsi="Times New Roman" w:cs="Times New Roman"/>
          <w:sz w:val="24"/>
          <w:szCs w:val="24"/>
        </w:rPr>
        <w:t>Graduate School of Management, University of Auckland</w:t>
      </w:r>
    </w:p>
    <w:p w14:paraId="5524928A" w14:textId="77777777" w:rsidR="00BA3C60" w:rsidRDefault="00BA3C60" w:rsidP="002920A3">
      <w:pPr>
        <w:spacing w:after="0" w:line="480" w:lineRule="auto"/>
        <w:jc w:val="both"/>
        <w:rPr>
          <w:rFonts w:ascii="Times New Roman" w:hAnsi="Times New Roman" w:cs="Times New Roman"/>
          <w:sz w:val="24"/>
          <w:szCs w:val="24"/>
        </w:rPr>
      </w:pPr>
    </w:p>
    <w:p w14:paraId="7716AB4B" w14:textId="77777777" w:rsidR="00BA3C60" w:rsidRDefault="00BA3C60" w:rsidP="002920A3">
      <w:pPr>
        <w:spacing w:after="0" w:line="480" w:lineRule="auto"/>
        <w:jc w:val="both"/>
        <w:rPr>
          <w:rFonts w:ascii="Times New Roman" w:hAnsi="Times New Roman" w:cs="Times New Roman"/>
          <w:sz w:val="24"/>
          <w:szCs w:val="24"/>
        </w:rPr>
      </w:pPr>
    </w:p>
    <w:p w14:paraId="3BB6636B" w14:textId="60BD79B3" w:rsidR="00BA3C60" w:rsidRDefault="00BA3C60" w:rsidP="00F90269">
      <w:pPr>
        <w:tabs>
          <w:tab w:val="left" w:pos="9450"/>
        </w:tabs>
        <w:spacing w:after="0" w:line="480" w:lineRule="auto"/>
        <w:jc w:val="center"/>
        <w:rPr>
          <w:rFonts w:ascii="Times New Roman" w:eastAsia="Times New Roman" w:hAnsi="Times New Roman" w:cs="Times New Roman"/>
          <w:sz w:val="24"/>
          <w:szCs w:val="21"/>
          <w:lang w:eastAsia="zh-CN"/>
        </w:rPr>
      </w:pPr>
      <w:r>
        <w:rPr>
          <w:rFonts w:ascii="Times New Roman" w:eastAsia="Times New Roman" w:hAnsi="Times New Roman" w:cs="Times New Roman"/>
          <w:sz w:val="24"/>
          <w:szCs w:val="21"/>
          <w:lang w:eastAsia="zh-CN"/>
        </w:rPr>
        <w:t xml:space="preserve">Version of </w:t>
      </w:r>
      <w:r w:rsidR="00F04F10">
        <w:rPr>
          <w:rFonts w:ascii="Times New Roman" w:eastAsia="Times New Roman" w:hAnsi="Times New Roman" w:cs="Times New Roman"/>
          <w:sz w:val="24"/>
          <w:szCs w:val="21"/>
          <w:lang w:eastAsia="zh-CN"/>
        </w:rPr>
        <w:t>2</w:t>
      </w:r>
      <w:r w:rsidR="00147C4B">
        <w:rPr>
          <w:rFonts w:ascii="Times New Roman" w:eastAsia="Times New Roman" w:hAnsi="Times New Roman" w:cs="Times New Roman"/>
          <w:sz w:val="24"/>
          <w:szCs w:val="21"/>
          <w:lang w:eastAsia="zh-CN"/>
        </w:rPr>
        <w:t>1</w:t>
      </w:r>
      <w:r w:rsidR="009802C5">
        <w:rPr>
          <w:rFonts w:ascii="Times New Roman" w:eastAsia="Times New Roman" w:hAnsi="Times New Roman" w:cs="Times New Roman"/>
          <w:sz w:val="24"/>
          <w:szCs w:val="21"/>
          <w:lang w:eastAsia="zh-CN"/>
        </w:rPr>
        <w:t xml:space="preserve"> </w:t>
      </w:r>
      <w:r w:rsidR="00017844">
        <w:rPr>
          <w:rFonts w:ascii="Times New Roman" w:eastAsia="Times New Roman" w:hAnsi="Times New Roman" w:cs="Times New Roman"/>
          <w:sz w:val="24"/>
          <w:szCs w:val="21"/>
          <w:lang w:eastAsia="zh-CN"/>
        </w:rPr>
        <w:t>January</w:t>
      </w:r>
      <w:r w:rsidR="00F94CC2">
        <w:rPr>
          <w:rFonts w:ascii="Times New Roman" w:eastAsia="Times New Roman" w:hAnsi="Times New Roman" w:cs="Times New Roman"/>
          <w:sz w:val="24"/>
          <w:szCs w:val="21"/>
          <w:lang w:eastAsia="zh-CN"/>
        </w:rPr>
        <w:t xml:space="preserve"> </w:t>
      </w:r>
      <w:r>
        <w:rPr>
          <w:rFonts w:ascii="Times New Roman" w:eastAsia="Times New Roman" w:hAnsi="Times New Roman" w:cs="Times New Roman"/>
          <w:sz w:val="24"/>
          <w:szCs w:val="21"/>
          <w:lang w:eastAsia="zh-CN"/>
        </w:rPr>
        <w:t>201</w:t>
      </w:r>
      <w:r w:rsidR="00017844">
        <w:rPr>
          <w:rFonts w:ascii="Times New Roman" w:eastAsia="Times New Roman" w:hAnsi="Times New Roman" w:cs="Times New Roman"/>
          <w:sz w:val="24"/>
          <w:szCs w:val="21"/>
          <w:lang w:eastAsia="zh-CN"/>
        </w:rPr>
        <w:t>5</w:t>
      </w:r>
    </w:p>
    <w:p w14:paraId="5F10CD6C" w14:textId="77777777" w:rsidR="00BA3C60" w:rsidRDefault="00BA3C60" w:rsidP="002920A3">
      <w:pPr>
        <w:spacing w:after="0" w:line="480" w:lineRule="auto"/>
        <w:jc w:val="both"/>
        <w:rPr>
          <w:rFonts w:ascii="Times New Roman" w:hAnsi="Times New Roman" w:cs="Times New Roman"/>
          <w:sz w:val="24"/>
          <w:szCs w:val="24"/>
        </w:rPr>
      </w:pPr>
    </w:p>
    <w:p w14:paraId="22A58200" w14:textId="77777777" w:rsidR="00BA3C60" w:rsidRDefault="00BA3C60" w:rsidP="002920A3">
      <w:pPr>
        <w:spacing w:after="0" w:line="480" w:lineRule="auto"/>
        <w:jc w:val="both"/>
        <w:rPr>
          <w:rFonts w:ascii="Times New Roman" w:hAnsi="Times New Roman" w:cs="Times New Roman"/>
          <w:sz w:val="24"/>
          <w:szCs w:val="24"/>
        </w:rPr>
      </w:pPr>
    </w:p>
    <w:p w14:paraId="427904B4" w14:textId="77777777" w:rsidR="00BA3C60" w:rsidRPr="00261F5C" w:rsidRDefault="00BA3C60" w:rsidP="00E5284D">
      <w:pPr>
        <w:tabs>
          <w:tab w:val="left" w:pos="5923"/>
        </w:tabs>
        <w:spacing w:after="0" w:line="480" w:lineRule="auto"/>
        <w:jc w:val="both"/>
        <w:rPr>
          <w:rFonts w:ascii="Times New Roman" w:hAnsi="Times New Roman" w:cs="Times New Roman"/>
          <w:sz w:val="24"/>
          <w:szCs w:val="24"/>
        </w:rPr>
      </w:pPr>
    </w:p>
    <w:p w14:paraId="37B64AE7" w14:textId="77777777" w:rsidR="00BA3C60" w:rsidRDefault="00BA3C60" w:rsidP="00BD35A6">
      <w:pPr>
        <w:spacing w:after="0" w:line="480" w:lineRule="auto"/>
        <w:jc w:val="both"/>
        <w:rPr>
          <w:rFonts w:ascii="Times New Roman" w:hAnsi="Times New Roman" w:cs="Times New Roman"/>
          <w:sz w:val="24"/>
          <w:szCs w:val="24"/>
        </w:rPr>
      </w:pPr>
    </w:p>
    <w:p w14:paraId="67644DC4" w14:textId="77777777" w:rsidR="00BA3C60" w:rsidRDefault="00BA3C60" w:rsidP="00BD35A6">
      <w:pPr>
        <w:spacing w:after="0" w:line="480" w:lineRule="auto"/>
        <w:jc w:val="both"/>
        <w:rPr>
          <w:rFonts w:ascii="Times New Roman" w:hAnsi="Times New Roman" w:cs="Times New Roman"/>
          <w:sz w:val="24"/>
          <w:szCs w:val="24"/>
        </w:rPr>
      </w:pPr>
    </w:p>
    <w:p w14:paraId="0E084DD8" w14:textId="77777777" w:rsidR="00BA3C60" w:rsidRPr="00BD35A6" w:rsidRDefault="00BA3C60" w:rsidP="00BD35A6">
      <w:pPr>
        <w:spacing w:after="0" w:line="480" w:lineRule="auto"/>
        <w:jc w:val="both"/>
        <w:rPr>
          <w:rFonts w:ascii="Times New Roman" w:hAnsi="Times New Roman" w:cs="Times New Roman"/>
          <w:sz w:val="24"/>
          <w:szCs w:val="24"/>
        </w:rPr>
        <w:sectPr w:rsidR="00BA3C60" w:rsidRPr="00BD35A6" w:rsidSect="00E5284D">
          <w:footerReference w:type="default" r:id="rId9"/>
          <w:pgSz w:w="11906" w:h="16838"/>
          <w:pgMar w:top="1440" w:right="1440" w:bottom="1440" w:left="1440" w:header="708" w:footer="708" w:gutter="0"/>
          <w:pgNumType w:start="1"/>
          <w:cols w:space="708"/>
          <w:docGrid w:linePitch="360"/>
        </w:sectPr>
      </w:pPr>
    </w:p>
    <w:p w14:paraId="6F9F11AF" w14:textId="77777777" w:rsidR="00BA3C60" w:rsidRDefault="00BA3C60" w:rsidP="00782CE3">
      <w:pPr>
        <w:tabs>
          <w:tab w:val="left" w:pos="140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Evidence on why firms use different disclosure outlets: Purchased analyst research, investor</w:t>
      </w:r>
      <w:r w:rsidRPr="00D547A6">
        <w:rPr>
          <w:rFonts w:ascii="Times New Roman" w:hAnsi="Times New Roman" w:cs="Times New Roman"/>
          <w:b/>
          <w:sz w:val="24"/>
          <w:szCs w:val="24"/>
        </w:rPr>
        <w:t xml:space="preserve"> presentations </w:t>
      </w:r>
      <w:r>
        <w:rPr>
          <w:rFonts w:ascii="Times New Roman" w:hAnsi="Times New Roman" w:cs="Times New Roman"/>
          <w:b/>
          <w:sz w:val="24"/>
          <w:szCs w:val="24"/>
        </w:rPr>
        <w:t>and</w:t>
      </w:r>
      <w:r w:rsidRPr="00D547A6">
        <w:rPr>
          <w:rFonts w:ascii="Times New Roman" w:hAnsi="Times New Roman" w:cs="Times New Roman"/>
          <w:b/>
          <w:sz w:val="24"/>
          <w:szCs w:val="24"/>
        </w:rPr>
        <w:t xml:space="preserve"> </w:t>
      </w:r>
      <w:r>
        <w:rPr>
          <w:rFonts w:ascii="Times New Roman" w:hAnsi="Times New Roman" w:cs="Times New Roman"/>
          <w:b/>
          <w:sz w:val="24"/>
          <w:szCs w:val="24"/>
        </w:rPr>
        <w:t>Open Briefing</w:t>
      </w:r>
      <w:r w:rsidRPr="00D547A6">
        <w:rPr>
          <w:rFonts w:ascii="Times New Roman" w:hAnsi="Times New Roman" w:cs="Times New Roman"/>
          <w:b/>
          <w:sz w:val="24"/>
          <w:szCs w:val="24"/>
        </w:rPr>
        <w:t>s</w:t>
      </w:r>
    </w:p>
    <w:p w14:paraId="0E18090B" w14:textId="77777777" w:rsidR="005140D7" w:rsidRDefault="005140D7" w:rsidP="005140D7">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14:paraId="4B1FB493" w14:textId="1080D740" w:rsidR="005140D7" w:rsidRPr="00782CE3" w:rsidRDefault="005140D7" w:rsidP="005140D7">
      <w:pPr>
        <w:spacing w:after="0" w:line="480" w:lineRule="auto"/>
        <w:jc w:val="both"/>
        <w:rPr>
          <w:rFonts w:ascii="Times New Roman" w:hAnsi="Times New Roman" w:cs="Times New Roman"/>
          <w:sz w:val="24"/>
          <w:szCs w:val="24"/>
        </w:rPr>
      </w:pPr>
      <w:r w:rsidRPr="00782CE3">
        <w:rPr>
          <w:rFonts w:ascii="Times New Roman" w:hAnsi="Times New Roman" w:cs="Times New Roman"/>
          <w:b/>
          <w:sz w:val="24"/>
          <w:szCs w:val="24"/>
        </w:rPr>
        <w:t>Purpose:</w:t>
      </w:r>
      <w:r w:rsidRPr="00782CE3">
        <w:rPr>
          <w:rFonts w:ascii="Times New Roman" w:hAnsi="Times New Roman" w:cs="Times New Roman"/>
          <w:sz w:val="24"/>
          <w:szCs w:val="24"/>
        </w:rPr>
        <w:t xml:space="preserve"> Firms can </w:t>
      </w:r>
      <w:r w:rsidR="0006598B">
        <w:rPr>
          <w:rFonts w:ascii="Times New Roman" w:hAnsi="Times New Roman" w:cs="Times New Roman"/>
          <w:sz w:val="24"/>
          <w:szCs w:val="24"/>
        </w:rPr>
        <w:t xml:space="preserve">make </w:t>
      </w:r>
      <w:r w:rsidRPr="00782CE3">
        <w:rPr>
          <w:rFonts w:ascii="Times New Roman" w:hAnsi="Times New Roman" w:cs="Times New Roman"/>
          <w:sz w:val="24"/>
          <w:szCs w:val="24"/>
        </w:rPr>
        <w:t>voluntary disclos</w:t>
      </w:r>
      <w:r w:rsidR="0006598B">
        <w:rPr>
          <w:rFonts w:ascii="Times New Roman" w:hAnsi="Times New Roman" w:cs="Times New Roman"/>
          <w:sz w:val="24"/>
          <w:szCs w:val="24"/>
        </w:rPr>
        <w:t>ures</w:t>
      </w:r>
      <w:r w:rsidRPr="00782CE3">
        <w:rPr>
          <w:rFonts w:ascii="Times New Roman" w:hAnsi="Times New Roman" w:cs="Times New Roman"/>
          <w:sz w:val="24"/>
          <w:szCs w:val="24"/>
        </w:rPr>
        <w:t xml:space="preserve"> through a variety of outlets. </w:t>
      </w:r>
      <w:r w:rsidR="000170D5">
        <w:rPr>
          <w:rFonts w:ascii="Times New Roman" w:hAnsi="Times New Roman" w:cs="Times New Roman"/>
          <w:sz w:val="24"/>
          <w:szCs w:val="24"/>
        </w:rPr>
        <w:t>Although research</w:t>
      </w:r>
      <w:r w:rsidR="000170D5" w:rsidRPr="00782CE3">
        <w:rPr>
          <w:rFonts w:ascii="Times New Roman" w:hAnsi="Times New Roman" w:cs="Times New Roman"/>
          <w:sz w:val="24"/>
          <w:szCs w:val="24"/>
        </w:rPr>
        <w:t xml:space="preserve"> </w:t>
      </w:r>
      <w:r w:rsidRPr="00782CE3">
        <w:rPr>
          <w:rFonts w:ascii="Times New Roman" w:hAnsi="Times New Roman" w:cs="Times New Roman"/>
          <w:sz w:val="24"/>
          <w:szCs w:val="24"/>
        </w:rPr>
        <w:t>has shown that many disclosure outlets are informative, why firms use a specific</w:t>
      </w:r>
      <w:r w:rsidR="00A17A27">
        <w:rPr>
          <w:rFonts w:ascii="Times New Roman" w:hAnsi="Times New Roman" w:cs="Times New Roman"/>
          <w:sz w:val="24"/>
          <w:szCs w:val="24"/>
        </w:rPr>
        <w:t xml:space="preserve"> </w:t>
      </w:r>
      <w:r w:rsidRPr="00782CE3">
        <w:rPr>
          <w:rFonts w:ascii="Times New Roman" w:hAnsi="Times New Roman" w:cs="Times New Roman"/>
          <w:sz w:val="24"/>
          <w:szCs w:val="24"/>
        </w:rPr>
        <w:t>outlet</w:t>
      </w:r>
      <w:r w:rsidR="00BD04FA">
        <w:rPr>
          <w:rFonts w:ascii="Times New Roman" w:hAnsi="Times New Roman" w:cs="Times New Roman"/>
          <w:sz w:val="24"/>
          <w:szCs w:val="24"/>
        </w:rPr>
        <w:t xml:space="preserve"> is yet to be considered in the literature</w:t>
      </w:r>
      <w:r w:rsidRPr="00782CE3">
        <w:rPr>
          <w:rFonts w:ascii="Times New Roman" w:hAnsi="Times New Roman" w:cs="Times New Roman"/>
          <w:sz w:val="24"/>
          <w:szCs w:val="24"/>
        </w:rPr>
        <w:t xml:space="preserve">. </w:t>
      </w:r>
      <w:r w:rsidR="00A17A27">
        <w:rPr>
          <w:rFonts w:ascii="Times New Roman" w:hAnsi="Times New Roman" w:cs="Times New Roman"/>
          <w:sz w:val="24"/>
          <w:szCs w:val="24"/>
        </w:rPr>
        <w:t>We argue that t</w:t>
      </w:r>
      <w:r w:rsidRPr="00782CE3">
        <w:rPr>
          <w:rFonts w:ascii="Times New Roman" w:hAnsi="Times New Roman" w:cs="Times New Roman"/>
          <w:sz w:val="24"/>
          <w:szCs w:val="24"/>
        </w:rPr>
        <w:t>he firm’s choice of disclosure outlet can be explained by voluntary disclosure theorie</w:t>
      </w:r>
      <w:r w:rsidR="00BD04FA">
        <w:rPr>
          <w:rFonts w:ascii="Times New Roman" w:hAnsi="Times New Roman" w:cs="Times New Roman"/>
          <w:sz w:val="24"/>
          <w:szCs w:val="24"/>
        </w:rPr>
        <w:t>s and investigate whether</w:t>
      </w:r>
      <w:r w:rsidR="00A17A27" w:rsidRPr="00782CE3">
        <w:rPr>
          <w:rFonts w:ascii="Times New Roman" w:hAnsi="Times New Roman" w:cs="Times New Roman"/>
          <w:sz w:val="24"/>
          <w:szCs w:val="24"/>
        </w:rPr>
        <w:t xml:space="preserve"> </w:t>
      </w:r>
      <w:r w:rsidR="00A17A27">
        <w:rPr>
          <w:rFonts w:ascii="Times New Roman" w:hAnsi="Times New Roman" w:cs="Times New Roman"/>
          <w:sz w:val="24"/>
          <w:szCs w:val="24"/>
        </w:rPr>
        <w:t xml:space="preserve">the market response </w:t>
      </w:r>
      <w:r w:rsidR="00147C4B">
        <w:rPr>
          <w:rFonts w:ascii="Times New Roman" w:hAnsi="Times New Roman" w:cs="Times New Roman"/>
          <w:sz w:val="24"/>
          <w:szCs w:val="24"/>
        </w:rPr>
        <w:t>around</w:t>
      </w:r>
      <w:r w:rsidR="00A17A27">
        <w:rPr>
          <w:rFonts w:ascii="Times New Roman" w:hAnsi="Times New Roman" w:cs="Times New Roman"/>
          <w:sz w:val="24"/>
          <w:szCs w:val="24"/>
        </w:rPr>
        <w:t xml:space="preserve"> different </w:t>
      </w:r>
      <w:r w:rsidR="00A17A27" w:rsidRPr="00782CE3">
        <w:rPr>
          <w:rFonts w:ascii="Times New Roman" w:hAnsi="Times New Roman" w:cs="Times New Roman"/>
          <w:sz w:val="24"/>
          <w:szCs w:val="24"/>
        </w:rPr>
        <w:t>disclosure outlets</w:t>
      </w:r>
      <w:r w:rsidR="00A17A27">
        <w:rPr>
          <w:rFonts w:ascii="Times New Roman" w:hAnsi="Times New Roman" w:cs="Times New Roman"/>
          <w:sz w:val="24"/>
          <w:szCs w:val="24"/>
        </w:rPr>
        <w:t xml:space="preserve"> varies</w:t>
      </w:r>
      <w:r w:rsidR="00BD04FA">
        <w:rPr>
          <w:rFonts w:ascii="Times New Roman" w:hAnsi="Times New Roman" w:cs="Times New Roman"/>
          <w:sz w:val="24"/>
          <w:szCs w:val="24"/>
        </w:rPr>
        <w:t>.</w:t>
      </w:r>
    </w:p>
    <w:p w14:paraId="1A5F537B" w14:textId="2B7DBDE0" w:rsidR="005140D7" w:rsidRPr="00782CE3" w:rsidRDefault="005140D7" w:rsidP="005140D7">
      <w:pPr>
        <w:spacing w:after="0" w:line="480" w:lineRule="auto"/>
        <w:jc w:val="both"/>
        <w:rPr>
          <w:rFonts w:ascii="Times New Roman" w:hAnsi="Times New Roman" w:cs="Times New Roman"/>
          <w:sz w:val="24"/>
          <w:szCs w:val="24"/>
        </w:rPr>
      </w:pPr>
      <w:r w:rsidRPr="00782CE3">
        <w:rPr>
          <w:rFonts w:ascii="Times New Roman" w:hAnsi="Times New Roman" w:cs="Times New Roman"/>
          <w:b/>
          <w:sz w:val="24"/>
          <w:szCs w:val="24"/>
        </w:rPr>
        <w:t>Design/methodology/approach:</w:t>
      </w:r>
      <w:r w:rsidRPr="00782CE3">
        <w:rPr>
          <w:rFonts w:ascii="Times New Roman" w:hAnsi="Times New Roman" w:cs="Times New Roman"/>
          <w:sz w:val="24"/>
          <w:szCs w:val="24"/>
        </w:rPr>
        <w:t xml:space="preserve"> We investigate differences in the characteristics of firms when they purchase analyst research, hold an investor presentation or an Open Briefing and compare the market reaction around each disclosure </w:t>
      </w:r>
      <w:r w:rsidR="00326EC8">
        <w:rPr>
          <w:rFonts w:ascii="Times New Roman" w:hAnsi="Times New Roman" w:cs="Times New Roman"/>
          <w:sz w:val="24"/>
          <w:szCs w:val="24"/>
        </w:rPr>
        <w:t>event</w:t>
      </w:r>
      <w:r w:rsidRPr="00782CE3">
        <w:rPr>
          <w:rFonts w:ascii="Times New Roman" w:hAnsi="Times New Roman" w:cs="Times New Roman"/>
          <w:sz w:val="24"/>
          <w:szCs w:val="24"/>
        </w:rPr>
        <w:t>.</w:t>
      </w:r>
    </w:p>
    <w:p w14:paraId="5612549F" w14:textId="3C4CD753" w:rsidR="005140D7" w:rsidRPr="00782CE3" w:rsidRDefault="005140D7" w:rsidP="005140D7">
      <w:pPr>
        <w:spacing w:after="0" w:line="480" w:lineRule="auto"/>
        <w:jc w:val="both"/>
        <w:rPr>
          <w:rFonts w:ascii="Times New Roman" w:hAnsi="Times New Roman" w:cs="Times New Roman"/>
          <w:sz w:val="24"/>
          <w:szCs w:val="24"/>
        </w:rPr>
      </w:pPr>
      <w:r w:rsidRPr="00782CE3">
        <w:rPr>
          <w:rFonts w:ascii="Times New Roman" w:hAnsi="Times New Roman" w:cs="Times New Roman"/>
          <w:b/>
          <w:sz w:val="24"/>
          <w:szCs w:val="24"/>
        </w:rPr>
        <w:t>Findings:</w:t>
      </w:r>
      <w:r w:rsidRPr="00782CE3">
        <w:rPr>
          <w:rFonts w:ascii="Times New Roman" w:hAnsi="Times New Roman" w:cs="Times New Roman"/>
          <w:sz w:val="24"/>
          <w:szCs w:val="24"/>
        </w:rPr>
        <w:t xml:space="preserve"> We find that firm incentives to reduce information acquisition costs or mitigate disclosure risk </w:t>
      </w:r>
      <w:r w:rsidR="002A74EC">
        <w:rPr>
          <w:rFonts w:ascii="Times New Roman" w:hAnsi="Times New Roman" w:cs="Times New Roman"/>
          <w:sz w:val="24"/>
          <w:szCs w:val="24"/>
        </w:rPr>
        <w:t>a</w:t>
      </w:r>
      <w:r w:rsidRPr="00782CE3">
        <w:rPr>
          <w:rFonts w:ascii="Times New Roman" w:hAnsi="Times New Roman" w:cs="Times New Roman"/>
          <w:sz w:val="24"/>
          <w:szCs w:val="24"/>
        </w:rPr>
        <w:t>ffect firm disclosure outlet choice</w:t>
      </w:r>
      <w:r w:rsidR="000C4C13">
        <w:rPr>
          <w:rFonts w:ascii="Times New Roman" w:hAnsi="Times New Roman" w:cs="Times New Roman"/>
          <w:sz w:val="24"/>
          <w:szCs w:val="24"/>
        </w:rPr>
        <w:t xml:space="preserve">, and mixed evidence </w:t>
      </w:r>
      <w:r w:rsidR="00147C4B">
        <w:rPr>
          <w:rFonts w:ascii="Times New Roman" w:hAnsi="Times New Roman" w:cs="Times New Roman"/>
          <w:sz w:val="24"/>
          <w:szCs w:val="24"/>
        </w:rPr>
        <w:t>in support of</w:t>
      </w:r>
      <w:r w:rsidR="000C4C13">
        <w:rPr>
          <w:rFonts w:ascii="Times New Roman" w:hAnsi="Times New Roman" w:cs="Times New Roman"/>
          <w:sz w:val="24"/>
          <w:szCs w:val="24"/>
        </w:rPr>
        <w:t xml:space="preserve"> talent signalling</w:t>
      </w:r>
      <w:r w:rsidR="00147C4B">
        <w:rPr>
          <w:rFonts w:ascii="Times New Roman" w:hAnsi="Times New Roman" w:cs="Times New Roman"/>
          <w:sz w:val="24"/>
          <w:szCs w:val="24"/>
        </w:rPr>
        <w:t xml:space="preserve"> motivations</w:t>
      </w:r>
      <w:r w:rsidRPr="00782CE3">
        <w:rPr>
          <w:rFonts w:ascii="Times New Roman" w:hAnsi="Times New Roman" w:cs="Times New Roman"/>
          <w:sz w:val="24"/>
          <w:szCs w:val="24"/>
        </w:rPr>
        <w:t>. There is also a lower absolute abnormal return around Open Briefings and a higher signed abnormal return around purchased analyst research.</w:t>
      </w:r>
    </w:p>
    <w:p w14:paraId="184547C8" w14:textId="59B20F33" w:rsidR="005140D7" w:rsidRPr="00782CE3" w:rsidRDefault="005140D7" w:rsidP="005140D7">
      <w:pPr>
        <w:spacing w:after="0" w:line="480" w:lineRule="auto"/>
        <w:jc w:val="both"/>
        <w:rPr>
          <w:rFonts w:ascii="Times New Roman" w:hAnsi="Times New Roman" w:cs="Times New Roman"/>
          <w:sz w:val="24"/>
          <w:szCs w:val="24"/>
        </w:rPr>
      </w:pPr>
      <w:r w:rsidRPr="00782CE3">
        <w:rPr>
          <w:rFonts w:ascii="Times New Roman" w:hAnsi="Times New Roman" w:cs="Times New Roman"/>
          <w:b/>
          <w:sz w:val="24"/>
          <w:szCs w:val="24"/>
        </w:rPr>
        <w:t>Research limitations/implications:</w:t>
      </w:r>
      <w:r w:rsidRPr="00782CE3">
        <w:rPr>
          <w:rFonts w:ascii="Times New Roman" w:hAnsi="Times New Roman" w:cs="Times New Roman"/>
          <w:sz w:val="24"/>
          <w:szCs w:val="24"/>
        </w:rPr>
        <w:t xml:space="preserve"> Our research is exploratory in nature and as such we only consider a small subset of disclosure outlets</w:t>
      </w:r>
      <w:r w:rsidR="00B649CB">
        <w:rPr>
          <w:rFonts w:ascii="Times New Roman" w:hAnsi="Times New Roman" w:cs="Times New Roman"/>
          <w:sz w:val="24"/>
          <w:szCs w:val="24"/>
        </w:rPr>
        <w:t>. T</w:t>
      </w:r>
      <w:r w:rsidRPr="00782CE3">
        <w:rPr>
          <w:rFonts w:ascii="Times New Roman" w:hAnsi="Times New Roman" w:cs="Times New Roman"/>
          <w:sz w:val="24"/>
          <w:szCs w:val="24"/>
        </w:rPr>
        <w:t xml:space="preserve">here may be differences in </w:t>
      </w:r>
      <w:r w:rsidR="007C2856">
        <w:rPr>
          <w:rFonts w:ascii="Times New Roman" w:hAnsi="Times New Roman" w:cs="Times New Roman"/>
          <w:sz w:val="24"/>
          <w:szCs w:val="24"/>
        </w:rPr>
        <w:t xml:space="preserve">information </w:t>
      </w:r>
      <w:r w:rsidRPr="00782CE3">
        <w:rPr>
          <w:rFonts w:ascii="Times New Roman" w:hAnsi="Times New Roman" w:cs="Times New Roman"/>
          <w:sz w:val="24"/>
          <w:szCs w:val="24"/>
        </w:rPr>
        <w:t>content</w:t>
      </w:r>
      <w:r w:rsidR="007C2856">
        <w:rPr>
          <w:rFonts w:ascii="Times New Roman" w:hAnsi="Times New Roman" w:cs="Times New Roman"/>
          <w:sz w:val="24"/>
          <w:szCs w:val="24"/>
        </w:rPr>
        <w:t xml:space="preserve"> across </w:t>
      </w:r>
      <w:r w:rsidR="007C2856" w:rsidRPr="00782CE3">
        <w:rPr>
          <w:rFonts w:ascii="Times New Roman" w:hAnsi="Times New Roman" w:cs="Times New Roman"/>
          <w:sz w:val="24"/>
          <w:szCs w:val="24"/>
        </w:rPr>
        <w:t xml:space="preserve">disclosure </w:t>
      </w:r>
      <w:r w:rsidR="007C2856">
        <w:rPr>
          <w:rFonts w:ascii="Times New Roman" w:hAnsi="Times New Roman" w:cs="Times New Roman"/>
          <w:sz w:val="24"/>
          <w:szCs w:val="24"/>
        </w:rPr>
        <w:t>outlets</w:t>
      </w:r>
      <w:r w:rsidR="004E6A9A">
        <w:rPr>
          <w:rFonts w:ascii="Times New Roman" w:hAnsi="Times New Roman" w:cs="Times New Roman"/>
          <w:sz w:val="24"/>
          <w:szCs w:val="24"/>
        </w:rPr>
        <w:t>.</w:t>
      </w:r>
    </w:p>
    <w:p w14:paraId="34DF8C56" w14:textId="19137EE6" w:rsidR="005140D7" w:rsidRDefault="005140D7" w:rsidP="005140D7">
      <w:pPr>
        <w:spacing w:after="0" w:line="480" w:lineRule="auto"/>
        <w:jc w:val="both"/>
        <w:rPr>
          <w:rFonts w:ascii="Times New Roman" w:hAnsi="Times New Roman" w:cs="Times New Roman"/>
          <w:sz w:val="24"/>
          <w:szCs w:val="24"/>
        </w:rPr>
      </w:pPr>
      <w:r w:rsidRPr="00782CE3">
        <w:rPr>
          <w:rFonts w:ascii="Times New Roman" w:hAnsi="Times New Roman" w:cs="Times New Roman"/>
          <w:b/>
          <w:sz w:val="24"/>
          <w:szCs w:val="24"/>
        </w:rPr>
        <w:t>Originality/value:</w:t>
      </w:r>
      <w:r w:rsidRPr="00782CE3">
        <w:rPr>
          <w:rFonts w:ascii="Times New Roman" w:hAnsi="Times New Roman" w:cs="Times New Roman"/>
          <w:sz w:val="24"/>
          <w:szCs w:val="24"/>
        </w:rPr>
        <w:t xml:space="preserve"> We show that disclosure outlets are </w:t>
      </w:r>
      <w:r w:rsidR="00A832E1">
        <w:rPr>
          <w:rFonts w:ascii="Times New Roman" w:hAnsi="Times New Roman" w:cs="Times New Roman"/>
          <w:sz w:val="24"/>
          <w:szCs w:val="24"/>
        </w:rPr>
        <w:t>not homogenous</w:t>
      </w:r>
      <w:r w:rsidR="00A832E1" w:rsidRPr="00782CE3">
        <w:rPr>
          <w:rFonts w:ascii="Times New Roman" w:hAnsi="Times New Roman" w:cs="Times New Roman"/>
          <w:sz w:val="24"/>
          <w:szCs w:val="24"/>
        </w:rPr>
        <w:t xml:space="preserve"> </w:t>
      </w:r>
      <w:r w:rsidRPr="00782CE3">
        <w:rPr>
          <w:rFonts w:ascii="Times New Roman" w:hAnsi="Times New Roman" w:cs="Times New Roman"/>
          <w:sz w:val="24"/>
          <w:szCs w:val="24"/>
        </w:rPr>
        <w:t>and provide empirical evidence that voluntary disclosure theories help explain differences between firm</w:t>
      </w:r>
      <w:r w:rsidR="00147C4B">
        <w:rPr>
          <w:rFonts w:ascii="Times New Roman" w:hAnsi="Times New Roman" w:cs="Times New Roman"/>
          <w:sz w:val="24"/>
          <w:szCs w:val="24"/>
        </w:rPr>
        <w:t>s’</w:t>
      </w:r>
      <w:r w:rsidRPr="00782CE3">
        <w:rPr>
          <w:rFonts w:ascii="Times New Roman" w:hAnsi="Times New Roman" w:cs="Times New Roman"/>
          <w:sz w:val="24"/>
          <w:szCs w:val="24"/>
        </w:rPr>
        <w:t xml:space="preserve"> use of disclosure outlets. Considering the growing number of disclosure outlets available, disclosure outlet choice is likely to be an increasingly important topic in accounting research.</w:t>
      </w:r>
    </w:p>
    <w:p w14:paraId="7F17A06C" w14:textId="13E80D36" w:rsidR="005140D7" w:rsidRDefault="005140D7" w:rsidP="005140D7">
      <w:pPr>
        <w:spacing w:after="0" w:line="48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Key words</w:t>
      </w:r>
      <w:r>
        <w:rPr>
          <w:rFonts w:ascii="Times New Roman" w:eastAsia="Times New Roman" w:hAnsi="Times New Roman" w:cs="Times New Roman"/>
          <w:b/>
          <w:sz w:val="24"/>
          <w:szCs w:val="21"/>
          <w:lang w:eastAsia="zh-CN"/>
        </w:rPr>
        <w:t>:</w:t>
      </w:r>
      <w:r>
        <w:rPr>
          <w:rFonts w:ascii="Times New Roman" w:eastAsia="Times New Roman" w:hAnsi="Times New Roman" w:cs="Times New Roman"/>
          <w:sz w:val="24"/>
          <w:szCs w:val="21"/>
          <w:lang w:eastAsia="zh-CN"/>
        </w:rPr>
        <w:t xml:space="preserve"> Disclosure, </w:t>
      </w:r>
      <w:r w:rsidRPr="009E710E">
        <w:rPr>
          <w:rFonts w:ascii="Times New Roman" w:eastAsia="Times New Roman" w:hAnsi="Times New Roman" w:cs="Times New Roman"/>
          <w:sz w:val="24"/>
          <w:szCs w:val="21"/>
          <w:lang w:eastAsia="zh-CN"/>
        </w:rPr>
        <w:t xml:space="preserve">disclosure </w:t>
      </w:r>
      <w:r>
        <w:rPr>
          <w:rFonts w:ascii="Times New Roman" w:eastAsia="Times New Roman" w:hAnsi="Times New Roman" w:cs="Times New Roman"/>
          <w:sz w:val="24"/>
          <w:szCs w:val="21"/>
          <w:lang w:eastAsia="zh-CN"/>
        </w:rPr>
        <w:t xml:space="preserve">outlets, dissemination, </w:t>
      </w:r>
      <w:r w:rsidR="0006598B">
        <w:rPr>
          <w:rFonts w:ascii="Times New Roman" w:eastAsia="Times New Roman" w:hAnsi="Times New Roman" w:cs="Times New Roman"/>
          <w:sz w:val="24"/>
          <w:szCs w:val="21"/>
          <w:lang w:eastAsia="zh-CN"/>
        </w:rPr>
        <w:t>resource industry</w:t>
      </w:r>
    </w:p>
    <w:p w14:paraId="48723FA0" w14:textId="77777777" w:rsidR="00BA3C60" w:rsidRDefault="005140D7" w:rsidP="005140D7">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zh-CN"/>
        </w:rPr>
        <w:t>JEL classifications</w:t>
      </w:r>
      <w:r>
        <w:rPr>
          <w:rFonts w:ascii="Times New Roman" w:eastAsia="Times New Roman" w:hAnsi="Times New Roman" w:cs="Times New Roman"/>
          <w:b/>
          <w:sz w:val="24"/>
          <w:szCs w:val="21"/>
          <w:lang w:eastAsia="zh-CN"/>
        </w:rPr>
        <w:t>:</w:t>
      </w:r>
      <w:r>
        <w:rPr>
          <w:rFonts w:ascii="Times New Roman" w:eastAsia="Times New Roman" w:hAnsi="Times New Roman" w:cs="Times New Roman"/>
          <w:sz w:val="24"/>
          <w:szCs w:val="21"/>
          <w:lang w:eastAsia="zh-CN"/>
        </w:rPr>
        <w:t xml:space="preserve"> M41, M48, D80, G14</w:t>
      </w:r>
      <w:r w:rsidR="00BA3C60">
        <w:rPr>
          <w:rFonts w:ascii="Times New Roman" w:hAnsi="Times New Roman" w:cs="Times New Roman"/>
          <w:b/>
          <w:sz w:val="24"/>
          <w:szCs w:val="24"/>
        </w:rPr>
        <w:br w:type="page"/>
      </w:r>
    </w:p>
    <w:p w14:paraId="61FFC8A5" w14:textId="77777777" w:rsidR="00BA3C60" w:rsidRPr="00BA3C60" w:rsidRDefault="00BA3C60" w:rsidP="0029128F">
      <w:pPr>
        <w:spacing w:after="0" w:line="480" w:lineRule="auto"/>
        <w:rPr>
          <w:rFonts w:ascii="Times New Roman" w:hAnsi="Times New Roman" w:cs="Times New Roman"/>
          <w:b/>
          <w:sz w:val="24"/>
          <w:szCs w:val="24"/>
        </w:rPr>
      </w:pPr>
      <w:r w:rsidRPr="00AF7130">
        <w:rPr>
          <w:rFonts w:ascii="Times New Roman" w:hAnsi="Times New Roman" w:cs="Times New Roman"/>
          <w:b/>
          <w:sz w:val="24"/>
          <w:szCs w:val="24"/>
        </w:rPr>
        <w:lastRenderedPageBreak/>
        <w:t>1. Introduction</w:t>
      </w:r>
    </w:p>
    <w:p w14:paraId="2CC154E2" w14:textId="7ED4843D" w:rsidR="00BA3C60" w:rsidRDefault="00BA3C60" w:rsidP="00335A2E">
      <w:pPr>
        <w:spacing w:after="0" w:line="480" w:lineRule="auto"/>
        <w:ind w:firstLine="720"/>
        <w:jc w:val="both"/>
        <w:rPr>
          <w:rFonts w:ascii="Times New Roman" w:hAnsi="Times New Roman" w:cs="Times New Roman"/>
          <w:sz w:val="24"/>
          <w:szCs w:val="24"/>
        </w:rPr>
      </w:pPr>
      <w:r w:rsidRPr="00BA3C60">
        <w:rPr>
          <w:rFonts w:ascii="Times New Roman" w:hAnsi="Times New Roman" w:cs="Times New Roman"/>
          <w:sz w:val="24"/>
          <w:szCs w:val="24"/>
        </w:rPr>
        <w:t>The number of voluntary disclosure outlets management can choose from is vast</w:t>
      </w:r>
      <w:r w:rsidR="00C43C8A">
        <w:rPr>
          <w:rFonts w:ascii="Times New Roman" w:hAnsi="Times New Roman" w:cs="Times New Roman"/>
          <w:sz w:val="24"/>
          <w:szCs w:val="24"/>
        </w:rPr>
        <w:t>,</w:t>
      </w:r>
      <w:r w:rsidR="002A74EC">
        <w:rPr>
          <w:rFonts w:ascii="Times New Roman" w:hAnsi="Times New Roman" w:cs="Times New Roman"/>
          <w:sz w:val="24"/>
          <w:szCs w:val="24"/>
        </w:rPr>
        <w:t xml:space="preserve"> </w:t>
      </w:r>
      <w:r w:rsidR="00C43C8A">
        <w:rPr>
          <w:rFonts w:ascii="Times New Roman" w:hAnsi="Times New Roman" w:cs="Times New Roman"/>
          <w:sz w:val="24"/>
          <w:szCs w:val="24"/>
        </w:rPr>
        <w:t xml:space="preserve">and </w:t>
      </w:r>
      <w:r w:rsidR="000170D5">
        <w:rPr>
          <w:rFonts w:ascii="Times New Roman" w:hAnsi="Times New Roman" w:cs="Times New Roman"/>
          <w:sz w:val="24"/>
          <w:szCs w:val="24"/>
        </w:rPr>
        <w:t xml:space="preserve">prior research has shown that many provide </w:t>
      </w:r>
      <w:r w:rsidRPr="00BA3C60">
        <w:rPr>
          <w:rFonts w:ascii="Times New Roman" w:hAnsi="Times New Roman" w:cs="Times New Roman"/>
          <w:sz w:val="24"/>
          <w:szCs w:val="24"/>
        </w:rPr>
        <w:t>information</w:t>
      </w:r>
      <w:r w:rsidR="000170D5">
        <w:rPr>
          <w:rFonts w:ascii="Times New Roman" w:hAnsi="Times New Roman" w:cs="Times New Roman"/>
          <w:sz w:val="24"/>
          <w:szCs w:val="24"/>
        </w:rPr>
        <w:t xml:space="preserve"> content</w:t>
      </w:r>
      <w:r w:rsidRPr="00BA3C60">
        <w:rPr>
          <w:rFonts w:ascii="Times New Roman" w:hAnsi="Times New Roman" w:cs="Times New Roman"/>
          <w:sz w:val="24"/>
          <w:szCs w:val="24"/>
        </w:rPr>
        <w:t xml:space="preserve"> to market participants. </w:t>
      </w:r>
      <w:r w:rsidR="00C43C8A">
        <w:rPr>
          <w:rFonts w:ascii="Times New Roman" w:hAnsi="Times New Roman" w:cs="Times New Roman"/>
          <w:sz w:val="24"/>
          <w:szCs w:val="24"/>
        </w:rPr>
        <w:t xml:space="preserve">Although </w:t>
      </w:r>
      <w:r w:rsidRPr="00BA3C60">
        <w:rPr>
          <w:rFonts w:ascii="Times New Roman" w:hAnsi="Times New Roman" w:cs="Times New Roman"/>
          <w:sz w:val="24"/>
          <w:szCs w:val="24"/>
          <w:lang w:val="en-US"/>
        </w:rPr>
        <w:t>voluntary disclosure theory suggests that firms make disclosure decisions consistent with shareholder interests and costs (</w:t>
      </w:r>
      <w:proofErr w:type="spellStart"/>
      <w:r w:rsidRPr="00BA3C60">
        <w:rPr>
          <w:rFonts w:ascii="Times New Roman" w:hAnsi="Times New Roman" w:cs="Times New Roman"/>
          <w:sz w:val="24"/>
          <w:szCs w:val="24"/>
          <w:lang w:val="en-US"/>
        </w:rPr>
        <w:t>Verrecchia</w:t>
      </w:r>
      <w:proofErr w:type="spellEnd"/>
      <w:r w:rsidRPr="00BA3C60">
        <w:rPr>
          <w:rFonts w:ascii="Times New Roman" w:hAnsi="Times New Roman" w:cs="Times New Roman"/>
          <w:sz w:val="24"/>
          <w:szCs w:val="24"/>
          <w:lang w:val="en-US"/>
        </w:rPr>
        <w:t>, 1983; Dye, 1985)</w:t>
      </w:r>
      <w:r w:rsidR="00C43C8A">
        <w:rPr>
          <w:rFonts w:ascii="Times New Roman" w:hAnsi="Times New Roman" w:cs="Times New Roman"/>
          <w:sz w:val="24"/>
          <w:szCs w:val="24"/>
        </w:rPr>
        <w:t xml:space="preserve">, </w:t>
      </w:r>
      <w:r w:rsidR="00C43C8A" w:rsidRPr="00DA2EE2">
        <w:rPr>
          <w:rFonts w:ascii="Times New Roman" w:hAnsi="Times New Roman" w:cs="Times New Roman"/>
          <w:sz w:val="24"/>
          <w:szCs w:val="24"/>
        </w:rPr>
        <w:t xml:space="preserve">the literature </w:t>
      </w:r>
      <w:r w:rsidR="00C43C8A">
        <w:rPr>
          <w:rFonts w:ascii="Times New Roman" w:hAnsi="Times New Roman" w:cs="Times New Roman"/>
          <w:sz w:val="24"/>
          <w:szCs w:val="24"/>
        </w:rPr>
        <w:t xml:space="preserve">is still developing in terms of </w:t>
      </w:r>
      <w:r w:rsidR="00C43C8A" w:rsidRPr="00DA2EE2">
        <w:rPr>
          <w:rFonts w:ascii="Times New Roman" w:hAnsi="Times New Roman" w:cs="Times New Roman"/>
          <w:sz w:val="24"/>
          <w:szCs w:val="24"/>
        </w:rPr>
        <w:t xml:space="preserve">the differences between various disclosure outlets, </w:t>
      </w:r>
      <w:r w:rsidR="00C43C8A">
        <w:rPr>
          <w:rFonts w:ascii="Times New Roman" w:hAnsi="Times New Roman" w:cs="Times New Roman"/>
          <w:sz w:val="24"/>
          <w:szCs w:val="24"/>
        </w:rPr>
        <w:t>and</w:t>
      </w:r>
      <w:r w:rsidR="00C43C8A" w:rsidRPr="00DA2EE2">
        <w:rPr>
          <w:rFonts w:ascii="Times New Roman" w:hAnsi="Times New Roman" w:cs="Times New Roman"/>
          <w:sz w:val="24"/>
          <w:szCs w:val="24"/>
        </w:rPr>
        <w:t xml:space="preserve"> why or how managers may choose</w:t>
      </w:r>
      <w:r w:rsidR="00C43C8A" w:rsidRPr="00A37F8D">
        <w:rPr>
          <w:rFonts w:ascii="Times New Roman" w:hAnsi="Times New Roman" w:cs="Times New Roman"/>
          <w:sz w:val="24"/>
          <w:szCs w:val="24"/>
        </w:rPr>
        <w:t xml:space="preserve"> a p</w:t>
      </w:r>
      <w:r w:rsidR="00C43C8A">
        <w:rPr>
          <w:rFonts w:ascii="Times New Roman" w:hAnsi="Times New Roman" w:cs="Times New Roman"/>
          <w:sz w:val="24"/>
          <w:szCs w:val="24"/>
        </w:rPr>
        <w:t>articular outlet. Thus</w:t>
      </w:r>
      <w:r w:rsidRPr="00A37F8D">
        <w:rPr>
          <w:rFonts w:ascii="Times New Roman" w:hAnsi="Times New Roman" w:cs="Times New Roman"/>
          <w:sz w:val="24"/>
          <w:szCs w:val="24"/>
        </w:rPr>
        <w:t xml:space="preserve"> investigating </w:t>
      </w:r>
      <w:r w:rsidR="00C54906">
        <w:rPr>
          <w:rFonts w:ascii="Times New Roman" w:hAnsi="Times New Roman" w:cs="Times New Roman"/>
          <w:sz w:val="24"/>
          <w:szCs w:val="24"/>
        </w:rPr>
        <w:t xml:space="preserve">a firm’s </w:t>
      </w:r>
      <w:r w:rsidRPr="00A37F8D">
        <w:rPr>
          <w:rFonts w:ascii="Times New Roman" w:hAnsi="Times New Roman" w:cs="Times New Roman"/>
          <w:sz w:val="24"/>
          <w:szCs w:val="24"/>
        </w:rPr>
        <w:t>choice of disclosure outlet and the consequences</w:t>
      </w:r>
      <w:r>
        <w:rPr>
          <w:rFonts w:ascii="Times New Roman" w:hAnsi="Times New Roman" w:cs="Times New Roman"/>
          <w:sz w:val="24"/>
          <w:szCs w:val="24"/>
        </w:rPr>
        <w:t xml:space="preserve"> of different disclosure outlets</w:t>
      </w:r>
      <w:r w:rsidR="006B2027">
        <w:rPr>
          <w:rFonts w:ascii="Times New Roman" w:hAnsi="Times New Roman" w:cs="Times New Roman"/>
          <w:sz w:val="24"/>
          <w:szCs w:val="24"/>
        </w:rPr>
        <w:t>,</w:t>
      </w:r>
      <w:r>
        <w:rPr>
          <w:rFonts w:ascii="Times New Roman" w:hAnsi="Times New Roman" w:cs="Times New Roman"/>
          <w:sz w:val="24"/>
          <w:szCs w:val="24"/>
        </w:rPr>
        <w:t xml:space="preserve"> </w:t>
      </w:r>
      <w:r w:rsidR="00C54906">
        <w:rPr>
          <w:rFonts w:ascii="Times New Roman" w:hAnsi="Times New Roman" w:cs="Times New Roman"/>
          <w:sz w:val="24"/>
          <w:szCs w:val="24"/>
        </w:rPr>
        <w:t>seems</w:t>
      </w:r>
      <w:r>
        <w:rPr>
          <w:rFonts w:ascii="Times New Roman" w:hAnsi="Times New Roman" w:cs="Times New Roman"/>
          <w:sz w:val="24"/>
          <w:szCs w:val="24"/>
        </w:rPr>
        <w:t xml:space="preserve"> to be a natural and imp</w:t>
      </w:r>
      <w:r w:rsidR="002A74EC">
        <w:rPr>
          <w:rFonts w:ascii="Times New Roman" w:hAnsi="Times New Roman" w:cs="Times New Roman"/>
          <w:sz w:val="24"/>
          <w:szCs w:val="24"/>
        </w:rPr>
        <w:t>ortant next step (</w:t>
      </w:r>
      <w:proofErr w:type="spellStart"/>
      <w:r w:rsidR="002A74EC">
        <w:rPr>
          <w:rFonts w:ascii="Times New Roman" w:hAnsi="Times New Roman" w:cs="Times New Roman"/>
          <w:sz w:val="24"/>
          <w:szCs w:val="24"/>
        </w:rPr>
        <w:t>Mayew</w:t>
      </w:r>
      <w:proofErr w:type="spellEnd"/>
      <w:r w:rsidR="002A74EC">
        <w:rPr>
          <w:rFonts w:ascii="Times New Roman" w:hAnsi="Times New Roman" w:cs="Times New Roman"/>
          <w:sz w:val="24"/>
          <w:szCs w:val="24"/>
        </w:rPr>
        <w:t>, 2012).</w:t>
      </w:r>
    </w:p>
    <w:p w14:paraId="552D80E1" w14:textId="39770052" w:rsidR="007D5BBE" w:rsidRDefault="00C54906" w:rsidP="00717189">
      <w:pPr>
        <w:spacing w:after="0" w:line="480" w:lineRule="auto"/>
        <w:ind w:firstLine="720"/>
        <w:jc w:val="both"/>
        <w:rPr>
          <w:rFonts w:ascii="Times New Roman" w:hAnsi="Times New Roman" w:cs="Times New Roman"/>
          <w:sz w:val="24"/>
          <w:szCs w:val="24"/>
          <w:lang w:val="en-NZ"/>
        </w:rPr>
      </w:pPr>
      <w:r>
        <w:rPr>
          <w:rFonts w:ascii="Times New Roman" w:hAnsi="Times New Roman" w:cs="Times New Roman"/>
          <w:sz w:val="24"/>
          <w:szCs w:val="24"/>
        </w:rPr>
        <w:t xml:space="preserve">This paper investigates if </w:t>
      </w:r>
      <w:r w:rsidR="00BA3C60">
        <w:rPr>
          <w:rFonts w:ascii="Times New Roman" w:hAnsi="Times New Roman" w:cs="Times New Roman"/>
          <w:sz w:val="24"/>
          <w:szCs w:val="24"/>
        </w:rPr>
        <w:t>firms</w:t>
      </w:r>
      <w:r w:rsidR="006B2027">
        <w:rPr>
          <w:rFonts w:ascii="Times New Roman" w:hAnsi="Times New Roman" w:cs="Times New Roman"/>
          <w:sz w:val="24"/>
          <w:szCs w:val="24"/>
        </w:rPr>
        <w:t>’</w:t>
      </w:r>
      <w:r w:rsidR="00BA3C60">
        <w:rPr>
          <w:rFonts w:ascii="Times New Roman" w:hAnsi="Times New Roman" w:cs="Times New Roman"/>
          <w:sz w:val="24"/>
          <w:szCs w:val="24"/>
        </w:rPr>
        <w:t xml:space="preserve"> choice of disclosure outlet can be explained by voluntary disclosure theories, and whether the stock market response varies dependent upon the disclosure outlet used. </w:t>
      </w:r>
      <w:r w:rsidR="00BA3C60">
        <w:rPr>
          <w:rFonts w:ascii="Times New Roman" w:hAnsi="Times New Roman" w:cs="Times New Roman"/>
          <w:sz w:val="24"/>
          <w:szCs w:val="24"/>
          <w:lang w:val="en-NZ"/>
        </w:rPr>
        <w:t xml:space="preserve">Specifically, we test if firm incentives to </w:t>
      </w:r>
      <w:r w:rsidR="00BA3C60">
        <w:rPr>
          <w:rFonts w:ascii="Times New Roman" w:hAnsi="Times New Roman"/>
          <w:sz w:val="24"/>
          <w:szCs w:val="24"/>
        </w:rPr>
        <w:t xml:space="preserve">reduce the information </w:t>
      </w:r>
      <w:r w:rsidR="00BA3C60" w:rsidRPr="002E62A0">
        <w:rPr>
          <w:rFonts w:ascii="Times New Roman" w:hAnsi="Times New Roman" w:cs="Times New Roman"/>
          <w:sz w:val="24"/>
          <w:szCs w:val="24"/>
          <w:lang w:val="en-NZ"/>
        </w:rPr>
        <w:t>acquisition costs</w:t>
      </w:r>
      <w:r w:rsidR="00BA3C60">
        <w:rPr>
          <w:rFonts w:ascii="Times New Roman" w:hAnsi="Times New Roman" w:cs="Times New Roman"/>
          <w:sz w:val="24"/>
          <w:szCs w:val="24"/>
          <w:lang w:val="en-NZ"/>
        </w:rPr>
        <w:t xml:space="preserve"> of users,</w:t>
      </w:r>
      <w:r w:rsidR="00BA3C60" w:rsidRPr="00985357">
        <w:rPr>
          <w:rFonts w:ascii="Times New Roman" w:hAnsi="Times New Roman" w:cs="Times New Roman"/>
          <w:sz w:val="24"/>
          <w:szCs w:val="24"/>
          <w:lang w:val="en-NZ"/>
        </w:rPr>
        <w:t xml:space="preserve"> </w:t>
      </w:r>
      <w:r w:rsidR="00BA3C60">
        <w:rPr>
          <w:rFonts w:ascii="Times New Roman" w:hAnsi="Times New Roman" w:cs="Times New Roman"/>
          <w:sz w:val="24"/>
          <w:szCs w:val="24"/>
          <w:lang w:val="en-NZ"/>
        </w:rPr>
        <w:t>signal talent</w:t>
      </w:r>
      <w:r w:rsidR="005156B6">
        <w:rPr>
          <w:rFonts w:ascii="Times New Roman" w:hAnsi="Times New Roman" w:cs="Times New Roman"/>
          <w:sz w:val="24"/>
          <w:szCs w:val="24"/>
          <w:lang w:val="en-NZ"/>
        </w:rPr>
        <w:t xml:space="preserve"> </w:t>
      </w:r>
      <w:r w:rsidR="00BA3C60">
        <w:rPr>
          <w:rFonts w:ascii="Times New Roman" w:hAnsi="Times New Roman"/>
          <w:sz w:val="24"/>
          <w:szCs w:val="24"/>
        </w:rPr>
        <w:t>or</w:t>
      </w:r>
      <w:r w:rsidR="00BA3C60">
        <w:rPr>
          <w:rFonts w:ascii="Times New Roman" w:hAnsi="Times New Roman" w:cs="Times New Roman"/>
          <w:sz w:val="24"/>
          <w:szCs w:val="24"/>
          <w:lang w:val="en-NZ"/>
        </w:rPr>
        <w:t xml:space="preserve"> mitigate disclosure risk explain the choice of disclosure outlet. </w:t>
      </w:r>
      <w:r w:rsidR="007D5BBE">
        <w:rPr>
          <w:rFonts w:ascii="Times New Roman" w:hAnsi="Times New Roman" w:cs="Times New Roman"/>
          <w:sz w:val="24"/>
          <w:szCs w:val="24"/>
        </w:rPr>
        <w:t xml:space="preserve">We then test whether abnormal returns differ across the three disclosure outlets examined. These tests aim to show whether the market considers disclosure outlets homogeneous. </w:t>
      </w:r>
      <w:r w:rsidR="00717189">
        <w:rPr>
          <w:rFonts w:ascii="Times New Roman" w:hAnsi="Times New Roman" w:cs="Times New Roman"/>
          <w:sz w:val="24"/>
          <w:szCs w:val="24"/>
          <w:lang w:val="en-NZ"/>
        </w:rPr>
        <w:t xml:space="preserve">We </w:t>
      </w:r>
      <w:r w:rsidR="00717189">
        <w:rPr>
          <w:rFonts w:ascii="Times New Roman" w:hAnsi="Times New Roman" w:cs="Times New Roman"/>
          <w:sz w:val="24"/>
          <w:szCs w:val="24"/>
        </w:rPr>
        <w:t>conduct our main tests on</w:t>
      </w:r>
      <w:r w:rsidR="00717189" w:rsidRPr="00F9742A">
        <w:rPr>
          <w:rFonts w:ascii="Times New Roman" w:hAnsi="Times New Roman" w:cs="Times New Roman"/>
          <w:sz w:val="24"/>
          <w:szCs w:val="24"/>
        </w:rPr>
        <w:t xml:space="preserve"> a </w:t>
      </w:r>
      <w:r w:rsidR="00717189">
        <w:rPr>
          <w:rFonts w:ascii="Times New Roman" w:hAnsi="Times New Roman" w:cs="Times New Roman"/>
          <w:sz w:val="24"/>
          <w:szCs w:val="24"/>
        </w:rPr>
        <w:t>sample</w:t>
      </w:r>
      <w:r w:rsidR="00717189" w:rsidRPr="00F9742A">
        <w:rPr>
          <w:rFonts w:ascii="Times New Roman" w:hAnsi="Times New Roman" w:cs="Times New Roman"/>
          <w:sz w:val="24"/>
          <w:szCs w:val="24"/>
        </w:rPr>
        <w:t xml:space="preserve"> of </w:t>
      </w:r>
      <w:r w:rsidR="00717189">
        <w:rPr>
          <w:rFonts w:ascii="Times New Roman" w:hAnsi="Times New Roman" w:cs="Times New Roman"/>
          <w:sz w:val="24"/>
          <w:szCs w:val="24"/>
        </w:rPr>
        <w:t xml:space="preserve">171 observations </w:t>
      </w:r>
      <w:r w:rsidR="00331A36">
        <w:rPr>
          <w:rFonts w:ascii="Times New Roman" w:hAnsi="Times New Roman" w:cs="Times New Roman"/>
          <w:sz w:val="24"/>
          <w:szCs w:val="24"/>
        </w:rPr>
        <w:t xml:space="preserve">of </w:t>
      </w:r>
      <w:r w:rsidR="00717189">
        <w:rPr>
          <w:rFonts w:ascii="Times New Roman" w:hAnsi="Times New Roman" w:cs="Times New Roman"/>
          <w:sz w:val="24"/>
          <w:szCs w:val="24"/>
        </w:rPr>
        <w:t>firms</w:t>
      </w:r>
      <w:r w:rsidR="00717189" w:rsidRPr="00F9742A">
        <w:rPr>
          <w:rFonts w:ascii="Times New Roman" w:hAnsi="Times New Roman" w:cs="Times New Roman"/>
          <w:sz w:val="24"/>
          <w:szCs w:val="24"/>
        </w:rPr>
        <w:t xml:space="preserve"> </w:t>
      </w:r>
      <w:r w:rsidR="00331A36">
        <w:rPr>
          <w:rFonts w:ascii="Times New Roman" w:hAnsi="Times New Roman" w:cs="Times New Roman"/>
          <w:sz w:val="24"/>
          <w:szCs w:val="24"/>
        </w:rPr>
        <w:t xml:space="preserve">using all </w:t>
      </w:r>
      <w:r w:rsidR="00717189" w:rsidRPr="00F9742A">
        <w:rPr>
          <w:rFonts w:ascii="Times New Roman" w:hAnsi="Times New Roman" w:cs="Times New Roman"/>
          <w:sz w:val="24"/>
          <w:szCs w:val="24"/>
        </w:rPr>
        <w:t xml:space="preserve">three different </w:t>
      </w:r>
      <w:r w:rsidR="00717189">
        <w:rPr>
          <w:rFonts w:ascii="Times New Roman" w:hAnsi="Times New Roman" w:cs="Times New Roman"/>
          <w:sz w:val="24"/>
          <w:szCs w:val="24"/>
        </w:rPr>
        <w:t>disclosure outlets</w:t>
      </w:r>
      <w:r w:rsidR="00B016A2">
        <w:rPr>
          <w:rFonts w:ascii="Times New Roman" w:hAnsi="Times New Roman" w:cs="Times New Roman"/>
          <w:sz w:val="24"/>
          <w:szCs w:val="24"/>
        </w:rPr>
        <w:t xml:space="preserve"> with</w:t>
      </w:r>
      <w:r w:rsidR="00F35E51">
        <w:rPr>
          <w:rFonts w:ascii="Times New Roman" w:hAnsi="Times New Roman" w:cs="Times New Roman"/>
          <w:sz w:val="24"/>
          <w:szCs w:val="24"/>
        </w:rPr>
        <w:t xml:space="preserve"> robustness tests </w:t>
      </w:r>
      <w:r w:rsidR="00B016A2">
        <w:rPr>
          <w:rFonts w:ascii="Times New Roman" w:hAnsi="Times New Roman" w:cs="Times New Roman"/>
          <w:sz w:val="24"/>
          <w:szCs w:val="24"/>
        </w:rPr>
        <w:t xml:space="preserve">undertaken </w:t>
      </w:r>
      <w:r w:rsidR="00F35E51">
        <w:rPr>
          <w:rFonts w:ascii="Times New Roman" w:hAnsi="Times New Roman" w:cs="Times New Roman"/>
          <w:sz w:val="24"/>
          <w:szCs w:val="24"/>
        </w:rPr>
        <w:t xml:space="preserve">on a sample of 1,316 observations </w:t>
      </w:r>
      <w:r w:rsidR="008A53F4">
        <w:rPr>
          <w:rFonts w:ascii="Times New Roman" w:hAnsi="Times New Roman" w:cs="Times New Roman"/>
          <w:sz w:val="24"/>
          <w:szCs w:val="24"/>
        </w:rPr>
        <w:t>from resource firms that have used any of the three</w:t>
      </w:r>
      <w:r w:rsidR="00F35E51">
        <w:rPr>
          <w:rFonts w:ascii="Times New Roman" w:hAnsi="Times New Roman" w:cs="Times New Roman"/>
          <w:sz w:val="24"/>
          <w:szCs w:val="24"/>
        </w:rPr>
        <w:t xml:space="preserve"> disclosure outlets</w:t>
      </w:r>
      <w:r w:rsidR="00717189">
        <w:rPr>
          <w:rFonts w:ascii="Times New Roman" w:hAnsi="Times New Roman" w:cs="Times New Roman"/>
          <w:sz w:val="24"/>
          <w:szCs w:val="24"/>
        </w:rPr>
        <w:t>. W</w:t>
      </w:r>
      <w:r w:rsidR="00717189" w:rsidRPr="00F7506A">
        <w:rPr>
          <w:rFonts w:ascii="Times New Roman" w:hAnsi="Times New Roman" w:cs="Times New Roman"/>
          <w:sz w:val="24"/>
          <w:szCs w:val="24"/>
        </w:rPr>
        <w:t>e</w:t>
      </w:r>
      <w:r w:rsidR="00717189">
        <w:rPr>
          <w:rFonts w:ascii="Times New Roman" w:hAnsi="Times New Roman" w:cs="Times New Roman"/>
          <w:sz w:val="24"/>
          <w:szCs w:val="24"/>
        </w:rPr>
        <w:t xml:space="preserve"> examine</w:t>
      </w:r>
      <w:r w:rsidR="00717189" w:rsidRPr="00F7506A">
        <w:rPr>
          <w:rFonts w:ascii="Times New Roman" w:hAnsi="Times New Roman" w:cs="Times New Roman"/>
          <w:sz w:val="24"/>
          <w:szCs w:val="24"/>
        </w:rPr>
        <w:t xml:space="preserve"> firms that have purchased a research report from a ‘star’ mining analyst, presented at a</w:t>
      </w:r>
      <w:r w:rsidR="00717189">
        <w:rPr>
          <w:rFonts w:ascii="Times New Roman" w:hAnsi="Times New Roman" w:cs="Times New Roman"/>
          <w:sz w:val="24"/>
          <w:szCs w:val="24"/>
        </w:rPr>
        <w:t>n</w:t>
      </w:r>
      <w:r w:rsidR="00717189" w:rsidRPr="00F7506A">
        <w:rPr>
          <w:rFonts w:ascii="Times New Roman" w:hAnsi="Times New Roman" w:cs="Times New Roman"/>
          <w:sz w:val="24"/>
          <w:szCs w:val="24"/>
        </w:rPr>
        <w:t xml:space="preserve"> investor conference and held an </w:t>
      </w:r>
      <w:r w:rsidR="00717189">
        <w:rPr>
          <w:rFonts w:ascii="Times New Roman" w:hAnsi="Times New Roman" w:cs="Times New Roman"/>
          <w:sz w:val="24"/>
          <w:szCs w:val="24"/>
        </w:rPr>
        <w:t>Open Briefing.</w:t>
      </w:r>
      <w:r w:rsidR="00717189">
        <w:rPr>
          <w:rStyle w:val="FootnoteReference"/>
          <w:rFonts w:ascii="Times New Roman" w:hAnsi="Times New Roman" w:cs="Times New Roman"/>
          <w:sz w:val="24"/>
          <w:szCs w:val="24"/>
        </w:rPr>
        <w:footnoteReference w:id="2"/>
      </w:r>
      <w:r w:rsidR="00717189" w:rsidRPr="003A73BB">
        <w:rPr>
          <w:rFonts w:ascii="Times New Roman" w:hAnsi="Times New Roman" w:cs="Times New Roman"/>
          <w:sz w:val="24"/>
          <w:szCs w:val="24"/>
        </w:rPr>
        <w:t xml:space="preserve"> These three disclosure outlets are firm initiated, as </w:t>
      </w:r>
      <w:r w:rsidR="00717189">
        <w:rPr>
          <w:rFonts w:ascii="Times New Roman" w:hAnsi="Times New Roman" w:cs="Times New Roman"/>
          <w:sz w:val="24"/>
          <w:szCs w:val="24"/>
        </w:rPr>
        <w:t xml:space="preserve">they require </w:t>
      </w:r>
      <w:r w:rsidR="00717189" w:rsidRPr="003A73BB">
        <w:rPr>
          <w:rFonts w:ascii="Times New Roman" w:hAnsi="Times New Roman" w:cs="Times New Roman"/>
          <w:sz w:val="24"/>
          <w:szCs w:val="24"/>
        </w:rPr>
        <w:t xml:space="preserve">managers </w:t>
      </w:r>
      <w:r w:rsidR="00717189">
        <w:rPr>
          <w:rFonts w:ascii="Times New Roman" w:hAnsi="Times New Roman" w:cs="Times New Roman"/>
          <w:sz w:val="24"/>
          <w:szCs w:val="24"/>
        </w:rPr>
        <w:t xml:space="preserve">to choose to use the outlet and </w:t>
      </w:r>
      <w:r w:rsidR="00717189" w:rsidRPr="003A73BB">
        <w:rPr>
          <w:rFonts w:ascii="Times New Roman" w:hAnsi="Times New Roman" w:cs="Times New Roman"/>
          <w:sz w:val="24"/>
          <w:szCs w:val="24"/>
        </w:rPr>
        <w:t>invest time and money into their us</w:t>
      </w:r>
      <w:r w:rsidR="00717189">
        <w:rPr>
          <w:rFonts w:ascii="Times New Roman" w:hAnsi="Times New Roman" w:cs="Times New Roman"/>
          <w:sz w:val="24"/>
          <w:szCs w:val="24"/>
        </w:rPr>
        <w:t>age</w:t>
      </w:r>
      <w:r w:rsidR="00717189" w:rsidRPr="003A73BB">
        <w:rPr>
          <w:rFonts w:ascii="Times New Roman" w:hAnsi="Times New Roman" w:cs="Times New Roman"/>
          <w:sz w:val="24"/>
          <w:szCs w:val="24"/>
        </w:rPr>
        <w:t>.</w:t>
      </w:r>
      <w:r w:rsidR="00717189">
        <w:rPr>
          <w:rStyle w:val="FootnoteReference"/>
          <w:rFonts w:ascii="Times New Roman" w:hAnsi="Times New Roman" w:cs="Times New Roman"/>
          <w:sz w:val="24"/>
          <w:szCs w:val="24"/>
        </w:rPr>
        <w:footnoteReference w:id="3"/>
      </w:r>
      <w:r w:rsidR="00717189" w:rsidRPr="003A73BB">
        <w:rPr>
          <w:rFonts w:ascii="Times New Roman" w:hAnsi="Times New Roman" w:cs="Times New Roman"/>
          <w:sz w:val="24"/>
          <w:szCs w:val="24"/>
        </w:rPr>
        <w:t xml:space="preserve"> </w:t>
      </w:r>
      <w:r w:rsidR="00717189">
        <w:rPr>
          <w:rFonts w:ascii="Times New Roman" w:hAnsi="Times New Roman" w:cs="Times New Roman"/>
          <w:sz w:val="24"/>
          <w:szCs w:val="24"/>
        </w:rPr>
        <w:t xml:space="preserve">As purchased analyst research, investor presentations and Open Briefings are firm initiated and have been used by all the firms in the sample, it allows us to test whether </w:t>
      </w:r>
      <w:r w:rsidR="00717189">
        <w:rPr>
          <w:rFonts w:ascii="Times New Roman" w:hAnsi="Times New Roman" w:cs="Times New Roman"/>
          <w:sz w:val="24"/>
          <w:szCs w:val="24"/>
        </w:rPr>
        <w:lastRenderedPageBreak/>
        <w:t xml:space="preserve">firms use the outlet which best aligns with their </w:t>
      </w:r>
      <w:r w:rsidR="0006598B">
        <w:rPr>
          <w:rFonts w:ascii="Times New Roman" w:hAnsi="Times New Roman" w:cs="Times New Roman"/>
          <w:sz w:val="24"/>
          <w:szCs w:val="24"/>
        </w:rPr>
        <w:t xml:space="preserve">primary </w:t>
      </w:r>
      <w:r w:rsidR="00717189">
        <w:rPr>
          <w:rFonts w:ascii="Times New Roman" w:hAnsi="Times New Roman" w:cs="Times New Roman"/>
          <w:sz w:val="24"/>
          <w:szCs w:val="24"/>
        </w:rPr>
        <w:t>incentive to disclose. Furthermore,</w:t>
      </w:r>
      <w:r w:rsidR="00717189" w:rsidRPr="00717189">
        <w:rPr>
          <w:rFonts w:ascii="Times New Roman" w:hAnsi="Times New Roman" w:cs="Times New Roman"/>
          <w:sz w:val="24"/>
          <w:szCs w:val="24"/>
        </w:rPr>
        <w:t xml:space="preserve"> </w:t>
      </w:r>
      <w:r w:rsidR="00717189">
        <w:rPr>
          <w:rFonts w:ascii="Times New Roman" w:hAnsi="Times New Roman" w:cs="Times New Roman"/>
          <w:sz w:val="24"/>
          <w:szCs w:val="24"/>
        </w:rPr>
        <w:t xml:space="preserve">we attempt to isolate the effect of the disclosure outlet from the news content </w:t>
      </w:r>
      <w:r w:rsidR="00046ADD">
        <w:rPr>
          <w:rFonts w:ascii="Times New Roman" w:hAnsi="Times New Roman" w:cs="Times New Roman"/>
          <w:sz w:val="24"/>
          <w:szCs w:val="24"/>
        </w:rPr>
        <w:t>of the disclosure</w:t>
      </w:r>
      <w:r w:rsidR="00D86C42">
        <w:rPr>
          <w:rFonts w:ascii="Times New Roman" w:hAnsi="Times New Roman" w:cs="Times New Roman"/>
          <w:sz w:val="24"/>
          <w:szCs w:val="24"/>
        </w:rPr>
        <w:t xml:space="preserve">. </w:t>
      </w:r>
      <w:r w:rsidR="00D86C42" w:rsidRPr="00E072D2">
        <w:rPr>
          <w:rFonts w:ascii="Times New Roman" w:hAnsi="Times New Roman" w:cs="Times New Roman"/>
          <w:sz w:val="24"/>
          <w:szCs w:val="24"/>
        </w:rPr>
        <w:t xml:space="preserve">This is done </w:t>
      </w:r>
      <w:r w:rsidR="00E072D2" w:rsidRPr="00E072D2">
        <w:rPr>
          <w:rFonts w:ascii="Times New Roman" w:hAnsi="Times New Roman" w:cs="Times New Roman"/>
          <w:sz w:val="24"/>
          <w:szCs w:val="24"/>
        </w:rPr>
        <w:t xml:space="preserve">as all </w:t>
      </w:r>
      <w:r w:rsidR="00717189" w:rsidRPr="00E072D2">
        <w:rPr>
          <w:rFonts w:ascii="Times New Roman" w:hAnsi="Times New Roman" w:cs="Times New Roman"/>
          <w:sz w:val="24"/>
          <w:szCs w:val="24"/>
        </w:rPr>
        <w:t xml:space="preserve">disclosure outlets </w:t>
      </w:r>
      <w:r w:rsidR="00E072D2" w:rsidRPr="00E072D2">
        <w:rPr>
          <w:rFonts w:ascii="Times New Roman" w:hAnsi="Times New Roman" w:cs="Times New Roman"/>
          <w:sz w:val="24"/>
          <w:szCs w:val="24"/>
        </w:rPr>
        <w:t xml:space="preserve">examined </w:t>
      </w:r>
      <w:r w:rsidR="00717189" w:rsidRPr="00E072D2">
        <w:rPr>
          <w:rFonts w:ascii="Times New Roman" w:hAnsi="Times New Roman" w:cs="Times New Roman"/>
          <w:sz w:val="24"/>
          <w:szCs w:val="24"/>
        </w:rPr>
        <w:t xml:space="preserve">are used to further disseminate previously announced news rather than make new announcements, and the Australian continuous disclosure regime prohibits the private release of information. </w:t>
      </w:r>
      <w:r w:rsidR="00E072D2" w:rsidRPr="00E072D2">
        <w:rPr>
          <w:rFonts w:ascii="Times New Roman" w:hAnsi="Times New Roman" w:cs="Times New Roman"/>
          <w:sz w:val="24"/>
          <w:szCs w:val="24"/>
        </w:rPr>
        <w:t>We also</w:t>
      </w:r>
      <w:r w:rsidR="00717189" w:rsidRPr="00E072D2">
        <w:rPr>
          <w:rFonts w:ascii="Times New Roman" w:hAnsi="Times New Roman" w:cs="Times New Roman"/>
          <w:sz w:val="24"/>
          <w:szCs w:val="24"/>
        </w:rPr>
        <w:t xml:space="preserve"> control for other announcements made to the market surrounding the event day.</w:t>
      </w:r>
    </w:p>
    <w:p w14:paraId="329D69AB" w14:textId="5B363786" w:rsidR="00BA3C60" w:rsidRDefault="00BA3C60" w:rsidP="00224C63">
      <w:pPr>
        <w:spacing w:after="0" w:line="480" w:lineRule="auto"/>
        <w:ind w:firstLine="720"/>
        <w:jc w:val="both"/>
        <w:rPr>
          <w:rFonts w:ascii="Times New Roman" w:hAnsi="Times New Roman" w:cs="Times New Roman"/>
          <w:sz w:val="24"/>
          <w:szCs w:val="24"/>
        </w:rPr>
      </w:pPr>
      <w:r w:rsidRPr="00B201A0">
        <w:rPr>
          <w:rFonts w:ascii="Times New Roman" w:hAnsi="Times New Roman" w:cs="Times New Roman"/>
          <w:sz w:val="24"/>
          <w:szCs w:val="24"/>
        </w:rPr>
        <w:t>We find firms with greater incentives to reduce</w:t>
      </w:r>
      <w:r w:rsidRPr="00B201A0">
        <w:rPr>
          <w:rFonts w:ascii="Times New Roman" w:hAnsi="Times New Roman"/>
          <w:sz w:val="24"/>
          <w:szCs w:val="24"/>
        </w:rPr>
        <w:t xml:space="preserve"> the information </w:t>
      </w:r>
      <w:r w:rsidRPr="00B201A0">
        <w:rPr>
          <w:rFonts w:ascii="Times New Roman" w:hAnsi="Times New Roman" w:cs="Times New Roman"/>
          <w:sz w:val="24"/>
          <w:szCs w:val="24"/>
          <w:lang w:val="en-NZ"/>
        </w:rPr>
        <w:t>acquisition costs of users are more likely to disclose via purchased analyst research</w:t>
      </w:r>
      <w:r w:rsidR="00D86C42">
        <w:rPr>
          <w:rFonts w:ascii="Times New Roman" w:hAnsi="Times New Roman" w:cs="Times New Roman"/>
          <w:sz w:val="24"/>
          <w:szCs w:val="24"/>
          <w:lang w:val="en-NZ"/>
        </w:rPr>
        <w:t>. F</w:t>
      </w:r>
      <w:r w:rsidRPr="00B201A0">
        <w:rPr>
          <w:rFonts w:ascii="Times New Roman" w:hAnsi="Times New Roman" w:cs="Times New Roman"/>
          <w:sz w:val="24"/>
          <w:szCs w:val="24"/>
          <w:lang w:val="en-NZ"/>
        </w:rPr>
        <w:t xml:space="preserve">irms with a greater rationale to mitigate disclosure risk are more likely to disclose via an Open Briefing. </w:t>
      </w:r>
      <w:r w:rsidR="00717189">
        <w:rPr>
          <w:rFonts w:ascii="Times New Roman" w:hAnsi="Times New Roman" w:cs="Times New Roman"/>
          <w:sz w:val="24"/>
          <w:szCs w:val="24"/>
          <w:lang w:val="en-NZ"/>
        </w:rPr>
        <w:t xml:space="preserve">However, we only find mixed evidence that </w:t>
      </w:r>
      <w:r w:rsidR="00717189" w:rsidRPr="00B201A0">
        <w:rPr>
          <w:rFonts w:ascii="Times New Roman" w:hAnsi="Times New Roman" w:cs="Times New Roman"/>
          <w:sz w:val="24"/>
          <w:szCs w:val="24"/>
          <w:lang w:val="en-NZ"/>
        </w:rPr>
        <w:t>firms with greater incentives to signal talent are more likely to disclose via an investor presentation</w:t>
      </w:r>
      <w:r w:rsidR="00717189">
        <w:rPr>
          <w:rFonts w:ascii="Times New Roman" w:hAnsi="Times New Roman" w:cs="Times New Roman"/>
          <w:sz w:val="24"/>
          <w:szCs w:val="24"/>
          <w:lang w:val="en-NZ"/>
        </w:rPr>
        <w:t xml:space="preserve">. </w:t>
      </w:r>
      <w:r w:rsidR="00717189">
        <w:rPr>
          <w:rFonts w:ascii="Times New Roman" w:hAnsi="Times New Roman" w:cs="Times New Roman"/>
          <w:sz w:val="24"/>
          <w:szCs w:val="24"/>
        </w:rPr>
        <w:t>Overall</w:t>
      </w:r>
      <w:r w:rsidRPr="00B201A0">
        <w:rPr>
          <w:rFonts w:ascii="Times New Roman" w:hAnsi="Times New Roman" w:cs="Times New Roman"/>
          <w:sz w:val="24"/>
          <w:szCs w:val="24"/>
        </w:rPr>
        <w:t>, we show that voluntary disclosure theory can help explain a firm’s</w:t>
      </w:r>
      <w:r>
        <w:rPr>
          <w:rFonts w:ascii="Times New Roman" w:hAnsi="Times New Roman" w:cs="Times New Roman"/>
          <w:sz w:val="24"/>
          <w:szCs w:val="24"/>
        </w:rPr>
        <w:t xml:space="preserve"> choice of disclosure outlet.</w:t>
      </w:r>
      <w:r w:rsidR="00717189">
        <w:rPr>
          <w:rFonts w:ascii="Times New Roman" w:hAnsi="Times New Roman" w:cs="Times New Roman"/>
          <w:sz w:val="24"/>
          <w:szCs w:val="24"/>
        </w:rPr>
        <w:t xml:space="preserve"> </w:t>
      </w:r>
      <w:r w:rsidRPr="00B201A0">
        <w:rPr>
          <w:rFonts w:ascii="Times New Roman" w:hAnsi="Times New Roman" w:cs="Times New Roman"/>
          <w:sz w:val="24"/>
          <w:szCs w:val="24"/>
        </w:rPr>
        <w:t xml:space="preserve">Next, we find that </w:t>
      </w:r>
      <w:r w:rsidRPr="00BC25EA">
        <w:rPr>
          <w:rFonts w:ascii="Times New Roman" w:hAnsi="Times New Roman" w:cs="Times New Roman"/>
          <w:sz w:val="24"/>
          <w:szCs w:val="24"/>
        </w:rPr>
        <w:t xml:space="preserve">the </w:t>
      </w:r>
      <w:r w:rsidRPr="001015CD">
        <w:rPr>
          <w:rFonts w:ascii="Times New Roman" w:hAnsi="Times New Roman" w:cs="Times New Roman"/>
          <w:sz w:val="24"/>
          <w:szCs w:val="24"/>
        </w:rPr>
        <w:t xml:space="preserve">magnitude of the share price response varies dependent upon the type of disclosure outlet used. We interpret </w:t>
      </w:r>
      <w:r w:rsidR="004C61F9">
        <w:rPr>
          <w:rFonts w:ascii="Times New Roman" w:hAnsi="Times New Roman" w:cs="Times New Roman"/>
          <w:sz w:val="24"/>
          <w:szCs w:val="24"/>
        </w:rPr>
        <w:t xml:space="preserve">this as showing </w:t>
      </w:r>
      <w:r w:rsidRPr="001015CD">
        <w:rPr>
          <w:rFonts w:ascii="Times New Roman" w:hAnsi="Times New Roman" w:cs="Times New Roman"/>
          <w:sz w:val="24"/>
          <w:szCs w:val="24"/>
        </w:rPr>
        <w:t xml:space="preserve">that these three disclosure outlets are </w:t>
      </w:r>
      <w:r w:rsidR="003E2FA3">
        <w:rPr>
          <w:rFonts w:ascii="Times New Roman" w:hAnsi="Times New Roman" w:cs="Times New Roman"/>
          <w:sz w:val="24"/>
          <w:szCs w:val="24"/>
        </w:rPr>
        <w:t xml:space="preserve">viewed </w:t>
      </w:r>
      <w:r w:rsidR="00A832E1">
        <w:rPr>
          <w:rFonts w:ascii="Times New Roman" w:hAnsi="Times New Roman" w:cs="Times New Roman"/>
          <w:color w:val="000000"/>
          <w:sz w:val="24"/>
          <w:szCs w:val="24"/>
        </w:rPr>
        <w:t>different</w:t>
      </w:r>
      <w:r w:rsidR="003E2FA3">
        <w:rPr>
          <w:rFonts w:ascii="Times New Roman" w:hAnsi="Times New Roman" w:cs="Times New Roman"/>
          <w:color w:val="000000"/>
          <w:sz w:val="24"/>
          <w:szCs w:val="24"/>
        </w:rPr>
        <w:t>ly</w:t>
      </w:r>
      <w:r w:rsidR="00A832E1" w:rsidRPr="001015CD">
        <w:rPr>
          <w:rFonts w:ascii="Times New Roman" w:hAnsi="Times New Roman" w:cs="Times New Roman"/>
          <w:sz w:val="24"/>
          <w:szCs w:val="24"/>
        </w:rPr>
        <w:t xml:space="preserve"> </w:t>
      </w:r>
      <w:r w:rsidRPr="001015CD">
        <w:rPr>
          <w:rFonts w:ascii="Times New Roman" w:hAnsi="Times New Roman" w:cs="Times New Roman"/>
          <w:sz w:val="24"/>
          <w:szCs w:val="24"/>
        </w:rPr>
        <w:t xml:space="preserve">by the market </w:t>
      </w:r>
      <w:r w:rsidR="003E2FA3">
        <w:rPr>
          <w:rFonts w:ascii="Times New Roman" w:hAnsi="Times New Roman" w:cs="Times New Roman"/>
          <w:sz w:val="24"/>
          <w:szCs w:val="24"/>
        </w:rPr>
        <w:t xml:space="preserve">with </w:t>
      </w:r>
      <w:r w:rsidRPr="001015CD">
        <w:rPr>
          <w:rFonts w:ascii="Times New Roman" w:hAnsi="Times New Roman" w:cs="Times New Roman"/>
          <w:sz w:val="24"/>
          <w:szCs w:val="24"/>
        </w:rPr>
        <w:t>lower absolute abnormal return</w:t>
      </w:r>
      <w:r w:rsidR="003E2FA3">
        <w:rPr>
          <w:rFonts w:ascii="Times New Roman" w:hAnsi="Times New Roman" w:cs="Times New Roman"/>
          <w:sz w:val="24"/>
          <w:szCs w:val="24"/>
        </w:rPr>
        <w:t>s</w:t>
      </w:r>
      <w:r w:rsidRPr="001015CD">
        <w:rPr>
          <w:rFonts w:ascii="Times New Roman" w:hAnsi="Times New Roman" w:cs="Times New Roman"/>
          <w:sz w:val="24"/>
          <w:szCs w:val="24"/>
        </w:rPr>
        <w:t xml:space="preserve"> around Open Briefings and a higher signed abnormal return to purchased analyst research over a 3 day window. These results suggest that Open Briefings have less information content relative to the other disclosure</w:t>
      </w:r>
      <w:r>
        <w:rPr>
          <w:rFonts w:ascii="Times New Roman" w:hAnsi="Times New Roman" w:cs="Times New Roman"/>
          <w:sz w:val="24"/>
          <w:szCs w:val="24"/>
        </w:rPr>
        <w:t xml:space="preserve"> outlet</w:t>
      </w:r>
      <w:r w:rsidRPr="001015CD">
        <w:rPr>
          <w:rFonts w:ascii="Times New Roman" w:hAnsi="Times New Roman" w:cs="Times New Roman"/>
          <w:sz w:val="24"/>
          <w:szCs w:val="24"/>
        </w:rPr>
        <w:t xml:space="preserve">s, which is consistent with Open Briefings being used to comparatively minimise </w:t>
      </w:r>
      <w:r>
        <w:rPr>
          <w:rFonts w:ascii="Times New Roman" w:hAnsi="Times New Roman" w:cs="Times New Roman"/>
          <w:sz w:val="24"/>
          <w:szCs w:val="24"/>
        </w:rPr>
        <w:t>disclosure</w:t>
      </w:r>
      <w:r w:rsidRPr="001015CD">
        <w:rPr>
          <w:rFonts w:ascii="Times New Roman" w:hAnsi="Times New Roman" w:cs="Times New Roman"/>
          <w:sz w:val="24"/>
          <w:szCs w:val="24"/>
        </w:rPr>
        <w:t xml:space="preserve"> risk</w:t>
      </w:r>
      <w:r w:rsidR="00164BD4">
        <w:rPr>
          <w:rFonts w:ascii="Times New Roman" w:hAnsi="Times New Roman" w:cs="Times New Roman"/>
          <w:sz w:val="24"/>
          <w:szCs w:val="24"/>
        </w:rPr>
        <w:t xml:space="preserve"> such as selective disclosure</w:t>
      </w:r>
      <w:r>
        <w:rPr>
          <w:rFonts w:ascii="Times New Roman" w:hAnsi="Times New Roman" w:cs="Times New Roman"/>
          <w:sz w:val="24"/>
          <w:szCs w:val="24"/>
        </w:rPr>
        <w:t>. In addition, results showing a positive reaction to purchased analyst research are consistent with these reports being more informative and lowering information acquisition costs.</w:t>
      </w:r>
      <w:r w:rsidR="008A53F4">
        <w:rPr>
          <w:rFonts w:ascii="Times New Roman" w:hAnsi="Times New Roman" w:cs="Times New Roman"/>
          <w:sz w:val="24"/>
          <w:szCs w:val="24"/>
        </w:rPr>
        <w:t xml:space="preserve"> </w:t>
      </w:r>
    </w:p>
    <w:p w14:paraId="340B1E78" w14:textId="31A74A70" w:rsidR="008A53F4" w:rsidRDefault="00BA3C60" w:rsidP="008A53F4">
      <w:pPr>
        <w:spacing w:after="0" w:line="480" w:lineRule="auto"/>
        <w:ind w:firstLine="720"/>
        <w:jc w:val="both"/>
        <w:rPr>
          <w:rFonts w:ascii="Times New Roman" w:hAnsi="Times New Roman" w:cs="Times New Roman"/>
          <w:sz w:val="24"/>
          <w:szCs w:val="24"/>
        </w:rPr>
      </w:pPr>
      <w:r w:rsidRPr="007E4FF2">
        <w:rPr>
          <w:rFonts w:ascii="Times New Roman" w:hAnsi="Times New Roman" w:cs="Times New Roman"/>
          <w:sz w:val="24"/>
          <w:szCs w:val="24"/>
        </w:rPr>
        <w:t xml:space="preserve">The remainder of this paper proceeds as follows. Section 2 </w:t>
      </w:r>
      <w:r>
        <w:rPr>
          <w:rFonts w:ascii="Times New Roman" w:hAnsi="Times New Roman" w:cs="Times New Roman"/>
          <w:sz w:val="24"/>
          <w:szCs w:val="24"/>
        </w:rPr>
        <w:t>provides background information on purchased analyst research, investor presentations, Open Briefings</w:t>
      </w:r>
      <w:r w:rsidR="00BE63EE">
        <w:rPr>
          <w:rFonts w:ascii="Times New Roman" w:hAnsi="Times New Roman" w:cs="Times New Roman"/>
          <w:sz w:val="24"/>
          <w:szCs w:val="24"/>
        </w:rPr>
        <w:t>,</w:t>
      </w:r>
      <w:r>
        <w:rPr>
          <w:rFonts w:ascii="Times New Roman" w:hAnsi="Times New Roman" w:cs="Times New Roman"/>
          <w:sz w:val="24"/>
          <w:szCs w:val="24"/>
        </w:rPr>
        <w:t xml:space="preserve"> the resource sector, and then develops the hypotheses</w:t>
      </w:r>
      <w:r w:rsidRPr="007E4FF2">
        <w:rPr>
          <w:rFonts w:ascii="Times New Roman" w:hAnsi="Times New Roman" w:cs="Times New Roman"/>
          <w:sz w:val="24"/>
          <w:szCs w:val="24"/>
        </w:rPr>
        <w:t xml:space="preserve">. Section 3 outlines the research method, </w:t>
      </w:r>
      <w:r w:rsidR="0051774E">
        <w:rPr>
          <w:rFonts w:ascii="Times New Roman" w:hAnsi="Times New Roman" w:cs="Times New Roman"/>
          <w:sz w:val="24"/>
          <w:szCs w:val="24"/>
        </w:rPr>
        <w:t xml:space="preserve">with </w:t>
      </w:r>
      <w:r w:rsidRPr="007E4FF2">
        <w:rPr>
          <w:rFonts w:ascii="Times New Roman" w:hAnsi="Times New Roman" w:cs="Times New Roman"/>
          <w:sz w:val="24"/>
          <w:szCs w:val="24"/>
        </w:rPr>
        <w:t>results discussed in Section 4. Conclusions are presented in Section 5.</w:t>
      </w:r>
    </w:p>
    <w:p w14:paraId="44E6ADEE" w14:textId="77777777" w:rsidR="001A610F" w:rsidRDefault="001A610F" w:rsidP="008A53F4">
      <w:pPr>
        <w:spacing w:after="0" w:line="480" w:lineRule="auto"/>
        <w:ind w:firstLine="720"/>
        <w:jc w:val="both"/>
        <w:rPr>
          <w:rFonts w:ascii="Times New Roman" w:hAnsi="Times New Roman" w:cs="Times New Roman"/>
          <w:sz w:val="24"/>
          <w:szCs w:val="24"/>
        </w:rPr>
      </w:pPr>
    </w:p>
    <w:p w14:paraId="500C6641" w14:textId="299CADDF" w:rsidR="00BA3C60" w:rsidRPr="00AF7130" w:rsidRDefault="00BA3C60" w:rsidP="008A53F4">
      <w:pPr>
        <w:spacing w:after="0" w:line="480" w:lineRule="auto"/>
        <w:jc w:val="both"/>
        <w:rPr>
          <w:rFonts w:ascii="Times New Roman" w:hAnsi="Times New Roman" w:cs="Times New Roman"/>
          <w:b/>
          <w:sz w:val="24"/>
          <w:szCs w:val="24"/>
        </w:rPr>
      </w:pPr>
      <w:r w:rsidRPr="00AF7130">
        <w:rPr>
          <w:rFonts w:ascii="Times New Roman" w:hAnsi="Times New Roman" w:cs="Times New Roman"/>
          <w:b/>
          <w:sz w:val="24"/>
          <w:szCs w:val="24"/>
        </w:rPr>
        <w:t>2. Institutional setting and hypothesis development</w:t>
      </w:r>
    </w:p>
    <w:p w14:paraId="06BBAADA" w14:textId="3A9A6BCF" w:rsidR="00BA3C60" w:rsidRPr="00561DAB" w:rsidRDefault="00BA3C60" w:rsidP="00076E77">
      <w:pPr>
        <w:spacing w:after="0" w:line="480" w:lineRule="auto"/>
        <w:jc w:val="both"/>
        <w:rPr>
          <w:rFonts w:ascii="Times New Roman" w:hAnsi="Times New Roman" w:cs="Times New Roman"/>
          <w:i/>
          <w:sz w:val="24"/>
          <w:szCs w:val="24"/>
        </w:rPr>
      </w:pPr>
      <w:r w:rsidRPr="00561DAB">
        <w:rPr>
          <w:rFonts w:ascii="Times New Roman" w:hAnsi="Times New Roman" w:cs="Times New Roman"/>
          <w:i/>
          <w:sz w:val="24"/>
          <w:szCs w:val="24"/>
        </w:rPr>
        <w:t xml:space="preserve">2.1 </w:t>
      </w:r>
      <w:r w:rsidR="005156B6">
        <w:rPr>
          <w:rFonts w:ascii="Times New Roman" w:hAnsi="Times New Roman" w:cs="Times New Roman"/>
          <w:i/>
          <w:sz w:val="24"/>
          <w:szCs w:val="24"/>
        </w:rPr>
        <w:t>Disclosure</w:t>
      </w:r>
      <w:r w:rsidR="00100FB4">
        <w:rPr>
          <w:rFonts w:ascii="Times New Roman" w:hAnsi="Times New Roman" w:cs="Times New Roman"/>
          <w:i/>
          <w:sz w:val="24"/>
          <w:szCs w:val="24"/>
        </w:rPr>
        <w:t xml:space="preserve"> outlets</w:t>
      </w:r>
    </w:p>
    <w:p w14:paraId="68961B80" w14:textId="25542820" w:rsidR="00BA3C60" w:rsidRDefault="00BA3C60" w:rsidP="000170D5">
      <w:pPr>
        <w:spacing w:after="0" w:line="480" w:lineRule="auto"/>
        <w:ind w:firstLine="720"/>
        <w:jc w:val="both"/>
        <w:rPr>
          <w:rFonts w:ascii="Times New Roman" w:hAnsi="Times New Roman" w:cs="Times New Roman"/>
          <w:sz w:val="24"/>
          <w:szCs w:val="24"/>
        </w:rPr>
      </w:pPr>
      <w:r w:rsidRPr="003B0D25">
        <w:rPr>
          <w:rFonts w:ascii="Times New Roman" w:hAnsi="Times New Roman" w:cs="Times New Roman"/>
          <w:sz w:val="24"/>
          <w:szCs w:val="24"/>
        </w:rPr>
        <w:t>Purchased analyst research</w:t>
      </w:r>
      <w:r>
        <w:rPr>
          <w:rFonts w:ascii="Times New Roman" w:hAnsi="Times New Roman" w:cs="Times New Roman"/>
          <w:sz w:val="24"/>
          <w:szCs w:val="24"/>
        </w:rPr>
        <w:t xml:space="preserve"> </w:t>
      </w:r>
      <w:r w:rsidR="0051774E">
        <w:rPr>
          <w:rFonts w:ascii="Times New Roman" w:hAnsi="Times New Roman" w:cs="Times New Roman"/>
          <w:sz w:val="24"/>
          <w:szCs w:val="24"/>
        </w:rPr>
        <w:t xml:space="preserve">occurs </w:t>
      </w:r>
      <w:r>
        <w:rPr>
          <w:rFonts w:ascii="Times New Roman" w:hAnsi="Times New Roman" w:cs="Times New Roman"/>
          <w:sz w:val="24"/>
          <w:szCs w:val="24"/>
        </w:rPr>
        <w:t xml:space="preserve">when a firm pays an analyst to prepare a publically available report. The report outlines the firm as an investment opportunity, providing background information, forecasts and a stock price recommendation. </w:t>
      </w:r>
      <w:r w:rsidR="00046ADD">
        <w:rPr>
          <w:rFonts w:ascii="Times New Roman" w:hAnsi="Times New Roman" w:cs="Times New Roman"/>
          <w:sz w:val="24"/>
          <w:szCs w:val="24"/>
        </w:rPr>
        <w:t>The firm may approach the analyst, or be scouted by the analyst, but a firm can be rejected by the analyst or indeed reject the final report themselves. T</w:t>
      </w:r>
      <w:r>
        <w:rPr>
          <w:rFonts w:ascii="Times New Roman" w:hAnsi="Times New Roman" w:cs="Times New Roman"/>
          <w:sz w:val="24"/>
          <w:szCs w:val="24"/>
        </w:rPr>
        <w:t xml:space="preserve">he report is </w:t>
      </w:r>
      <w:r w:rsidR="00046ADD">
        <w:rPr>
          <w:rFonts w:ascii="Times New Roman" w:hAnsi="Times New Roman" w:cs="Times New Roman"/>
          <w:sz w:val="24"/>
          <w:szCs w:val="24"/>
        </w:rPr>
        <w:t xml:space="preserve">usually </w:t>
      </w:r>
      <w:r>
        <w:rPr>
          <w:rFonts w:ascii="Times New Roman" w:hAnsi="Times New Roman" w:cs="Times New Roman"/>
          <w:sz w:val="24"/>
          <w:szCs w:val="24"/>
        </w:rPr>
        <w:t>disseminated, by both the firm and the analyst. Analysts who focus on purchased research have incentives to protect reputational effects they have accrued.</w:t>
      </w:r>
      <w:r w:rsidRPr="004B6DD7">
        <w:rPr>
          <w:rFonts w:ascii="Times New Roman" w:hAnsi="Times New Roman" w:cs="Times New Roman"/>
          <w:sz w:val="24"/>
          <w:szCs w:val="24"/>
        </w:rPr>
        <w:t xml:space="preserve"> Kirk (2011) investigate</w:t>
      </w:r>
      <w:r>
        <w:rPr>
          <w:rFonts w:ascii="Times New Roman" w:hAnsi="Times New Roman" w:cs="Times New Roman"/>
          <w:sz w:val="24"/>
          <w:szCs w:val="24"/>
        </w:rPr>
        <w:t>s</w:t>
      </w:r>
      <w:r w:rsidRPr="004B6DD7">
        <w:rPr>
          <w:rFonts w:ascii="Times New Roman" w:hAnsi="Times New Roman" w:cs="Times New Roman"/>
          <w:sz w:val="24"/>
          <w:szCs w:val="24"/>
        </w:rPr>
        <w:t xml:space="preserve"> the use of paid for</w:t>
      </w:r>
      <w:r>
        <w:rPr>
          <w:rFonts w:ascii="Times New Roman" w:hAnsi="Times New Roman" w:cs="Times New Roman"/>
          <w:sz w:val="24"/>
          <w:szCs w:val="24"/>
        </w:rPr>
        <w:t xml:space="preserve"> research and finds </w:t>
      </w:r>
      <w:r w:rsidR="00F1463B">
        <w:rPr>
          <w:rFonts w:ascii="Times New Roman" w:hAnsi="Times New Roman" w:cs="Times New Roman"/>
          <w:sz w:val="24"/>
          <w:szCs w:val="24"/>
        </w:rPr>
        <w:t xml:space="preserve">both a </w:t>
      </w:r>
      <w:r>
        <w:rPr>
          <w:rFonts w:ascii="Times New Roman" w:hAnsi="Times New Roman" w:cs="Times New Roman"/>
          <w:sz w:val="24"/>
          <w:szCs w:val="24"/>
        </w:rPr>
        <w:t xml:space="preserve">positive </w:t>
      </w:r>
      <w:r w:rsidRPr="004B6DD7">
        <w:rPr>
          <w:rFonts w:ascii="Times New Roman" w:hAnsi="Times New Roman" w:cs="Times New Roman"/>
          <w:sz w:val="24"/>
          <w:szCs w:val="24"/>
        </w:rPr>
        <w:t xml:space="preserve">market </w:t>
      </w:r>
      <w:r w:rsidR="00F1463B" w:rsidRPr="004B6DD7">
        <w:rPr>
          <w:rFonts w:ascii="Times New Roman" w:hAnsi="Times New Roman" w:cs="Times New Roman"/>
          <w:sz w:val="24"/>
          <w:szCs w:val="24"/>
        </w:rPr>
        <w:t>reaction</w:t>
      </w:r>
      <w:r w:rsidR="002B316C">
        <w:rPr>
          <w:rFonts w:ascii="Times New Roman" w:hAnsi="Times New Roman" w:cs="Times New Roman"/>
          <w:sz w:val="24"/>
          <w:szCs w:val="24"/>
          <w:lang w:val="en-NZ"/>
        </w:rPr>
        <w:t xml:space="preserve"> and an increase in analyst </w:t>
      </w:r>
      <w:r w:rsidR="00F1463B">
        <w:rPr>
          <w:rFonts w:ascii="Times New Roman" w:hAnsi="Times New Roman" w:cs="Times New Roman"/>
          <w:sz w:val="24"/>
          <w:szCs w:val="24"/>
          <w:lang w:val="en-NZ"/>
        </w:rPr>
        <w:t>coverage after the release of</w:t>
      </w:r>
      <w:r w:rsidR="00F1463B" w:rsidRPr="004B6DD7">
        <w:rPr>
          <w:rFonts w:ascii="Times New Roman" w:hAnsi="Times New Roman" w:cs="Times New Roman"/>
          <w:sz w:val="24"/>
          <w:szCs w:val="24"/>
        </w:rPr>
        <w:t xml:space="preserve"> </w:t>
      </w:r>
      <w:r w:rsidR="00F1463B">
        <w:rPr>
          <w:rFonts w:ascii="Times New Roman" w:hAnsi="Times New Roman" w:cs="Times New Roman"/>
          <w:sz w:val="24"/>
          <w:szCs w:val="24"/>
          <w:lang w:val="en-NZ"/>
        </w:rPr>
        <w:t xml:space="preserve">buy recommendations. Brown </w:t>
      </w:r>
      <w:r w:rsidR="00F1463B" w:rsidRPr="005575F6">
        <w:rPr>
          <w:rFonts w:ascii="Times New Roman" w:hAnsi="Times New Roman" w:cs="Times New Roman"/>
          <w:i/>
          <w:sz w:val="24"/>
          <w:szCs w:val="24"/>
          <w:lang w:val="en-NZ"/>
        </w:rPr>
        <w:t>et al</w:t>
      </w:r>
      <w:r w:rsidR="005575F6" w:rsidRPr="005575F6">
        <w:rPr>
          <w:rFonts w:ascii="Times New Roman" w:hAnsi="Times New Roman" w:cs="Times New Roman"/>
          <w:i/>
          <w:sz w:val="24"/>
          <w:szCs w:val="24"/>
          <w:lang w:val="en-NZ"/>
        </w:rPr>
        <w:t>.</w:t>
      </w:r>
      <w:r w:rsidR="00F1463B">
        <w:rPr>
          <w:rFonts w:ascii="Times New Roman" w:hAnsi="Times New Roman" w:cs="Times New Roman"/>
          <w:sz w:val="24"/>
          <w:szCs w:val="24"/>
          <w:lang w:val="en-NZ"/>
        </w:rPr>
        <w:t xml:space="preserve"> (2014) find </w:t>
      </w:r>
      <w:r w:rsidR="00930898">
        <w:rPr>
          <w:rFonts w:ascii="Times New Roman" w:hAnsi="Times New Roman" w:cs="Times New Roman"/>
          <w:sz w:val="24"/>
          <w:szCs w:val="24"/>
          <w:lang w:val="en-NZ"/>
        </w:rPr>
        <w:t>a positive mark</w:t>
      </w:r>
      <w:r w:rsidR="00F1463B">
        <w:rPr>
          <w:rFonts w:ascii="Times New Roman" w:hAnsi="Times New Roman" w:cs="Times New Roman"/>
          <w:sz w:val="24"/>
          <w:szCs w:val="24"/>
          <w:lang w:val="en-NZ"/>
        </w:rPr>
        <w:t xml:space="preserve">et reaction surrounding the release of </w:t>
      </w:r>
      <w:r w:rsidR="00930898">
        <w:rPr>
          <w:rFonts w:ascii="Times New Roman" w:hAnsi="Times New Roman" w:cs="Times New Roman"/>
          <w:sz w:val="24"/>
          <w:szCs w:val="24"/>
        </w:rPr>
        <w:t>analyst report</w:t>
      </w:r>
      <w:r w:rsidR="00F1463B">
        <w:rPr>
          <w:rFonts w:ascii="Times New Roman" w:hAnsi="Times New Roman" w:cs="Times New Roman"/>
          <w:sz w:val="24"/>
          <w:szCs w:val="24"/>
        </w:rPr>
        <w:t>s</w:t>
      </w:r>
      <w:r w:rsidR="00930898">
        <w:rPr>
          <w:rFonts w:ascii="Times New Roman" w:hAnsi="Times New Roman" w:cs="Times New Roman"/>
          <w:sz w:val="24"/>
          <w:szCs w:val="24"/>
        </w:rPr>
        <w:t xml:space="preserve"> by </w:t>
      </w:r>
      <w:r w:rsidR="000170D5">
        <w:rPr>
          <w:rFonts w:ascii="Times New Roman" w:hAnsi="Times New Roman" w:cs="Times New Roman"/>
          <w:sz w:val="24"/>
          <w:szCs w:val="24"/>
        </w:rPr>
        <w:t xml:space="preserve">Keith Goode, </w:t>
      </w:r>
      <w:r w:rsidR="00F1463B">
        <w:rPr>
          <w:rFonts w:ascii="Times New Roman" w:hAnsi="Times New Roman" w:cs="Times New Roman"/>
          <w:sz w:val="24"/>
          <w:szCs w:val="24"/>
        </w:rPr>
        <w:t xml:space="preserve">a ‘star’ analyst </w:t>
      </w:r>
      <w:r w:rsidR="00930898">
        <w:rPr>
          <w:rFonts w:ascii="Times New Roman" w:hAnsi="Times New Roman" w:cs="Times New Roman"/>
          <w:sz w:val="24"/>
          <w:szCs w:val="24"/>
        </w:rPr>
        <w:t xml:space="preserve">in the Australian resource </w:t>
      </w:r>
      <w:r w:rsidR="00F1463B">
        <w:rPr>
          <w:rFonts w:ascii="Times New Roman" w:hAnsi="Times New Roman" w:cs="Times New Roman"/>
          <w:sz w:val="24"/>
          <w:szCs w:val="24"/>
        </w:rPr>
        <w:t>sector.</w:t>
      </w:r>
    </w:p>
    <w:p w14:paraId="2C3022A9" w14:textId="3F2B9247" w:rsidR="00BA3C60" w:rsidRPr="00076E77" w:rsidRDefault="00BA3C60" w:rsidP="009A639B">
      <w:pPr>
        <w:spacing w:after="0" w:line="480" w:lineRule="auto"/>
        <w:ind w:firstLine="720"/>
        <w:jc w:val="both"/>
        <w:rPr>
          <w:rFonts w:ascii="Times New Roman" w:hAnsi="Times New Roman" w:cs="Times New Roman"/>
          <w:sz w:val="24"/>
          <w:szCs w:val="24"/>
        </w:rPr>
      </w:pPr>
      <w:r w:rsidRPr="00076E77">
        <w:rPr>
          <w:rFonts w:ascii="Times New Roman" w:hAnsi="Times New Roman" w:cs="Times New Roman"/>
          <w:sz w:val="24"/>
          <w:szCs w:val="24"/>
        </w:rPr>
        <w:t xml:space="preserve">An investor presentation is where a firm representative </w:t>
      </w:r>
      <w:r>
        <w:rPr>
          <w:rFonts w:ascii="Times New Roman" w:hAnsi="Times New Roman" w:cs="Times New Roman"/>
          <w:sz w:val="24"/>
          <w:szCs w:val="24"/>
        </w:rPr>
        <w:t xml:space="preserve">(typically the CEO) </w:t>
      </w:r>
      <w:r w:rsidRPr="00076E77">
        <w:rPr>
          <w:rFonts w:ascii="Times New Roman" w:hAnsi="Times New Roman" w:cs="Times New Roman"/>
          <w:sz w:val="24"/>
          <w:szCs w:val="24"/>
        </w:rPr>
        <w:t>gives a speech to an audience compris</w:t>
      </w:r>
      <w:r>
        <w:rPr>
          <w:rFonts w:ascii="Times New Roman" w:hAnsi="Times New Roman" w:cs="Times New Roman"/>
          <w:sz w:val="24"/>
          <w:szCs w:val="24"/>
        </w:rPr>
        <w:t>ing</w:t>
      </w:r>
      <w:r w:rsidRPr="00076E77">
        <w:rPr>
          <w:rFonts w:ascii="Times New Roman" w:hAnsi="Times New Roman" w:cs="Times New Roman"/>
          <w:sz w:val="24"/>
          <w:szCs w:val="24"/>
        </w:rPr>
        <w:t xml:space="preserve"> </w:t>
      </w:r>
      <w:r w:rsidR="00970A03">
        <w:rPr>
          <w:rFonts w:ascii="Times New Roman" w:hAnsi="Times New Roman" w:cs="Times New Roman"/>
          <w:sz w:val="24"/>
          <w:szCs w:val="24"/>
        </w:rPr>
        <w:t xml:space="preserve">of </w:t>
      </w:r>
      <w:r w:rsidRPr="00076E77">
        <w:rPr>
          <w:rFonts w:ascii="Times New Roman" w:hAnsi="Times New Roman" w:cs="Times New Roman"/>
          <w:sz w:val="24"/>
          <w:szCs w:val="24"/>
        </w:rPr>
        <w:t>analysts and investors</w:t>
      </w:r>
      <w:r w:rsidR="006E3726">
        <w:rPr>
          <w:rFonts w:ascii="Times New Roman" w:hAnsi="Times New Roman" w:cs="Times New Roman"/>
          <w:sz w:val="24"/>
          <w:szCs w:val="24"/>
        </w:rPr>
        <w:t xml:space="preserve">. </w:t>
      </w:r>
      <w:r w:rsidRPr="00076E77">
        <w:rPr>
          <w:rFonts w:ascii="Times New Roman" w:hAnsi="Times New Roman" w:cs="Times New Roman"/>
          <w:sz w:val="24"/>
          <w:szCs w:val="24"/>
        </w:rPr>
        <w:t xml:space="preserve">Investor presentations typically focus on a broad qualitative view of the firm raising investor awareness. A </w:t>
      </w:r>
      <w:r>
        <w:rPr>
          <w:rFonts w:ascii="Times New Roman" w:hAnsi="Times New Roman" w:cs="Times New Roman"/>
          <w:sz w:val="24"/>
          <w:szCs w:val="24"/>
        </w:rPr>
        <w:t>particular</w:t>
      </w:r>
      <w:r w:rsidRPr="00076E77">
        <w:rPr>
          <w:rFonts w:ascii="Times New Roman" w:hAnsi="Times New Roman" w:cs="Times New Roman"/>
          <w:sz w:val="24"/>
          <w:szCs w:val="24"/>
        </w:rPr>
        <w:t xml:space="preserve"> aspect of investor presentations is that they take part in a defined physical location with face-to-face interaction between the </w:t>
      </w:r>
      <w:r>
        <w:rPr>
          <w:rFonts w:ascii="Times New Roman" w:hAnsi="Times New Roman" w:cs="Times New Roman"/>
          <w:sz w:val="24"/>
          <w:szCs w:val="24"/>
        </w:rPr>
        <w:t>firm representative</w:t>
      </w:r>
      <w:r w:rsidRPr="00076E77">
        <w:rPr>
          <w:rFonts w:ascii="Times New Roman" w:hAnsi="Times New Roman" w:cs="Times New Roman"/>
          <w:sz w:val="24"/>
          <w:szCs w:val="24"/>
        </w:rPr>
        <w:t xml:space="preserve"> and market participants. This physical setting also </w:t>
      </w:r>
      <w:r w:rsidR="0051774E">
        <w:rPr>
          <w:rFonts w:ascii="Times New Roman" w:hAnsi="Times New Roman" w:cs="Times New Roman"/>
          <w:sz w:val="24"/>
          <w:szCs w:val="24"/>
        </w:rPr>
        <w:t xml:space="preserve">provides </w:t>
      </w:r>
      <w:r w:rsidRPr="00076E77">
        <w:rPr>
          <w:rFonts w:ascii="Times New Roman" w:hAnsi="Times New Roman" w:cs="Times New Roman"/>
          <w:sz w:val="24"/>
          <w:szCs w:val="24"/>
        </w:rPr>
        <w:t>participants</w:t>
      </w:r>
      <w:r>
        <w:rPr>
          <w:rFonts w:ascii="Times New Roman" w:hAnsi="Times New Roman" w:cs="Times New Roman"/>
          <w:sz w:val="24"/>
          <w:szCs w:val="24"/>
        </w:rPr>
        <w:t xml:space="preserve"> </w:t>
      </w:r>
      <w:r w:rsidR="0051774E">
        <w:rPr>
          <w:rFonts w:ascii="Times New Roman" w:hAnsi="Times New Roman" w:cs="Times New Roman"/>
          <w:sz w:val="24"/>
          <w:szCs w:val="24"/>
        </w:rPr>
        <w:t xml:space="preserve">with </w:t>
      </w:r>
      <w:r>
        <w:rPr>
          <w:rFonts w:ascii="Times New Roman" w:hAnsi="Times New Roman" w:cs="Times New Roman"/>
          <w:sz w:val="24"/>
          <w:szCs w:val="24"/>
        </w:rPr>
        <w:t>the opportunity</w:t>
      </w:r>
      <w:r w:rsidRPr="00076E77">
        <w:rPr>
          <w:rFonts w:ascii="Times New Roman" w:hAnsi="Times New Roman" w:cs="Times New Roman"/>
          <w:sz w:val="24"/>
          <w:szCs w:val="24"/>
        </w:rPr>
        <w:t xml:space="preserve"> to ask follow up questions</w:t>
      </w:r>
      <w:r>
        <w:rPr>
          <w:rFonts w:ascii="Times New Roman" w:hAnsi="Times New Roman" w:cs="Times New Roman"/>
          <w:sz w:val="24"/>
          <w:szCs w:val="24"/>
        </w:rPr>
        <w:t xml:space="preserve"> later</w:t>
      </w:r>
      <w:r w:rsidRPr="00076E77">
        <w:rPr>
          <w:rFonts w:ascii="Times New Roman" w:hAnsi="Times New Roman" w:cs="Times New Roman"/>
          <w:sz w:val="24"/>
          <w:szCs w:val="24"/>
        </w:rPr>
        <w:t>.</w:t>
      </w:r>
      <w:r w:rsidR="00046AD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Pr="00076E77">
        <w:rPr>
          <w:rFonts w:ascii="Times New Roman" w:hAnsi="Times New Roman" w:cs="Times New Roman"/>
          <w:sz w:val="24"/>
          <w:szCs w:val="24"/>
        </w:rPr>
        <w:t>Bushee</w:t>
      </w:r>
      <w:proofErr w:type="spellEnd"/>
      <w:r w:rsidRPr="00076E77">
        <w:rPr>
          <w:rFonts w:ascii="Times New Roman" w:hAnsi="Times New Roman" w:cs="Times New Roman"/>
          <w:sz w:val="24"/>
          <w:szCs w:val="24"/>
        </w:rPr>
        <w:t xml:space="preserve"> </w:t>
      </w:r>
      <w:r w:rsidRPr="005140D7">
        <w:rPr>
          <w:rFonts w:ascii="Times New Roman" w:hAnsi="Times New Roman" w:cs="Times New Roman"/>
          <w:i/>
          <w:sz w:val="24"/>
          <w:szCs w:val="24"/>
        </w:rPr>
        <w:t>et al</w:t>
      </w:r>
      <w:r w:rsidRPr="00BA3C60">
        <w:rPr>
          <w:rFonts w:ascii="Times New Roman" w:hAnsi="Times New Roman" w:cs="Times New Roman"/>
          <w:sz w:val="24"/>
          <w:szCs w:val="24"/>
        </w:rPr>
        <w:t>.</w:t>
      </w:r>
      <w:r w:rsidR="005575F6">
        <w:rPr>
          <w:rFonts w:ascii="Times New Roman" w:hAnsi="Times New Roman" w:cs="Times New Roman"/>
          <w:sz w:val="24"/>
          <w:szCs w:val="24"/>
        </w:rPr>
        <w:t xml:space="preserve"> (2011</w:t>
      </w:r>
      <w:r w:rsidRPr="00076E77">
        <w:rPr>
          <w:rFonts w:ascii="Times New Roman" w:hAnsi="Times New Roman" w:cs="Times New Roman"/>
          <w:sz w:val="24"/>
          <w:szCs w:val="24"/>
        </w:rPr>
        <w:t xml:space="preserve">) </w:t>
      </w:r>
      <w:r w:rsidR="009A639B">
        <w:rPr>
          <w:rFonts w:ascii="Times New Roman" w:hAnsi="Times New Roman" w:cs="Times New Roman"/>
          <w:sz w:val="24"/>
          <w:szCs w:val="24"/>
        </w:rPr>
        <w:t xml:space="preserve">find a </w:t>
      </w:r>
      <w:r w:rsidR="00F1463B">
        <w:rPr>
          <w:rFonts w:ascii="Times New Roman" w:hAnsi="Times New Roman" w:cs="Times New Roman"/>
          <w:sz w:val="24"/>
          <w:szCs w:val="24"/>
        </w:rPr>
        <w:t>positive</w:t>
      </w:r>
      <w:r w:rsidR="009A639B">
        <w:rPr>
          <w:rFonts w:ascii="Times New Roman" w:hAnsi="Times New Roman" w:cs="Times New Roman"/>
          <w:sz w:val="24"/>
          <w:szCs w:val="24"/>
        </w:rPr>
        <w:t xml:space="preserve"> market reaction to conference presentations</w:t>
      </w:r>
      <w:r w:rsidRPr="00076E7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76E77">
        <w:rPr>
          <w:rFonts w:ascii="Times New Roman" w:hAnsi="Times New Roman" w:cs="Times New Roman"/>
          <w:sz w:val="24"/>
          <w:szCs w:val="24"/>
        </w:rPr>
        <w:t>stronger market reactions to larger, industry focused presentation outlets in mone</w:t>
      </w:r>
      <w:r>
        <w:rPr>
          <w:rFonts w:ascii="Times New Roman" w:hAnsi="Times New Roman" w:cs="Times New Roman"/>
          <w:sz w:val="24"/>
          <w:szCs w:val="24"/>
        </w:rPr>
        <w:t>y centres or holiday locations.</w:t>
      </w:r>
      <w:r w:rsidR="009A639B">
        <w:rPr>
          <w:rFonts w:ascii="Times New Roman" w:hAnsi="Times New Roman" w:cs="Times New Roman"/>
          <w:sz w:val="24"/>
          <w:szCs w:val="24"/>
        </w:rPr>
        <w:t xml:space="preserve"> Ferguson and Scott (2011) </w:t>
      </w:r>
      <w:r w:rsidR="0051774E">
        <w:rPr>
          <w:rFonts w:ascii="Times New Roman" w:hAnsi="Times New Roman" w:cs="Times New Roman"/>
          <w:sz w:val="24"/>
          <w:szCs w:val="24"/>
        </w:rPr>
        <w:t>observe</w:t>
      </w:r>
      <w:r w:rsidR="009A639B">
        <w:rPr>
          <w:rFonts w:ascii="Times New Roman" w:hAnsi="Times New Roman" w:cs="Times New Roman"/>
          <w:sz w:val="24"/>
          <w:szCs w:val="24"/>
        </w:rPr>
        <w:t xml:space="preserve"> a positive market reaction to presentations by Australian mining firms.</w:t>
      </w:r>
    </w:p>
    <w:p w14:paraId="6CF84BDB" w14:textId="55D234B9" w:rsidR="00BA3C60" w:rsidRDefault="00BA3C60" w:rsidP="00D91F4B">
      <w:pPr>
        <w:spacing w:after="0" w:line="480" w:lineRule="auto"/>
        <w:ind w:firstLine="720"/>
        <w:jc w:val="both"/>
        <w:rPr>
          <w:rFonts w:ascii="Times New Roman" w:hAnsi="Times New Roman" w:cs="Times New Roman"/>
          <w:sz w:val="24"/>
          <w:szCs w:val="24"/>
          <w:lang w:val="en-NZ"/>
        </w:rPr>
      </w:pPr>
      <w:r>
        <w:rPr>
          <w:rFonts w:ascii="Times New Roman" w:hAnsi="Times New Roman" w:cs="Times New Roman"/>
          <w:sz w:val="24"/>
          <w:szCs w:val="24"/>
        </w:rPr>
        <w:lastRenderedPageBreak/>
        <w:t>Open Briefings are question and answer documents, presented in a mock analyst briefing format that are announced on the ASX. To hold an Open Briefing, firms pay Orient Capital, an investor relations consultant to create the report</w:t>
      </w:r>
      <w:r w:rsidR="005453DF">
        <w:rPr>
          <w:rFonts w:ascii="Times New Roman" w:hAnsi="Times New Roman" w:cs="Times New Roman"/>
          <w:sz w:val="24"/>
          <w:szCs w:val="24"/>
        </w:rPr>
        <w:t>.</w:t>
      </w:r>
      <w:r>
        <w:rPr>
          <w:rFonts w:ascii="Times New Roman" w:hAnsi="Times New Roman" w:cs="Times New Roman"/>
          <w:sz w:val="24"/>
          <w:szCs w:val="24"/>
        </w:rPr>
        <w:t xml:space="preserve"> </w:t>
      </w:r>
      <w:r w:rsidR="005453DF">
        <w:rPr>
          <w:rFonts w:ascii="Times New Roman" w:hAnsi="Times New Roman" w:cs="Times New Roman"/>
          <w:sz w:val="24"/>
          <w:szCs w:val="24"/>
        </w:rPr>
        <w:t>T</w:t>
      </w:r>
      <w:r w:rsidRPr="005224F2">
        <w:rPr>
          <w:rFonts w:ascii="Times New Roman" w:hAnsi="Times New Roman"/>
          <w:sz w:val="24"/>
          <w:szCs w:val="24"/>
        </w:rPr>
        <w:t xml:space="preserve">he </w:t>
      </w:r>
      <w:r>
        <w:rPr>
          <w:rFonts w:ascii="Times New Roman" w:hAnsi="Times New Roman"/>
          <w:sz w:val="24"/>
          <w:szCs w:val="24"/>
        </w:rPr>
        <w:t>firm</w:t>
      </w:r>
      <w:r w:rsidRPr="005224F2">
        <w:rPr>
          <w:rFonts w:ascii="Times New Roman" w:hAnsi="Times New Roman"/>
          <w:sz w:val="24"/>
          <w:szCs w:val="24"/>
        </w:rPr>
        <w:t xml:space="preserve"> has the final sign</w:t>
      </w:r>
      <w:r w:rsidR="005453DF">
        <w:rPr>
          <w:rFonts w:ascii="Times New Roman" w:hAnsi="Times New Roman"/>
          <w:sz w:val="24"/>
          <w:szCs w:val="24"/>
        </w:rPr>
        <w:t>-</w:t>
      </w:r>
      <w:r w:rsidRPr="005224F2">
        <w:rPr>
          <w:rFonts w:ascii="Times New Roman" w:hAnsi="Times New Roman"/>
          <w:sz w:val="24"/>
          <w:szCs w:val="24"/>
        </w:rPr>
        <w:t xml:space="preserve">off before an </w:t>
      </w:r>
      <w:r>
        <w:rPr>
          <w:rFonts w:ascii="Times New Roman" w:hAnsi="Times New Roman" w:cs="Times New Roman"/>
          <w:sz w:val="24"/>
          <w:szCs w:val="24"/>
        </w:rPr>
        <w:t xml:space="preserve">Open Briefing </w:t>
      </w:r>
      <w:r w:rsidRPr="005224F2">
        <w:rPr>
          <w:rFonts w:ascii="Times New Roman" w:hAnsi="Times New Roman"/>
          <w:sz w:val="24"/>
          <w:szCs w:val="24"/>
        </w:rPr>
        <w:t xml:space="preserve">is formally released </w:t>
      </w:r>
      <w:r>
        <w:rPr>
          <w:rFonts w:ascii="Times New Roman" w:hAnsi="Times New Roman"/>
          <w:sz w:val="24"/>
          <w:szCs w:val="24"/>
        </w:rPr>
        <w:t xml:space="preserve">to the </w:t>
      </w:r>
      <w:r w:rsidR="005453DF">
        <w:rPr>
          <w:rFonts w:ascii="Times New Roman" w:hAnsi="Times New Roman"/>
          <w:sz w:val="24"/>
          <w:szCs w:val="24"/>
        </w:rPr>
        <w:t>market</w:t>
      </w:r>
      <w:r w:rsidR="00970A03">
        <w:rPr>
          <w:rFonts w:ascii="Times New Roman" w:hAnsi="Times New Roman"/>
          <w:sz w:val="24"/>
          <w:szCs w:val="24"/>
        </w:rPr>
        <w:t>,</w:t>
      </w:r>
      <w:r w:rsidR="005453DF">
        <w:rPr>
          <w:rFonts w:ascii="Times New Roman" w:hAnsi="Times New Roman"/>
          <w:sz w:val="24"/>
          <w:szCs w:val="24"/>
        </w:rPr>
        <w:t xml:space="preserve"> suggesting</w:t>
      </w:r>
      <w:r w:rsidR="00970A03">
        <w:rPr>
          <w:rFonts w:ascii="Times New Roman" w:hAnsi="Times New Roman"/>
          <w:sz w:val="24"/>
          <w:szCs w:val="24"/>
        </w:rPr>
        <w:t xml:space="preserve"> that firms are unlikely to approve</w:t>
      </w:r>
      <w:r w:rsidRPr="005224F2">
        <w:rPr>
          <w:rFonts w:ascii="Times New Roman" w:hAnsi="Times New Roman"/>
          <w:sz w:val="24"/>
          <w:szCs w:val="24"/>
        </w:rPr>
        <w:t xml:space="preserve"> an overwhelmingly negative </w:t>
      </w:r>
      <w:r>
        <w:rPr>
          <w:rFonts w:ascii="Times New Roman" w:hAnsi="Times New Roman"/>
          <w:sz w:val="24"/>
          <w:szCs w:val="24"/>
        </w:rPr>
        <w:t>Open Briefing</w:t>
      </w:r>
      <w:r>
        <w:rPr>
          <w:rFonts w:ascii="Times New Roman" w:hAnsi="Times New Roman" w:cs="Times New Roman"/>
          <w:sz w:val="24"/>
          <w:szCs w:val="24"/>
        </w:rPr>
        <w:t xml:space="preserve">. </w:t>
      </w:r>
      <w:r>
        <w:rPr>
          <w:rFonts w:ascii="Times New Roman" w:hAnsi="Times New Roman"/>
          <w:sz w:val="24"/>
          <w:szCs w:val="24"/>
        </w:rPr>
        <w:t>Open Briefing</w:t>
      </w:r>
      <w:r w:rsidRPr="005224F2">
        <w:rPr>
          <w:rFonts w:ascii="Times New Roman" w:hAnsi="Times New Roman"/>
          <w:sz w:val="24"/>
          <w:szCs w:val="24"/>
        </w:rPr>
        <w:t>s typically begin by dis</w:t>
      </w:r>
      <w:r>
        <w:rPr>
          <w:rFonts w:ascii="Times New Roman" w:hAnsi="Times New Roman"/>
          <w:sz w:val="24"/>
          <w:szCs w:val="24"/>
        </w:rPr>
        <w:t xml:space="preserve">cussing an overview of the firm, followed by </w:t>
      </w:r>
      <w:r w:rsidRPr="005224F2">
        <w:rPr>
          <w:rFonts w:ascii="Times New Roman" w:hAnsi="Times New Roman"/>
          <w:sz w:val="24"/>
          <w:szCs w:val="24"/>
        </w:rPr>
        <w:t>recent events</w:t>
      </w:r>
      <w:r>
        <w:rPr>
          <w:rFonts w:ascii="Times New Roman" w:hAnsi="Times New Roman"/>
          <w:sz w:val="24"/>
          <w:szCs w:val="24"/>
        </w:rPr>
        <w:t xml:space="preserve"> and any</w:t>
      </w:r>
      <w:r w:rsidRPr="005224F2">
        <w:rPr>
          <w:rFonts w:ascii="Times New Roman" w:hAnsi="Times New Roman"/>
          <w:sz w:val="24"/>
          <w:szCs w:val="24"/>
        </w:rPr>
        <w:t xml:space="preserve"> pertinent performance information</w:t>
      </w:r>
      <w:r>
        <w:rPr>
          <w:rFonts w:ascii="Times New Roman" w:hAnsi="Times New Roman"/>
          <w:sz w:val="24"/>
          <w:szCs w:val="24"/>
        </w:rPr>
        <w:t xml:space="preserve">. However, relative to the other two disclosure outlets we examine, Open Briefings are the most controlled environment as they are co-written by the firm </w:t>
      </w:r>
      <w:r w:rsidR="00797733">
        <w:rPr>
          <w:rFonts w:ascii="Times New Roman" w:hAnsi="Times New Roman"/>
          <w:sz w:val="24"/>
          <w:szCs w:val="24"/>
        </w:rPr>
        <w:t>a</w:t>
      </w:r>
      <w:r w:rsidR="000170D5">
        <w:rPr>
          <w:rFonts w:ascii="Times New Roman" w:hAnsi="Times New Roman"/>
          <w:sz w:val="24"/>
          <w:szCs w:val="24"/>
        </w:rPr>
        <w:t>nd t</w:t>
      </w:r>
      <w:r>
        <w:rPr>
          <w:rFonts w:ascii="Times New Roman" w:hAnsi="Times New Roman"/>
          <w:sz w:val="24"/>
          <w:szCs w:val="24"/>
        </w:rPr>
        <w:t xml:space="preserve">here is no opportunity for independent questioning as there is </w:t>
      </w:r>
      <w:r w:rsidR="005453DF">
        <w:rPr>
          <w:rFonts w:ascii="Times New Roman" w:hAnsi="Times New Roman"/>
          <w:sz w:val="24"/>
          <w:szCs w:val="24"/>
        </w:rPr>
        <w:t xml:space="preserve">during </w:t>
      </w:r>
      <w:r>
        <w:rPr>
          <w:rFonts w:ascii="Times New Roman" w:hAnsi="Times New Roman"/>
          <w:sz w:val="24"/>
          <w:szCs w:val="24"/>
        </w:rPr>
        <w:t>an investor presentation.</w:t>
      </w:r>
      <w:r w:rsidR="009A639B">
        <w:rPr>
          <w:rFonts w:ascii="Times New Roman" w:hAnsi="Times New Roman"/>
          <w:sz w:val="24"/>
          <w:szCs w:val="24"/>
        </w:rPr>
        <w:t xml:space="preserve"> </w:t>
      </w:r>
      <w:r>
        <w:rPr>
          <w:rFonts w:ascii="Times New Roman" w:hAnsi="Times New Roman" w:cs="Times New Roman"/>
          <w:sz w:val="24"/>
          <w:szCs w:val="24"/>
          <w:lang w:val="en-NZ"/>
        </w:rPr>
        <w:t>F</w:t>
      </w:r>
      <w:r w:rsidRPr="00053BED">
        <w:rPr>
          <w:rFonts w:ascii="Times New Roman" w:hAnsi="Times New Roman" w:cs="Times New Roman"/>
          <w:sz w:val="24"/>
          <w:szCs w:val="24"/>
          <w:lang w:val="en-NZ"/>
        </w:rPr>
        <w:t xml:space="preserve">irms pay for an </w:t>
      </w:r>
      <w:r>
        <w:rPr>
          <w:rFonts w:ascii="Times New Roman" w:hAnsi="Times New Roman"/>
          <w:sz w:val="24"/>
          <w:szCs w:val="24"/>
        </w:rPr>
        <w:t>Open Briefing</w:t>
      </w:r>
      <w:r w:rsidRPr="00053BED">
        <w:rPr>
          <w:rFonts w:ascii="Times New Roman" w:hAnsi="Times New Roman" w:cs="Times New Roman"/>
          <w:sz w:val="24"/>
          <w:szCs w:val="24"/>
          <w:lang w:val="en-NZ"/>
        </w:rPr>
        <w:t xml:space="preserve"> as Orient Capital partly fulfil</w:t>
      </w:r>
      <w:r>
        <w:rPr>
          <w:rFonts w:ascii="Times New Roman" w:hAnsi="Times New Roman" w:cs="Times New Roman"/>
          <w:sz w:val="24"/>
          <w:szCs w:val="24"/>
          <w:lang w:val="en-NZ"/>
        </w:rPr>
        <w:t xml:space="preserve">s the role of an investor </w:t>
      </w:r>
      <w:r w:rsidRPr="00053BED">
        <w:rPr>
          <w:rFonts w:ascii="Times New Roman" w:hAnsi="Times New Roman" w:cs="Times New Roman"/>
          <w:sz w:val="24"/>
          <w:szCs w:val="24"/>
          <w:lang w:val="en-NZ"/>
        </w:rPr>
        <w:t xml:space="preserve">relations unit by helping </w:t>
      </w:r>
      <w:r w:rsidRPr="00B075F2">
        <w:rPr>
          <w:rFonts w:ascii="Times New Roman" w:hAnsi="Times New Roman" w:cs="Times New Roman"/>
          <w:sz w:val="24"/>
          <w:szCs w:val="24"/>
          <w:lang w:val="en-NZ"/>
        </w:rPr>
        <w:t xml:space="preserve">draft a more </w:t>
      </w:r>
      <w:r>
        <w:rPr>
          <w:rFonts w:ascii="Times New Roman" w:hAnsi="Times New Roman" w:cs="Times New Roman"/>
          <w:sz w:val="24"/>
          <w:szCs w:val="24"/>
          <w:lang w:val="en-NZ"/>
        </w:rPr>
        <w:t>effective</w:t>
      </w:r>
      <w:r w:rsidRPr="00B075F2">
        <w:rPr>
          <w:rFonts w:ascii="Times New Roman" w:hAnsi="Times New Roman" w:cs="Times New Roman"/>
          <w:sz w:val="24"/>
          <w:szCs w:val="24"/>
          <w:lang w:val="en-NZ"/>
        </w:rPr>
        <w:t xml:space="preserve"> disclosure document. </w:t>
      </w:r>
      <w:r w:rsidR="009A639B">
        <w:rPr>
          <w:rFonts w:ascii="Times New Roman" w:hAnsi="Times New Roman" w:cs="Times New Roman"/>
          <w:sz w:val="24"/>
          <w:szCs w:val="24"/>
          <w:lang w:val="en-NZ"/>
        </w:rPr>
        <w:t>Ferguson and Scott (2014) find a positive market reaction to Open Briefi</w:t>
      </w:r>
      <w:r w:rsidR="005E0CCC">
        <w:rPr>
          <w:rFonts w:ascii="Times New Roman" w:hAnsi="Times New Roman" w:cs="Times New Roman"/>
          <w:sz w:val="24"/>
          <w:szCs w:val="24"/>
          <w:lang w:val="en-NZ"/>
        </w:rPr>
        <w:t>ngs across all industry groups.</w:t>
      </w:r>
    </w:p>
    <w:p w14:paraId="569CCB88" w14:textId="77777777" w:rsidR="00441A88" w:rsidRDefault="00441A88" w:rsidP="00D91F4B">
      <w:pPr>
        <w:spacing w:after="0" w:line="480" w:lineRule="auto"/>
        <w:ind w:firstLine="720"/>
        <w:jc w:val="both"/>
        <w:rPr>
          <w:rFonts w:ascii="Times New Roman" w:hAnsi="Times New Roman"/>
          <w:sz w:val="24"/>
          <w:szCs w:val="24"/>
        </w:rPr>
      </w:pPr>
    </w:p>
    <w:p w14:paraId="4D5A45C6" w14:textId="26FF5B2B" w:rsidR="00BA3C60" w:rsidRPr="00561DAB" w:rsidRDefault="00BA3C60" w:rsidP="00DD31B6">
      <w:pPr>
        <w:spacing w:after="0" w:line="480" w:lineRule="auto"/>
        <w:jc w:val="both"/>
        <w:rPr>
          <w:rFonts w:ascii="Times New Roman" w:hAnsi="Times New Roman" w:cs="Times New Roman"/>
          <w:i/>
          <w:sz w:val="24"/>
          <w:szCs w:val="24"/>
        </w:rPr>
      </w:pPr>
      <w:r w:rsidRPr="00561DAB">
        <w:rPr>
          <w:rFonts w:ascii="Times New Roman" w:hAnsi="Times New Roman" w:cs="Times New Roman"/>
          <w:i/>
          <w:sz w:val="24"/>
          <w:szCs w:val="24"/>
        </w:rPr>
        <w:t>2.</w:t>
      </w:r>
      <w:r w:rsidR="009A639B">
        <w:rPr>
          <w:rFonts w:ascii="Times New Roman" w:hAnsi="Times New Roman" w:cs="Times New Roman"/>
          <w:i/>
          <w:sz w:val="24"/>
          <w:szCs w:val="24"/>
        </w:rPr>
        <w:t xml:space="preserve">2 </w:t>
      </w:r>
      <w:r>
        <w:rPr>
          <w:rFonts w:ascii="Times New Roman" w:hAnsi="Times New Roman" w:cs="Times New Roman"/>
          <w:i/>
          <w:sz w:val="24"/>
          <w:szCs w:val="24"/>
        </w:rPr>
        <w:t>Hypothesis</w:t>
      </w:r>
      <w:r w:rsidRPr="00561DAB">
        <w:rPr>
          <w:rFonts w:ascii="Times New Roman" w:hAnsi="Times New Roman" w:cs="Times New Roman"/>
          <w:i/>
          <w:sz w:val="24"/>
          <w:szCs w:val="24"/>
        </w:rPr>
        <w:t xml:space="preserve"> development</w:t>
      </w:r>
    </w:p>
    <w:p w14:paraId="1B33AB3A" w14:textId="3116EF08" w:rsidR="00BA3C60" w:rsidRDefault="00BA3C60" w:rsidP="00FF5A47">
      <w:pPr>
        <w:tabs>
          <w:tab w:val="left" w:pos="680"/>
        </w:tabs>
        <w:spacing w:after="0" w:line="480" w:lineRule="auto"/>
        <w:jc w:val="both"/>
        <w:rPr>
          <w:rFonts w:ascii="Times New Roman" w:hAnsi="Times New Roman" w:cs="Times New Roman"/>
          <w:sz w:val="24"/>
          <w:szCs w:val="24"/>
        </w:rPr>
      </w:pPr>
      <w:r w:rsidRPr="002E62A0">
        <w:rPr>
          <w:rFonts w:ascii="Times New Roman" w:hAnsi="Times New Roman" w:cs="Times New Roman"/>
          <w:sz w:val="24"/>
          <w:szCs w:val="24"/>
          <w:lang w:val="en-NZ"/>
        </w:rPr>
        <w:tab/>
      </w:r>
      <w:r>
        <w:rPr>
          <w:rFonts w:ascii="Times New Roman" w:hAnsi="Times New Roman" w:cs="Times New Roman"/>
          <w:sz w:val="24"/>
          <w:szCs w:val="24"/>
          <w:lang w:val="en-US"/>
        </w:rPr>
        <w:t>Voluntary disclosure theory s</w:t>
      </w:r>
      <w:r w:rsidRPr="00460762">
        <w:rPr>
          <w:rFonts w:ascii="Times New Roman" w:hAnsi="Times New Roman" w:cs="Times New Roman"/>
          <w:sz w:val="24"/>
          <w:szCs w:val="24"/>
          <w:lang w:val="en-US"/>
        </w:rPr>
        <w:t>uggests that firms make disclosure decisions consistent with</w:t>
      </w:r>
      <w:r>
        <w:rPr>
          <w:rFonts w:ascii="Times New Roman" w:hAnsi="Times New Roman" w:cs="Times New Roman"/>
          <w:sz w:val="24"/>
          <w:szCs w:val="24"/>
          <w:lang w:val="en-US"/>
        </w:rPr>
        <w:t xml:space="preserve"> </w:t>
      </w:r>
      <w:r w:rsidRPr="00460762">
        <w:rPr>
          <w:rFonts w:ascii="Times New Roman" w:hAnsi="Times New Roman" w:cs="Times New Roman"/>
          <w:sz w:val="24"/>
          <w:szCs w:val="24"/>
          <w:lang w:val="en-US"/>
        </w:rPr>
        <w:t>shareholder interests and costs (</w:t>
      </w:r>
      <w:proofErr w:type="spellStart"/>
      <w:r w:rsidR="009A639B" w:rsidRPr="00460762">
        <w:rPr>
          <w:rFonts w:ascii="Times New Roman" w:hAnsi="Times New Roman" w:cs="Times New Roman"/>
          <w:sz w:val="24"/>
          <w:szCs w:val="24"/>
          <w:lang w:val="en-US"/>
        </w:rPr>
        <w:t>Verrecchia</w:t>
      </w:r>
      <w:proofErr w:type="spellEnd"/>
      <w:r w:rsidR="009A639B" w:rsidRPr="00460762">
        <w:rPr>
          <w:rFonts w:ascii="Times New Roman" w:hAnsi="Times New Roman" w:cs="Times New Roman"/>
          <w:sz w:val="24"/>
          <w:szCs w:val="24"/>
          <w:lang w:val="en-US"/>
        </w:rPr>
        <w:t>, 1983</w:t>
      </w:r>
      <w:r w:rsidR="009A639B">
        <w:rPr>
          <w:rFonts w:ascii="Times New Roman" w:hAnsi="Times New Roman" w:cs="Times New Roman"/>
          <w:sz w:val="24"/>
          <w:szCs w:val="24"/>
          <w:lang w:val="en-US"/>
        </w:rPr>
        <w:t xml:space="preserve">; </w:t>
      </w:r>
      <w:r w:rsidRPr="00460762">
        <w:rPr>
          <w:rFonts w:ascii="Times New Roman" w:hAnsi="Times New Roman" w:cs="Times New Roman"/>
          <w:sz w:val="24"/>
          <w:szCs w:val="24"/>
          <w:lang w:val="en-US"/>
        </w:rPr>
        <w:t>Dye, 1985).</w:t>
      </w:r>
      <w:r w:rsidR="00047484">
        <w:rPr>
          <w:rFonts w:ascii="Times New Roman" w:hAnsi="Times New Roman" w:cs="Times New Roman"/>
          <w:sz w:val="24"/>
          <w:szCs w:val="24"/>
          <w:lang w:val="en-US"/>
        </w:rPr>
        <w:t xml:space="preserve"> A related stream of research is the corporate communication literature, which focuses on how management uses all possible forms of communication to create a </w:t>
      </w:r>
      <w:r w:rsidR="007851D5" w:rsidRPr="007851D5">
        <w:rPr>
          <w:rFonts w:ascii="Times New Roman" w:hAnsi="Times New Roman" w:cs="Times New Roman"/>
          <w:sz w:val="24"/>
          <w:szCs w:val="24"/>
        </w:rPr>
        <w:t>favourable</w:t>
      </w:r>
      <w:r w:rsidR="00047484">
        <w:rPr>
          <w:rFonts w:ascii="Times New Roman" w:hAnsi="Times New Roman" w:cs="Times New Roman"/>
          <w:sz w:val="24"/>
          <w:szCs w:val="24"/>
          <w:lang w:val="en-US"/>
        </w:rPr>
        <w:t xml:space="preserve"> impression (</w:t>
      </w:r>
      <w:proofErr w:type="spellStart"/>
      <w:r w:rsidR="00047484">
        <w:rPr>
          <w:rFonts w:ascii="Times New Roman" w:hAnsi="Times New Roman" w:cs="Times New Roman"/>
          <w:sz w:val="24"/>
          <w:szCs w:val="24"/>
          <w:lang w:val="en-US"/>
        </w:rPr>
        <w:t>Argenti</w:t>
      </w:r>
      <w:proofErr w:type="spellEnd"/>
      <w:r w:rsidR="00047484">
        <w:rPr>
          <w:rFonts w:ascii="Times New Roman" w:hAnsi="Times New Roman" w:cs="Times New Roman"/>
          <w:sz w:val="24"/>
          <w:szCs w:val="24"/>
          <w:lang w:val="en-US"/>
        </w:rPr>
        <w:t xml:space="preserve">, 1994). </w:t>
      </w:r>
      <w:r w:rsidR="005C7718">
        <w:rPr>
          <w:rFonts w:ascii="Times New Roman" w:hAnsi="Times New Roman" w:cs="Times New Roman"/>
          <w:sz w:val="24"/>
          <w:szCs w:val="24"/>
          <w:lang w:val="en-US"/>
        </w:rPr>
        <w:t>Related media theories suggest firms have in</w:t>
      </w:r>
      <w:r w:rsidR="007851D5">
        <w:rPr>
          <w:rFonts w:ascii="Times New Roman" w:hAnsi="Times New Roman" w:cs="Times New Roman"/>
          <w:sz w:val="24"/>
          <w:szCs w:val="24"/>
          <w:lang w:val="en-US"/>
        </w:rPr>
        <w:t>cen</w:t>
      </w:r>
      <w:r w:rsidR="005C7718">
        <w:rPr>
          <w:rFonts w:ascii="Times New Roman" w:hAnsi="Times New Roman" w:cs="Times New Roman"/>
          <w:sz w:val="24"/>
          <w:szCs w:val="24"/>
          <w:lang w:val="en-US"/>
        </w:rPr>
        <w:t>tives to set the media agenda and frame attributes of a story (Carroll and McCombs, 2003). Th</w:t>
      </w:r>
      <w:r w:rsidR="00200A16">
        <w:rPr>
          <w:rFonts w:ascii="Times New Roman" w:hAnsi="Times New Roman" w:cs="Times New Roman"/>
          <w:sz w:val="24"/>
          <w:szCs w:val="24"/>
          <w:lang w:val="en-US"/>
        </w:rPr>
        <w:t>us</w:t>
      </w:r>
      <w:r w:rsidR="005C7718">
        <w:rPr>
          <w:rFonts w:ascii="Times New Roman" w:hAnsi="Times New Roman" w:cs="Times New Roman"/>
          <w:sz w:val="24"/>
          <w:szCs w:val="24"/>
          <w:lang w:val="en-US"/>
        </w:rPr>
        <w:t xml:space="preserve">, firms may choose </w:t>
      </w:r>
      <w:r w:rsidR="00200A16">
        <w:rPr>
          <w:rFonts w:ascii="Times New Roman" w:hAnsi="Times New Roman" w:cs="Times New Roman"/>
          <w:sz w:val="24"/>
          <w:szCs w:val="24"/>
          <w:lang w:val="en-US"/>
        </w:rPr>
        <w:t xml:space="preserve">the </w:t>
      </w:r>
      <w:r w:rsidR="005C7718">
        <w:rPr>
          <w:rFonts w:ascii="Times New Roman" w:hAnsi="Times New Roman" w:cs="Times New Roman"/>
          <w:sz w:val="24"/>
          <w:szCs w:val="24"/>
          <w:lang w:val="en-US"/>
        </w:rPr>
        <w:t>disclosure outlet best suit</w:t>
      </w:r>
      <w:r w:rsidR="00200A16">
        <w:rPr>
          <w:rFonts w:ascii="Times New Roman" w:hAnsi="Times New Roman" w:cs="Times New Roman"/>
          <w:sz w:val="24"/>
          <w:szCs w:val="24"/>
          <w:lang w:val="en-US"/>
        </w:rPr>
        <w:t>ed to</w:t>
      </w:r>
      <w:r w:rsidR="005C7718">
        <w:rPr>
          <w:rFonts w:ascii="Times New Roman" w:hAnsi="Times New Roman" w:cs="Times New Roman"/>
          <w:sz w:val="24"/>
          <w:szCs w:val="24"/>
          <w:lang w:val="en-US"/>
        </w:rPr>
        <w:t xml:space="preserve"> </w:t>
      </w:r>
      <w:r w:rsidR="007851D5">
        <w:rPr>
          <w:rFonts w:ascii="Times New Roman" w:hAnsi="Times New Roman" w:cs="Times New Roman"/>
          <w:sz w:val="24"/>
          <w:szCs w:val="24"/>
          <w:lang w:val="en-US"/>
        </w:rPr>
        <w:t>the information they wish to disclose</w:t>
      </w:r>
      <w:r w:rsidR="005C7718">
        <w:rPr>
          <w:rFonts w:ascii="Times New Roman" w:hAnsi="Times New Roman" w:cs="Times New Roman"/>
          <w:sz w:val="24"/>
          <w:szCs w:val="24"/>
          <w:lang w:val="en-US"/>
        </w:rPr>
        <w:t>.</w:t>
      </w:r>
      <w:r w:rsidRPr="008C1027">
        <w:t xml:space="preserve"> </w:t>
      </w:r>
      <w:r>
        <w:rPr>
          <w:rFonts w:ascii="Times New Roman" w:hAnsi="Times New Roman" w:cs="Times New Roman"/>
          <w:sz w:val="24"/>
          <w:szCs w:val="24"/>
          <w:lang w:val="en-US"/>
        </w:rPr>
        <w:t xml:space="preserve">However, </w:t>
      </w:r>
      <w:r>
        <w:rPr>
          <w:rFonts w:ascii="Times New Roman" w:hAnsi="Times New Roman" w:cs="Times New Roman"/>
          <w:sz w:val="24"/>
          <w:szCs w:val="24"/>
        </w:rPr>
        <w:t>there is currently not a well-developed</w:t>
      </w:r>
      <w:r w:rsidRPr="00A37F8D">
        <w:rPr>
          <w:rFonts w:ascii="Times New Roman" w:hAnsi="Times New Roman" w:cs="Times New Roman"/>
          <w:sz w:val="24"/>
          <w:szCs w:val="24"/>
        </w:rPr>
        <w:t xml:space="preserve"> understanding of </w:t>
      </w:r>
      <w:r>
        <w:rPr>
          <w:rFonts w:ascii="Times New Roman" w:hAnsi="Times New Roman" w:cs="Times New Roman"/>
          <w:sz w:val="24"/>
          <w:szCs w:val="24"/>
        </w:rPr>
        <w:t xml:space="preserve">why firms disclose via one particular outlet instead of another </w:t>
      </w:r>
      <w:r w:rsidRPr="00A37F8D">
        <w:rPr>
          <w:rFonts w:ascii="Times New Roman" w:hAnsi="Times New Roman" w:cs="Times New Roman"/>
          <w:sz w:val="24"/>
          <w:szCs w:val="24"/>
        </w:rPr>
        <w:t>(</w:t>
      </w:r>
      <w:proofErr w:type="spellStart"/>
      <w:r w:rsidRPr="00A37F8D">
        <w:rPr>
          <w:rFonts w:ascii="Times New Roman" w:hAnsi="Times New Roman" w:cs="Times New Roman"/>
          <w:sz w:val="24"/>
          <w:szCs w:val="24"/>
        </w:rPr>
        <w:t>Mayew</w:t>
      </w:r>
      <w:proofErr w:type="spellEnd"/>
      <w:r w:rsidRPr="00A37F8D">
        <w:rPr>
          <w:rFonts w:ascii="Times New Roman" w:hAnsi="Times New Roman" w:cs="Times New Roman"/>
          <w:sz w:val="24"/>
          <w:szCs w:val="24"/>
        </w:rPr>
        <w:t>, 2012</w:t>
      </w:r>
      <w:r>
        <w:rPr>
          <w:rFonts w:ascii="Times New Roman" w:hAnsi="Times New Roman" w:cs="Times New Roman"/>
          <w:sz w:val="24"/>
          <w:szCs w:val="24"/>
        </w:rPr>
        <w:t xml:space="preserve">). Similarly, Francis </w:t>
      </w:r>
      <w:r w:rsidRPr="005140D7">
        <w:rPr>
          <w:rFonts w:ascii="Times New Roman" w:hAnsi="Times New Roman" w:cs="Times New Roman"/>
          <w:i/>
          <w:sz w:val="24"/>
          <w:szCs w:val="24"/>
        </w:rPr>
        <w:t>et al</w:t>
      </w:r>
      <w:r w:rsidRPr="00BA3C60">
        <w:rPr>
          <w:rFonts w:ascii="Times New Roman" w:hAnsi="Times New Roman" w:cs="Times New Roman"/>
          <w:sz w:val="24"/>
          <w:szCs w:val="24"/>
        </w:rPr>
        <w:t>.</w:t>
      </w:r>
      <w:r>
        <w:rPr>
          <w:rFonts w:ascii="Times New Roman" w:hAnsi="Times New Roman" w:cs="Times New Roman"/>
          <w:sz w:val="24"/>
          <w:szCs w:val="24"/>
        </w:rPr>
        <w:t xml:space="preserve"> (2008) emphasis</w:t>
      </w:r>
      <w:r w:rsidR="00200A16">
        <w:rPr>
          <w:rFonts w:ascii="Times New Roman" w:hAnsi="Times New Roman" w:cs="Times New Roman"/>
          <w:sz w:val="24"/>
          <w:szCs w:val="24"/>
        </w:rPr>
        <w:t>e</w:t>
      </w:r>
      <w:r>
        <w:rPr>
          <w:rFonts w:ascii="Times New Roman" w:hAnsi="Times New Roman" w:cs="Times New Roman"/>
          <w:sz w:val="24"/>
          <w:szCs w:val="24"/>
        </w:rPr>
        <w:t xml:space="preserve"> the </w:t>
      </w:r>
      <w:r w:rsidR="007851D5">
        <w:rPr>
          <w:rFonts w:ascii="Times New Roman" w:hAnsi="Times New Roman" w:cs="Times New Roman"/>
          <w:sz w:val="24"/>
          <w:szCs w:val="24"/>
        </w:rPr>
        <w:t xml:space="preserve">differences between </w:t>
      </w:r>
      <w:r>
        <w:rPr>
          <w:rFonts w:ascii="Times New Roman" w:hAnsi="Times New Roman" w:cs="Times New Roman"/>
          <w:sz w:val="24"/>
          <w:szCs w:val="24"/>
        </w:rPr>
        <w:t>disclosure outlets as a focus for future research.</w:t>
      </w:r>
    </w:p>
    <w:p w14:paraId="283C91EF" w14:textId="4C13BB81" w:rsidR="00BA3C60" w:rsidRPr="006D194F" w:rsidRDefault="00BA3C60" w:rsidP="00FF5A47">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00A16">
        <w:rPr>
          <w:rFonts w:ascii="Times New Roman" w:hAnsi="Times New Roman" w:cs="Times New Roman"/>
          <w:sz w:val="24"/>
          <w:szCs w:val="24"/>
        </w:rPr>
        <w:t>T</w:t>
      </w:r>
      <w:r>
        <w:rPr>
          <w:rFonts w:ascii="Times New Roman" w:hAnsi="Times New Roman" w:cs="Times New Roman"/>
          <w:sz w:val="24"/>
          <w:szCs w:val="24"/>
        </w:rPr>
        <w:t>hree disclosure outlets</w:t>
      </w:r>
      <w:r w:rsidR="00200A16">
        <w:rPr>
          <w:rFonts w:ascii="Times New Roman" w:hAnsi="Times New Roman" w:cs="Times New Roman"/>
          <w:sz w:val="24"/>
          <w:szCs w:val="24"/>
        </w:rPr>
        <w:t xml:space="preserve"> are compared</w:t>
      </w:r>
      <w:r>
        <w:rPr>
          <w:rFonts w:ascii="Times New Roman" w:hAnsi="Times New Roman" w:cs="Times New Roman"/>
          <w:sz w:val="24"/>
          <w:szCs w:val="24"/>
        </w:rPr>
        <w:t>, namely purchased analyst research, investor presentations and Open Briefings. As each outlet does have comparative benefits, we draw from existing voluntary disclosure theories to help predict firm choice of disclosure outlet. In the null form this can be stated as; are purchased analyst research reports, investor presentations and Open Briefings considered homogenous disclosure outlets by client firms and the equities market?</w:t>
      </w:r>
    </w:p>
    <w:p w14:paraId="30B99CCE" w14:textId="136C3B17" w:rsidR="00BA3C60" w:rsidRPr="000A65F1" w:rsidRDefault="00BA3C60" w:rsidP="00E62DA5">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0A16">
        <w:rPr>
          <w:rFonts w:ascii="Times New Roman" w:hAnsi="Times New Roman" w:cs="Times New Roman"/>
          <w:sz w:val="24"/>
          <w:szCs w:val="24"/>
        </w:rPr>
        <w:t>W</w:t>
      </w:r>
      <w:r>
        <w:rPr>
          <w:rFonts w:ascii="Times New Roman" w:hAnsi="Times New Roman" w:cs="Times New Roman"/>
          <w:sz w:val="24"/>
          <w:szCs w:val="24"/>
        </w:rPr>
        <w:t>e argue firms particularly want</w:t>
      </w:r>
      <w:r w:rsidR="00D27D5C">
        <w:rPr>
          <w:rFonts w:ascii="Times New Roman" w:hAnsi="Times New Roman" w:cs="Times New Roman"/>
          <w:sz w:val="24"/>
          <w:szCs w:val="24"/>
        </w:rPr>
        <w:t>ing</w:t>
      </w:r>
      <w:r>
        <w:rPr>
          <w:rFonts w:ascii="Times New Roman" w:hAnsi="Times New Roman" w:cs="Times New Roman"/>
          <w:sz w:val="24"/>
          <w:szCs w:val="24"/>
        </w:rPr>
        <w:t xml:space="preserve"> to draw analyst attention and a more diverse investor base would likely use a disclosure outlet targeted to such an outcome. Broadly, such a disclosure outlet is one that most decreases the </w:t>
      </w:r>
      <w:r>
        <w:rPr>
          <w:rFonts w:ascii="Times New Roman" w:hAnsi="Times New Roman"/>
          <w:sz w:val="24"/>
          <w:szCs w:val="24"/>
        </w:rPr>
        <w:t xml:space="preserve">information </w:t>
      </w:r>
      <w:r w:rsidRPr="002E62A0">
        <w:rPr>
          <w:rFonts w:ascii="Times New Roman" w:hAnsi="Times New Roman" w:cs="Times New Roman"/>
          <w:sz w:val="24"/>
          <w:szCs w:val="24"/>
          <w:lang w:val="en-NZ"/>
        </w:rPr>
        <w:t>acquisition costs</w:t>
      </w:r>
      <w:r>
        <w:rPr>
          <w:rFonts w:ascii="Times New Roman" w:hAnsi="Times New Roman" w:cs="Times New Roman"/>
          <w:sz w:val="24"/>
          <w:szCs w:val="24"/>
          <w:lang w:val="en-NZ"/>
        </w:rPr>
        <w:t xml:space="preserve"> of users</w:t>
      </w:r>
      <w:r w:rsidRPr="002E62A0">
        <w:rPr>
          <w:rFonts w:ascii="Times New Roman" w:hAnsi="Times New Roman" w:cs="Times New Roman"/>
          <w:sz w:val="24"/>
          <w:szCs w:val="24"/>
          <w:lang w:val="en-NZ"/>
        </w:rPr>
        <w:t xml:space="preserve"> (Stigler, 1961</w:t>
      </w:r>
      <w:r>
        <w:rPr>
          <w:rFonts w:ascii="Times New Roman" w:hAnsi="Times New Roman" w:cs="Times New Roman"/>
          <w:sz w:val="24"/>
          <w:szCs w:val="24"/>
          <w:lang w:val="en-NZ"/>
        </w:rPr>
        <w:t xml:space="preserve">). </w:t>
      </w:r>
      <w:r w:rsidR="00C524DF">
        <w:rPr>
          <w:rFonts w:ascii="Times New Roman" w:hAnsi="Times New Roman" w:cs="Times New Roman"/>
          <w:sz w:val="24"/>
          <w:szCs w:val="24"/>
          <w:lang w:val="en-NZ"/>
        </w:rPr>
        <w:t>F</w:t>
      </w:r>
      <w:r>
        <w:rPr>
          <w:rFonts w:ascii="Times New Roman" w:hAnsi="Times New Roman" w:cs="Times New Roman"/>
          <w:sz w:val="24"/>
          <w:szCs w:val="24"/>
          <w:lang w:val="en-NZ"/>
        </w:rPr>
        <w:t xml:space="preserve">irms which want to attract analysts or a more diverse shareholder base are more likely to disclose in such a way that makes it easier for them to start being followed by analysts or market participants. </w:t>
      </w:r>
      <w:r w:rsidR="00F24EF7">
        <w:rPr>
          <w:rFonts w:ascii="Times New Roman" w:hAnsi="Times New Roman" w:cs="Times New Roman"/>
          <w:sz w:val="24"/>
          <w:szCs w:val="24"/>
          <w:lang w:val="en-NZ"/>
        </w:rPr>
        <w:t>W</w:t>
      </w:r>
      <w:r>
        <w:rPr>
          <w:rFonts w:ascii="Times New Roman" w:hAnsi="Times New Roman" w:cs="Times New Roman"/>
          <w:sz w:val="24"/>
          <w:szCs w:val="24"/>
          <w:lang w:val="en-NZ"/>
        </w:rPr>
        <w:t xml:space="preserve">e argue that purchased analyst research is the outlet that most lowers information acquisitions costs. This is because it effectively mimics analyst coverage, which would reduce the cost </w:t>
      </w:r>
      <w:r w:rsidR="008E2D8A">
        <w:rPr>
          <w:rFonts w:ascii="Times New Roman" w:hAnsi="Times New Roman" w:cs="Times New Roman"/>
          <w:sz w:val="24"/>
          <w:szCs w:val="24"/>
          <w:lang w:val="en-NZ"/>
        </w:rPr>
        <w:t>for</w:t>
      </w:r>
      <w:r>
        <w:rPr>
          <w:rFonts w:ascii="Times New Roman" w:hAnsi="Times New Roman" w:cs="Times New Roman"/>
          <w:sz w:val="24"/>
          <w:szCs w:val="24"/>
          <w:lang w:val="en-NZ"/>
        </w:rPr>
        <w:t xml:space="preserve"> an analyst to begin following the firm. </w:t>
      </w:r>
      <w:r>
        <w:rPr>
          <w:rFonts w:ascii="Times New Roman" w:hAnsi="Times New Roman" w:cs="Times New Roman"/>
          <w:sz w:val="24"/>
          <w:szCs w:val="24"/>
        </w:rPr>
        <w:t>Thus we state our hypothesis as:</w:t>
      </w:r>
    </w:p>
    <w:p w14:paraId="5BC15444" w14:textId="77777777" w:rsidR="00BA3C60" w:rsidRPr="00E62DA5" w:rsidRDefault="00BA3C60" w:rsidP="00E62DA5">
      <w:pPr>
        <w:tabs>
          <w:tab w:val="left" w:pos="680"/>
        </w:tabs>
        <w:spacing w:after="0" w:line="480" w:lineRule="auto"/>
        <w:jc w:val="both"/>
        <w:rPr>
          <w:rFonts w:ascii="Times New Roman" w:hAnsi="Times New Roman" w:cs="Times New Roman"/>
          <w:i/>
          <w:sz w:val="24"/>
          <w:szCs w:val="24"/>
          <w:lang w:val="en-NZ"/>
        </w:rPr>
      </w:pPr>
      <w:r>
        <w:rPr>
          <w:rFonts w:ascii="Times New Roman" w:hAnsi="Times New Roman" w:cs="Times New Roman"/>
          <w:i/>
          <w:sz w:val="24"/>
          <w:szCs w:val="24"/>
          <w:lang w:val="en-NZ"/>
        </w:rPr>
        <w:tab/>
      </w:r>
      <w:r w:rsidRPr="00E62DA5">
        <w:rPr>
          <w:rFonts w:ascii="Times New Roman" w:hAnsi="Times New Roman" w:cs="Times New Roman"/>
          <w:i/>
          <w:sz w:val="24"/>
          <w:szCs w:val="24"/>
          <w:lang w:val="en-NZ"/>
        </w:rPr>
        <w:t xml:space="preserve">H1a: </w:t>
      </w:r>
      <w:r>
        <w:rPr>
          <w:rFonts w:ascii="Times New Roman" w:hAnsi="Times New Roman" w:cs="Times New Roman"/>
          <w:i/>
          <w:sz w:val="24"/>
          <w:szCs w:val="24"/>
          <w:lang w:val="en-NZ"/>
        </w:rPr>
        <w:t xml:space="preserve">Firms with </w:t>
      </w:r>
      <w:r w:rsidRPr="00E62DA5">
        <w:rPr>
          <w:rFonts w:ascii="Times New Roman" w:hAnsi="Times New Roman" w:cs="Times New Roman"/>
          <w:i/>
          <w:sz w:val="24"/>
          <w:szCs w:val="24"/>
          <w:lang w:val="en-NZ"/>
        </w:rPr>
        <w:t>higher information acquisition costs for users are more likely to disclose via purchased analyst research relative to investor presentations or Open Briefings.</w:t>
      </w:r>
    </w:p>
    <w:p w14:paraId="22CA8ED8" w14:textId="77777777" w:rsidR="00BA3C60" w:rsidRPr="00E62DA5" w:rsidRDefault="00BA3C60" w:rsidP="006C322D">
      <w:pPr>
        <w:spacing w:after="0" w:line="480" w:lineRule="auto"/>
        <w:jc w:val="both"/>
        <w:rPr>
          <w:rFonts w:ascii="Times New Roman" w:hAnsi="Times New Roman" w:cs="Times New Roman"/>
          <w:sz w:val="24"/>
          <w:szCs w:val="24"/>
          <w:lang w:val="en-NZ"/>
        </w:rPr>
      </w:pPr>
    </w:p>
    <w:p w14:paraId="4FD6BBA6" w14:textId="40ED7387" w:rsidR="00BA3C60" w:rsidRDefault="00BA3C60" w:rsidP="006D194F">
      <w:pPr>
        <w:spacing w:after="0" w:line="480" w:lineRule="auto"/>
        <w:ind w:firstLine="680"/>
        <w:jc w:val="both"/>
        <w:rPr>
          <w:rFonts w:ascii="Times New Roman" w:hAnsi="Times New Roman" w:cs="Times New Roman"/>
          <w:sz w:val="24"/>
          <w:szCs w:val="24"/>
        </w:rPr>
      </w:pPr>
      <w:r w:rsidRPr="00E62DA5">
        <w:rPr>
          <w:rFonts w:ascii="Times New Roman" w:hAnsi="Times New Roman" w:cs="Times New Roman"/>
          <w:sz w:val="24"/>
          <w:szCs w:val="24"/>
          <w:lang w:val="en-NZ"/>
        </w:rPr>
        <w:t xml:space="preserve">Building </w:t>
      </w:r>
      <w:r w:rsidR="00D27D5C">
        <w:rPr>
          <w:rFonts w:ascii="Times New Roman" w:hAnsi="Times New Roman" w:cs="Times New Roman"/>
          <w:sz w:val="24"/>
          <w:szCs w:val="24"/>
          <w:lang w:val="en-NZ"/>
        </w:rPr>
        <w:t>on</w:t>
      </w:r>
      <w:r w:rsidRPr="00E62DA5">
        <w:rPr>
          <w:rFonts w:ascii="Times New Roman" w:hAnsi="Times New Roman" w:cs="Times New Roman"/>
          <w:sz w:val="24"/>
          <w:szCs w:val="24"/>
          <w:lang w:val="en-NZ"/>
        </w:rPr>
        <w:t xml:space="preserve"> studies that find relatively poor share performance is associated with CEO turnover (Warner </w:t>
      </w:r>
      <w:r w:rsidRPr="005140D7">
        <w:rPr>
          <w:rFonts w:ascii="Times New Roman" w:hAnsi="Times New Roman" w:cs="Times New Roman"/>
          <w:i/>
          <w:sz w:val="24"/>
          <w:szCs w:val="24"/>
          <w:lang w:val="en-NZ"/>
        </w:rPr>
        <w:t>et al</w:t>
      </w:r>
      <w:r w:rsidRPr="00BA3C60">
        <w:rPr>
          <w:rFonts w:ascii="Times New Roman" w:hAnsi="Times New Roman" w:cs="Times New Roman"/>
          <w:sz w:val="24"/>
          <w:szCs w:val="24"/>
          <w:lang w:val="en-NZ"/>
        </w:rPr>
        <w:t>.,</w:t>
      </w:r>
      <w:r w:rsidRPr="002A42DB">
        <w:rPr>
          <w:rFonts w:ascii="Times New Roman" w:hAnsi="Times New Roman" w:cs="Times New Roman"/>
          <w:sz w:val="24"/>
          <w:szCs w:val="24"/>
        </w:rPr>
        <w:t xml:space="preserve"> 1988) and hostile takeovers (Palepu, 1986), managers may use voluntary disclosure to explain growth opportunities in an attempt to improve share price. </w:t>
      </w:r>
      <w:r>
        <w:rPr>
          <w:rFonts w:ascii="Times New Roman" w:hAnsi="Times New Roman" w:cs="Times New Roman"/>
          <w:sz w:val="24"/>
          <w:szCs w:val="24"/>
        </w:rPr>
        <w:t>Similarly</w:t>
      </w:r>
      <w:r w:rsidRPr="002A42DB">
        <w:rPr>
          <w:rFonts w:ascii="Times New Roman" w:hAnsi="Times New Roman" w:cs="Times New Roman"/>
          <w:sz w:val="24"/>
          <w:szCs w:val="24"/>
        </w:rPr>
        <w:t xml:space="preserve"> managers may voluntarily disclose inf</w:t>
      </w:r>
      <w:r w:rsidR="008E2D8A">
        <w:rPr>
          <w:rFonts w:ascii="Times New Roman" w:hAnsi="Times New Roman" w:cs="Times New Roman"/>
          <w:sz w:val="24"/>
          <w:szCs w:val="24"/>
        </w:rPr>
        <w:t>ormation to signal their talent</w:t>
      </w:r>
      <w:r w:rsidR="00D27D5C">
        <w:rPr>
          <w:rFonts w:ascii="Times New Roman" w:hAnsi="Times New Roman" w:cs="Times New Roman"/>
          <w:sz w:val="24"/>
          <w:szCs w:val="24"/>
        </w:rPr>
        <w:t>.</w:t>
      </w:r>
      <w:r w:rsidRPr="002A42DB">
        <w:rPr>
          <w:rFonts w:ascii="Times New Roman" w:hAnsi="Times New Roman" w:cs="Times New Roman"/>
          <w:sz w:val="24"/>
          <w:szCs w:val="24"/>
        </w:rPr>
        <w:t xml:space="preserve"> </w:t>
      </w:r>
      <w:r w:rsidR="008E2D8A">
        <w:rPr>
          <w:rFonts w:ascii="Times New Roman" w:hAnsi="Times New Roman" w:cs="Times New Roman"/>
          <w:sz w:val="24"/>
          <w:szCs w:val="24"/>
        </w:rPr>
        <w:t xml:space="preserve">Miller (2002) finds firms with </w:t>
      </w:r>
      <w:r w:rsidRPr="002A42DB">
        <w:rPr>
          <w:rFonts w:ascii="Times New Roman" w:hAnsi="Times New Roman" w:cs="Times New Roman"/>
          <w:sz w:val="24"/>
          <w:szCs w:val="24"/>
        </w:rPr>
        <w:t xml:space="preserve">strong earnings performance increase all disclosure types, </w:t>
      </w:r>
      <w:r w:rsidR="00D27D5C">
        <w:rPr>
          <w:rFonts w:ascii="Times New Roman" w:hAnsi="Times New Roman" w:cs="Times New Roman"/>
          <w:sz w:val="24"/>
          <w:szCs w:val="24"/>
        </w:rPr>
        <w:t xml:space="preserve">whilst those </w:t>
      </w:r>
      <w:r w:rsidRPr="002A42DB">
        <w:rPr>
          <w:rFonts w:ascii="Times New Roman" w:hAnsi="Times New Roman" w:cs="Times New Roman"/>
          <w:sz w:val="24"/>
          <w:szCs w:val="24"/>
        </w:rPr>
        <w:t xml:space="preserve">with weakening earnings performance </w:t>
      </w:r>
      <w:r>
        <w:rPr>
          <w:rFonts w:ascii="Times New Roman" w:hAnsi="Times New Roman" w:cs="Times New Roman"/>
          <w:sz w:val="24"/>
          <w:szCs w:val="24"/>
        </w:rPr>
        <w:t>change</w:t>
      </w:r>
      <w:r w:rsidRPr="002A42DB">
        <w:rPr>
          <w:rFonts w:ascii="Times New Roman" w:hAnsi="Times New Roman" w:cs="Times New Roman"/>
          <w:sz w:val="24"/>
          <w:szCs w:val="24"/>
        </w:rPr>
        <w:t xml:space="preserve"> their disclosure type to a s</w:t>
      </w:r>
      <w:r>
        <w:rPr>
          <w:rFonts w:ascii="Times New Roman" w:hAnsi="Times New Roman" w:cs="Times New Roman"/>
          <w:sz w:val="24"/>
          <w:szCs w:val="24"/>
        </w:rPr>
        <w:t>hort term focus.</w:t>
      </w:r>
    </w:p>
    <w:p w14:paraId="7BE9BE92" w14:textId="7C3D81E8" w:rsidR="00BA3C60" w:rsidRDefault="00BA3C60" w:rsidP="00E874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Thus one motivation for firms to disclose is talent</w:t>
      </w:r>
      <w:r w:rsidR="008E2D8A">
        <w:rPr>
          <w:rFonts w:ascii="Times New Roman" w:hAnsi="Times New Roman" w:cs="Times New Roman"/>
          <w:sz w:val="24"/>
          <w:szCs w:val="24"/>
        </w:rPr>
        <w:t>,</w:t>
      </w:r>
      <w:r w:rsidR="001B2D36">
        <w:rPr>
          <w:rFonts w:ascii="Times New Roman" w:hAnsi="Times New Roman" w:cs="Times New Roman"/>
          <w:sz w:val="24"/>
          <w:szCs w:val="24"/>
        </w:rPr>
        <w:t xml:space="preserve"> or performance signalling</w:t>
      </w:r>
      <w:r>
        <w:rPr>
          <w:rFonts w:ascii="Times New Roman" w:hAnsi="Times New Roman" w:cs="Times New Roman"/>
          <w:sz w:val="24"/>
          <w:szCs w:val="24"/>
        </w:rPr>
        <w:t>. We argue that talent signalling is most likely to be done at an investor presentation. This is because investor presentations are done in person</w:t>
      </w:r>
      <w:r w:rsidR="00912473">
        <w:rPr>
          <w:rFonts w:ascii="Times New Roman" w:hAnsi="Times New Roman" w:cs="Times New Roman"/>
          <w:sz w:val="24"/>
          <w:szCs w:val="24"/>
        </w:rPr>
        <w:t>,</w:t>
      </w:r>
      <w:r>
        <w:rPr>
          <w:rFonts w:ascii="Times New Roman" w:hAnsi="Times New Roman" w:cs="Times New Roman"/>
          <w:sz w:val="24"/>
          <w:szCs w:val="24"/>
        </w:rPr>
        <w:t xml:space="preserve"> in a defined physical location in front of an audience. Furthermore, the audience contains fellow CEOs, prospective employers (boards and substantive shareholders) and key market participants (analysts and institutional investors). </w:t>
      </w:r>
      <w:r w:rsidR="002408B5">
        <w:rPr>
          <w:rFonts w:ascii="Times New Roman" w:hAnsi="Times New Roman" w:cs="Times New Roman"/>
          <w:sz w:val="24"/>
          <w:szCs w:val="24"/>
        </w:rPr>
        <w:t xml:space="preserve">Green </w:t>
      </w:r>
      <w:r w:rsidR="002408B5" w:rsidRPr="002408B5">
        <w:rPr>
          <w:rFonts w:ascii="Times New Roman" w:hAnsi="Times New Roman" w:cs="Times New Roman"/>
          <w:i/>
          <w:sz w:val="24"/>
          <w:szCs w:val="24"/>
        </w:rPr>
        <w:t>et al.</w:t>
      </w:r>
      <w:r w:rsidR="002408B5">
        <w:rPr>
          <w:rFonts w:ascii="Times New Roman" w:hAnsi="Times New Roman" w:cs="Times New Roman"/>
          <w:sz w:val="24"/>
          <w:szCs w:val="24"/>
        </w:rPr>
        <w:t xml:space="preserve"> (2014) argue that broker hosted conferences are more likely when there is a higher demand to access management</w:t>
      </w:r>
      <w:r w:rsidR="000B6F5F">
        <w:rPr>
          <w:rFonts w:ascii="Times New Roman" w:hAnsi="Times New Roman" w:cs="Times New Roman"/>
          <w:sz w:val="24"/>
          <w:szCs w:val="24"/>
        </w:rPr>
        <w:t>.</w:t>
      </w:r>
      <w:r w:rsidR="002408B5">
        <w:rPr>
          <w:rFonts w:ascii="Times New Roman" w:hAnsi="Times New Roman" w:cs="Times New Roman"/>
          <w:sz w:val="24"/>
          <w:szCs w:val="24"/>
        </w:rPr>
        <w:t xml:space="preserve"> </w:t>
      </w:r>
      <w:r>
        <w:rPr>
          <w:rFonts w:ascii="Times New Roman" w:hAnsi="Times New Roman" w:cs="Times New Roman"/>
          <w:sz w:val="24"/>
          <w:szCs w:val="24"/>
        </w:rPr>
        <w:t>Overall, investor presentations are the strongest opportunity for CEOs to network themselves through a disclosure outlet. This hypothesis is stated as:</w:t>
      </w:r>
    </w:p>
    <w:p w14:paraId="5140DD20" w14:textId="77777777" w:rsidR="00BA3C60" w:rsidRDefault="00BA3C60" w:rsidP="00E874F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H1b</w:t>
      </w:r>
      <w:r w:rsidRPr="007E3721">
        <w:rPr>
          <w:rFonts w:ascii="Times New Roman" w:hAnsi="Times New Roman" w:cs="Times New Roman"/>
          <w:i/>
          <w:sz w:val="24"/>
          <w:szCs w:val="24"/>
        </w:rPr>
        <w:t xml:space="preserve">: </w:t>
      </w:r>
      <w:r>
        <w:rPr>
          <w:rFonts w:ascii="Times New Roman" w:hAnsi="Times New Roman" w:cs="Times New Roman"/>
          <w:i/>
          <w:sz w:val="24"/>
          <w:szCs w:val="24"/>
        </w:rPr>
        <w:t>Firms with higher talent signalling incentives</w:t>
      </w:r>
      <w:r w:rsidRPr="007E3721">
        <w:rPr>
          <w:rFonts w:ascii="Times New Roman" w:hAnsi="Times New Roman" w:cs="Times New Roman"/>
          <w:i/>
          <w:sz w:val="24"/>
          <w:szCs w:val="24"/>
        </w:rPr>
        <w:t xml:space="preserve"> </w:t>
      </w:r>
      <w:r>
        <w:rPr>
          <w:rFonts w:ascii="Times New Roman" w:hAnsi="Times New Roman" w:cs="Times New Roman"/>
          <w:i/>
          <w:sz w:val="24"/>
          <w:szCs w:val="24"/>
        </w:rPr>
        <w:t xml:space="preserve">are </w:t>
      </w:r>
      <w:r w:rsidRPr="007E3721">
        <w:rPr>
          <w:rFonts w:ascii="Times New Roman" w:hAnsi="Times New Roman" w:cs="Times New Roman"/>
          <w:i/>
          <w:sz w:val="24"/>
          <w:szCs w:val="24"/>
        </w:rPr>
        <w:t>more likely to disclose</w:t>
      </w:r>
      <w:r>
        <w:rPr>
          <w:rFonts w:ascii="Times New Roman" w:hAnsi="Times New Roman" w:cs="Times New Roman"/>
          <w:i/>
          <w:sz w:val="24"/>
          <w:szCs w:val="24"/>
        </w:rPr>
        <w:t xml:space="preserve"> </w:t>
      </w:r>
      <w:r w:rsidRPr="007E3721">
        <w:rPr>
          <w:rFonts w:ascii="Times New Roman" w:hAnsi="Times New Roman" w:cs="Times New Roman"/>
          <w:i/>
          <w:sz w:val="24"/>
          <w:szCs w:val="24"/>
        </w:rPr>
        <w:t xml:space="preserve">via </w:t>
      </w:r>
      <w:r>
        <w:rPr>
          <w:rFonts w:ascii="Times New Roman" w:hAnsi="Times New Roman" w:cs="Times New Roman"/>
          <w:i/>
          <w:sz w:val="24"/>
          <w:szCs w:val="24"/>
        </w:rPr>
        <w:t xml:space="preserve">investor presentation relative to purchased analyst </w:t>
      </w:r>
      <w:r w:rsidRPr="004F7689">
        <w:rPr>
          <w:rFonts w:ascii="Times New Roman" w:hAnsi="Times New Roman" w:cs="Times New Roman"/>
          <w:i/>
          <w:sz w:val="24"/>
          <w:szCs w:val="24"/>
        </w:rPr>
        <w:t>research</w:t>
      </w:r>
      <w:r>
        <w:rPr>
          <w:rFonts w:ascii="Times New Roman" w:hAnsi="Times New Roman" w:cs="Times New Roman"/>
          <w:i/>
          <w:sz w:val="24"/>
          <w:szCs w:val="24"/>
        </w:rPr>
        <w:t xml:space="preserve"> </w:t>
      </w:r>
      <w:r w:rsidRPr="004F7689">
        <w:rPr>
          <w:rFonts w:ascii="Times New Roman" w:hAnsi="Times New Roman" w:cs="Times New Roman"/>
          <w:i/>
          <w:sz w:val="24"/>
          <w:szCs w:val="24"/>
        </w:rPr>
        <w:t>or</w:t>
      </w:r>
      <w:r>
        <w:rPr>
          <w:rFonts w:ascii="Times New Roman" w:hAnsi="Times New Roman" w:cs="Times New Roman"/>
          <w:i/>
          <w:sz w:val="24"/>
          <w:szCs w:val="24"/>
        </w:rPr>
        <w:t xml:space="preserve"> Open </w:t>
      </w:r>
      <w:r w:rsidRPr="004F7689">
        <w:rPr>
          <w:rFonts w:ascii="Times New Roman" w:hAnsi="Times New Roman" w:cs="Times New Roman"/>
          <w:i/>
          <w:sz w:val="24"/>
          <w:szCs w:val="24"/>
        </w:rPr>
        <w:t>Briefings.</w:t>
      </w:r>
    </w:p>
    <w:p w14:paraId="406FF8A8" w14:textId="2867BEC8" w:rsidR="00BA3C60" w:rsidRDefault="00C61A53" w:rsidP="00C61A53">
      <w:pPr>
        <w:tabs>
          <w:tab w:val="left" w:pos="5256"/>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p>
    <w:p w14:paraId="63F5E470" w14:textId="1990F8D6" w:rsidR="00BA3C60" w:rsidRDefault="00BA3C60" w:rsidP="00060AD6">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514F9">
        <w:rPr>
          <w:rFonts w:ascii="Times New Roman" w:hAnsi="Times New Roman" w:cs="Times New Roman"/>
          <w:sz w:val="24"/>
          <w:szCs w:val="24"/>
          <w:lang w:val="en-US"/>
        </w:rPr>
        <w:t>Jorgensen and</w:t>
      </w:r>
      <w:r>
        <w:rPr>
          <w:rFonts w:ascii="Times New Roman" w:hAnsi="Times New Roman" w:cs="Times New Roman"/>
          <w:sz w:val="24"/>
          <w:szCs w:val="24"/>
          <w:lang w:val="en-US"/>
        </w:rPr>
        <w:t xml:space="preserve"> </w:t>
      </w:r>
      <w:proofErr w:type="spellStart"/>
      <w:r w:rsidRPr="004514F9">
        <w:rPr>
          <w:rFonts w:ascii="Times New Roman" w:hAnsi="Times New Roman" w:cs="Times New Roman"/>
          <w:sz w:val="24"/>
          <w:szCs w:val="24"/>
          <w:lang w:val="en-US"/>
        </w:rPr>
        <w:t>Kirschenheiter</w:t>
      </w:r>
      <w:proofErr w:type="spellEnd"/>
      <w:r w:rsidRPr="004514F9">
        <w:rPr>
          <w:rFonts w:ascii="Times New Roman" w:hAnsi="Times New Roman" w:cs="Times New Roman"/>
          <w:sz w:val="24"/>
          <w:szCs w:val="24"/>
          <w:lang w:val="en-US"/>
        </w:rPr>
        <w:t xml:space="preserve"> </w:t>
      </w:r>
      <w:r>
        <w:rPr>
          <w:rFonts w:ascii="Times New Roman" w:hAnsi="Times New Roman" w:cs="Times New Roman"/>
          <w:sz w:val="24"/>
          <w:szCs w:val="24"/>
          <w:lang w:val="en-US"/>
        </w:rPr>
        <w:t>(2003) argue that information is valuable when it attributes high value or low risk to assets. As firms have</w:t>
      </w:r>
      <w:r w:rsidR="008E2D8A">
        <w:rPr>
          <w:rFonts w:ascii="Times New Roman" w:hAnsi="Times New Roman" w:cs="Times New Roman"/>
          <w:sz w:val="24"/>
          <w:szCs w:val="24"/>
          <w:lang w:val="en-US"/>
        </w:rPr>
        <w:t xml:space="preserve"> fewer</w:t>
      </w:r>
      <w:r>
        <w:rPr>
          <w:rFonts w:ascii="Times New Roman" w:hAnsi="Times New Roman" w:cs="Times New Roman"/>
          <w:sz w:val="24"/>
          <w:szCs w:val="24"/>
          <w:lang w:val="en-US"/>
        </w:rPr>
        <w:t xml:space="preserve"> incentives to disclose bad news, the market may interpret </w:t>
      </w:r>
      <w:r w:rsidR="009A639B">
        <w:rPr>
          <w:rFonts w:ascii="Times New Roman" w:hAnsi="Times New Roman" w:cs="Times New Roman"/>
          <w:sz w:val="24"/>
          <w:szCs w:val="24"/>
          <w:lang w:val="en-US"/>
        </w:rPr>
        <w:t xml:space="preserve">silence </w:t>
      </w:r>
      <w:r>
        <w:rPr>
          <w:rFonts w:ascii="Times New Roman" w:hAnsi="Times New Roman" w:cs="Times New Roman"/>
          <w:sz w:val="24"/>
          <w:szCs w:val="24"/>
          <w:lang w:val="en-US"/>
        </w:rPr>
        <w:t xml:space="preserve">as ‘bad’ news (Hollander </w:t>
      </w:r>
      <w:r w:rsidRPr="005140D7">
        <w:rPr>
          <w:rFonts w:ascii="Times New Roman" w:hAnsi="Times New Roman" w:cs="Times New Roman"/>
          <w:i/>
          <w:sz w:val="24"/>
          <w:szCs w:val="24"/>
          <w:lang w:val="en-US"/>
        </w:rPr>
        <w:t>et al</w:t>
      </w:r>
      <w:r w:rsidRPr="00BA3C60">
        <w:rPr>
          <w:rFonts w:ascii="Times New Roman" w:hAnsi="Times New Roman" w:cs="Times New Roman"/>
          <w:sz w:val="24"/>
          <w:szCs w:val="24"/>
          <w:lang w:val="en-US"/>
        </w:rPr>
        <w:t>.,</w:t>
      </w:r>
      <w:r>
        <w:rPr>
          <w:rFonts w:ascii="Times New Roman" w:hAnsi="Times New Roman" w:cs="Times New Roman"/>
          <w:sz w:val="24"/>
          <w:szCs w:val="24"/>
          <w:lang w:val="en-US"/>
        </w:rPr>
        <w:t xml:space="preserve"> 2010). </w:t>
      </w:r>
      <w:r>
        <w:rPr>
          <w:rFonts w:ascii="Times New Roman" w:hAnsi="Times New Roman" w:cs="Times New Roman"/>
          <w:sz w:val="24"/>
          <w:szCs w:val="24"/>
        </w:rPr>
        <w:t xml:space="preserve">However, there are costs to disclosure, </w:t>
      </w:r>
      <w:r w:rsidR="000B6F5F">
        <w:rPr>
          <w:rFonts w:ascii="Times New Roman" w:hAnsi="Times New Roman" w:cs="Times New Roman"/>
          <w:sz w:val="24"/>
          <w:szCs w:val="24"/>
        </w:rPr>
        <w:t xml:space="preserve">suggesting firms may </w:t>
      </w:r>
      <w:r>
        <w:rPr>
          <w:rFonts w:ascii="Times New Roman" w:hAnsi="Times New Roman" w:cs="Times New Roman"/>
          <w:sz w:val="24"/>
          <w:szCs w:val="24"/>
        </w:rPr>
        <w:t>disclose in ways to minimise their risk (e.g.</w:t>
      </w:r>
      <w:r w:rsidR="00483E8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A2EE2">
        <w:rPr>
          <w:rFonts w:ascii="Times New Roman" w:hAnsi="Times New Roman" w:cs="Times New Roman"/>
          <w:sz w:val="24"/>
          <w:szCs w:val="24"/>
          <w:lang w:val="en-US"/>
        </w:rPr>
        <w:t>Verrecchia</w:t>
      </w:r>
      <w:proofErr w:type="spellEnd"/>
      <w:r w:rsidRPr="00DA2EE2">
        <w:rPr>
          <w:rFonts w:ascii="Times New Roman" w:hAnsi="Times New Roman" w:cs="Times New Roman"/>
          <w:sz w:val="24"/>
          <w:szCs w:val="24"/>
          <w:lang w:val="en-US"/>
        </w:rPr>
        <w:t xml:space="preserve">, 1983; </w:t>
      </w:r>
      <w:r>
        <w:rPr>
          <w:rFonts w:ascii="Times New Roman" w:hAnsi="Times New Roman" w:cs="Times New Roman"/>
          <w:sz w:val="24"/>
          <w:szCs w:val="24"/>
          <w:lang w:val="en-US"/>
        </w:rPr>
        <w:t xml:space="preserve">Dye, 1985). </w:t>
      </w:r>
      <w:r w:rsidR="00FC227B">
        <w:rPr>
          <w:rFonts w:ascii="Times New Roman" w:hAnsi="Times New Roman" w:cs="Times New Roman"/>
          <w:sz w:val="24"/>
          <w:szCs w:val="24"/>
        </w:rPr>
        <w:t xml:space="preserve">Related research </w:t>
      </w:r>
      <w:r w:rsidR="00483E84">
        <w:rPr>
          <w:rFonts w:ascii="Times New Roman" w:hAnsi="Times New Roman" w:cs="Times New Roman"/>
          <w:sz w:val="24"/>
          <w:szCs w:val="24"/>
        </w:rPr>
        <w:t xml:space="preserve">finds </w:t>
      </w:r>
      <w:r w:rsidR="00FC227B">
        <w:rPr>
          <w:rFonts w:ascii="Times New Roman" w:hAnsi="Times New Roman" w:cs="Times New Roman"/>
          <w:sz w:val="24"/>
          <w:szCs w:val="24"/>
          <w:lang w:val="en-US"/>
        </w:rPr>
        <w:t>conference calls</w:t>
      </w:r>
      <w:r w:rsidR="00FC227B" w:rsidRPr="00C279D5">
        <w:rPr>
          <w:rFonts w:ascii="Times New Roman" w:hAnsi="Times New Roman" w:cs="Times New Roman"/>
          <w:sz w:val="24"/>
          <w:szCs w:val="24"/>
        </w:rPr>
        <w:t xml:space="preserve"> </w:t>
      </w:r>
      <w:r w:rsidR="007C2856">
        <w:rPr>
          <w:rFonts w:ascii="Times New Roman" w:hAnsi="Times New Roman" w:cs="Times New Roman"/>
          <w:sz w:val="24"/>
          <w:szCs w:val="24"/>
        </w:rPr>
        <w:t>‘closed’</w:t>
      </w:r>
      <w:r w:rsidR="00FC227B" w:rsidRPr="00C279D5">
        <w:rPr>
          <w:rFonts w:ascii="Times New Roman" w:hAnsi="Times New Roman" w:cs="Times New Roman"/>
          <w:sz w:val="24"/>
          <w:szCs w:val="24"/>
        </w:rPr>
        <w:t xml:space="preserve"> to invited analyst</w:t>
      </w:r>
      <w:r w:rsidR="007C2856">
        <w:rPr>
          <w:rFonts w:ascii="Times New Roman" w:hAnsi="Times New Roman" w:cs="Times New Roman"/>
          <w:sz w:val="24"/>
          <w:szCs w:val="24"/>
        </w:rPr>
        <w:t>s</w:t>
      </w:r>
      <w:r w:rsidR="00FC227B" w:rsidRPr="00F56B83">
        <w:rPr>
          <w:rFonts w:ascii="Times New Roman" w:hAnsi="Times New Roman" w:cs="Times New Roman"/>
          <w:sz w:val="24"/>
          <w:szCs w:val="24"/>
        </w:rPr>
        <w:t xml:space="preserve"> </w:t>
      </w:r>
      <w:r w:rsidR="00483E84">
        <w:rPr>
          <w:rFonts w:ascii="Times New Roman" w:hAnsi="Times New Roman" w:cs="Times New Roman"/>
          <w:sz w:val="24"/>
          <w:szCs w:val="24"/>
        </w:rPr>
        <w:t xml:space="preserve">are </w:t>
      </w:r>
      <w:r w:rsidR="00FC227B">
        <w:rPr>
          <w:rFonts w:ascii="Times New Roman" w:hAnsi="Times New Roman" w:cs="Times New Roman"/>
          <w:sz w:val="24"/>
          <w:szCs w:val="24"/>
        </w:rPr>
        <w:t xml:space="preserve">more controlled with lower risk </w:t>
      </w:r>
      <w:r w:rsidR="007C2856">
        <w:rPr>
          <w:rFonts w:ascii="Times New Roman" w:hAnsi="Times New Roman" w:cs="Times New Roman"/>
          <w:sz w:val="24"/>
          <w:szCs w:val="24"/>
        </w:rPr>
        <w:t xml:space="preserve">than conference calls </w:t>
      </w:r>
      <w:r w:rsidR="00FC227B">
        <w:rPr>
          <w:rFonts w:ascii="Times New Roman" w:hAnsi="Times New Roman" w:cs="Times New Roman"/>
          <w:sz w:val="24"/>
          <w:szCs w:val="24"/>
        </w:rPr>
        <w:t>‘</w:t>
      </w:r>
      <w:r w:rsidR="00FC227B" w:rsidRPr="00C279D5">
        <w:rPr>
          <w:rFonts w:ascii="Times New Roman" w:hAnsi="Times New Roman" w:cs="Times New Roman"/>
          <w:sz w:val="24"/>
          <w:szCs w:val="24"/>
        </w:rPr>
        <w:t>open</w:t>
      </w:r>
      <w:r w:rsidR="00FC227B">
        <w:rPr>
          <w:rFonts w:ascii="Times New Roman" w:hAnsi="Times New Roman" w:cs="Times New Roman"/>
          <w:sz w:val="24"/>
          <w:szCs w:val="24"/>
        </w:rPr>
        <w:t>’</w:t>
      </w:r>
      <w:r w:rsidR="00FC227B" w:rsidRPr="00C279D5">
        <w:rPr>
          <w:rFonts w:ascii="Times New Roman" w:hAnsi="Times New Roman" w:cs="Times New Roman"/>
          <w:sz w:val="24"/>
          <w:szCs w:val="24"/>
        </w:rPr>
        <w:t xml:space="preserve"> to anyone</w:t>
      </w:r>
      <w:r w:rsidR="00483E84">
        <w:rPr>
          <w:rFonts w:ascii="Times New Roman" w:hAnsi="Times New Roman" w:cs="Times New Roman"/>
          <w:sz w:val="24"/>
          <w:szCs w:val="24"/>
        </w:rPr>
        <w:t xml:space="preserve">. They </w:t>
      </w:r>
      <w:r w:rsidR="00FC227B">
        <w:rPr>
          <w:rFonts w:ascii="Times New Roman" w:hAnsi="Times New Roman" w:cs="Times New Roman"/>
          <w:sz w:val="24"/>
          <w:szCs w:val="24"/>
        </w:rPr>
        <w:t>are more likely to be used by larger</w:t>
      </w:r>
      <w:r w:rsidR="00483E84">
        <w:rPr>
          <w:rFonts w:ascii="Times New Roman" w:hAnsi="Times New Roman" w:cs="Times New Roman"/>
          <w:sz w:val="24"/>
          <w:szCs w:val="24"/>
        </w:rPr>
        <w:t>,</w:t>
      </w:r>
      <w:r w:rsidR="00FC227B">
        <w:rPr>
          <w:rFonts w:ascii="Times New Roman" w:hAnsi="Times New Roman" w:cs="Times New Roman"/>
          <w:sz w:val="24"/>
          <w:szCs w:val="24"/>
        </w:rPr>
        <w:t xml:space="preserve"> </w:t>
      </w:r>
      <w:r w:rsidR="00483E84">
        <w:rPr>
          <w:rFonts w:ascii="Times New Roman" w:hAnsi="Times New Roman" w:cs="Times New Roman"/>
          <w:sz w:val="24"/>
          <w:szCs w:val="24"/>
        </w:rPr>
        <w:t>o</w:t>
      </w:r>
      <w:r w:rsidR="00FC227B">
        <w:rPr>
          <w:rFonts w:ascii="Times New Roman" w:hAnsi="Times New Roman" w:cs="Times New Roman"/>
          <w:sz w:val="24"/>
          <w:szCs w:val="24"/>
        </w:rPr>
        <w:t>lder firms with higher disclosure risk</w:t>
      </w:r>
      <w:r w:rsidR="00FC227B" w:rsidRPr="00C279D5">
        <w:rPr>
          <w:rFonts w:ascii="Times New Roman" w:hAnsi="Times New Roman" w:cs="Times New Roman"/>
          <w:sz w:val="24"/>
          <w:szCs w:val="24"/>
        </w:rPr>
        <w:t xml:space="preserve"> </w:t>
      </w:r>
      <w:r w:rsidR="00FC227B">
        <w:rPr>
          <w:rFonts w:ascii="Times New Roman" w:hAnsi="Times New Roman" w:cs="Times New Roman"/>
          <w:sz w:val="24"/>
          <w:szCs w:val="24"/>
        </w:rPr>
        <w:t>(</w:t>
      </w:r>
      <w:proofErr w:type="spellStart"/>
      <w:r w:rsidR="00FC227B" w:rsidRPr="00C279D5">
        <w:rPr>
          <w:rFonts w:ascii="Times New Roman" w:hAnsi="Times New Roman" w:cs="Times New Roman"/>
          <w:sz w:val="24"/>
          <w:szCs w:val="24"/>
        </w:rPr>
        <w:t>Bushee</w:t>
      </w:r>
      <w:proofErr w:type="spellEnd"/>
      <w:r w:rsidR="00FC227B" w:rsidRPr="00C279D5">
        <w:rPr>
          <w:rFonts w:ascii="Times New Roman" w:hAnsi="Times New Roman" w:cs="Times New Roman"/>
          <w:sz w:val="24"/>
          <w:szCs w:val="24"/>
        </w:rPr>
        <w:t xml:space="preserve"> </w:t>
      </w:r>
      <w:r w:rsidR="00FC227B" w:rsidRPr="005140D7">
        <w:rPr>
          <w:rFonts w:ascii="Times New Roman" w:hAnsi="Times New Roman" w:cs="Times New Roman"/>
          <w:i/>
          <w:sz w:val="24"/>
          <w:szCs w:val="24"/>
        </w:rPr>
        <w:t>et al</w:t>
      </w:r>
      <w:r w:rsidR="00FC227B" w:rsidRPr="00BA3C60">
        <w:rPr>
          <w:rFonts w:ascii="Times New Roman" w:hAnsi="Times New Roman" w:cs="Times New Roman"/>
          <w:sz w:val="24"/>
          <w:szCs w:val="24"/>
        </w:rPr>
        <w:t>.,</w:t>
      </w:r>
      <w:r w:rsidR="00FC227B">
        <w:rPr>
          <w:rFonts w:ascii="Times New Roman" w:hAnsi="Times New Roman" w:cs="Times New Roman"/>
          <w:sz w:val="24"/>
          <w:szCs w:val="24"/>
        </w:rPr>
        <w:t xml:space="preserve"> </w:t>
      </w:r>
      <w:r w:rsidR="00FC227B" w:rsidRPr="00C279D5">
        <w:rPr>
          <w:rFonts w:ascii="Times New Roman" w:hAnsi="Times New Roman" w:cs="Times New Roman"/>
          <w:sz w:val="24"/>
          <w:szCs w:val="24"/>
        </w:rPr>
        <w:t>2003)</w:t>
      </w:r>
      <w:r w:rsidR="00FC227B">
        <w:rPr>
          <w:rFonts w:ascii="Times New Roman" w:hAnsi="Times New Roman" w:cs="Times New Roman"/>
          <w:sz w:val="24"/>
          <w:szCs w:val="24"/>
        </w:rPr>
        <w:t xml:space="preserve">. </w:t>
      </w:r>
      <w:r w:rsidR="00B564B0">
        <w:rPr>
          <w:rFonts w:ascii="Times New Roman" w:hAnsi="Times New Roman" w:cs="Times New Roman"/>
          <w:sz w:val="24"/>
          <w:szCs w:val="24"/>
          <w:lang w:val="en-US"/>
        </w:rPr>
        <w:t>W</w:t>
      </w:r>
      <w:r>
        <w:rPr>
          <w:rFonts w:ascii="Times New Roman" w:hAnsi="Times New Roman" w:cs="Times New Roman"/>
          <w:sz w:val="24"/>
          <w:szCs w:val="24"/>
          <w:lang w:val="en-US"/>
        </w:rPr>
        <w:t xml:space="preserve">e argue that firms with higher disclosure risk would </w:t>
      </w:r>
      <w:r w:rsidRPr="004F7689">
        <w:rPr>
          <w:rFonts w:ascii="Times New Roman" w:hAnsi="Times New Roman" w:cs="Times New Roman"/>
          <w:sz w:val="24"/>
          <w:szCs w:val="24"/>
        </w:rPr>
        <w:t>prefer to disclose in a controlled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Stocken</w:t>
      </w:r>
      <w:proofErr w:type="spellEnd"/>
      <w:r>
        <w:rPr>
          <w:rFonts w:ascii="Times New Roman" w:hAnsi="Times New Roman" w:cs="Times New Roman"/>
          <w:sz w:val="24"/>
          <w:szCs w:val="24"/>
        </w:rPr>
        <w:t>, 2000).</w:t>
      </w:r>
      <w:r w:rsidR="005E5931" w:rsidRPr="00CA71C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F061BA">
        <w:rPr>
          <w:rFonts w:ascii="Times New Roman" w:hAnsi="Times New Roman" w:cs="Times New Roman"/>
          <w:sz w:val="24"/>
          <w:szCs w:val="24"/>
        </w:rPr>
        <w:t>T</w:t>
      </w:r>
      <w:r w:rsidRPr="00CA71C8">
        <w:rPr>
          <w:rFonts w:ascii="Times New Roman" w:hAnsi="Times New Roman" w:cs="Times New Roman"/>
          <w:sz w:val="24"/>
          <w:szCs w:val="24"/>
        </w:rPr>
        <w:t xml:space="preserve">he three disclosure outlets we investigate, Open Briefings are the most controlled environment </w:t>
      </w:r>
      <w:r>
        <w:rPr>
          <w:rFonts w:ascii="Times New Roman" w:hAnsi="Times New Roman" w:cs="Times New Roman"/>
          <w:sz w:val="24"/>
          <w:szCs w:val="24"/>
        </w:rPr>
        <w:t xml:space="preserve">as there is no opportunity for a non-firm representative to voice a negative opinion or for a firm representative to make a careless off-the-cuff comment. </w:t>
      </w:r>
      <w:r w:rsidRPr="00CA71C8">
        <w:rPr>
          <w:rFonts w:ascii="Times New Roman" w:hAnsi="Times New Roman" w:cs="Times New Roman"/>
          <w:sz w:val="24"/>
          <w:szCs w:val="24"/>
        </w:rPr>
        <w:t>Although it could be argued th</w:t>
      </w:r>
      <w:r w:rsidR="00F061BA">
        <w:rPr>
          <w:rFonts w:ascii="Times New Roman" w:hAnsi="Times New Roman" w:cs="Times New Roman"/>
          <w:sz w:val="24"/>
          <w:szCs w:val="24"/>
        </w:rPr>
        <w:t>e</w:t>
      </w:r>
      <w:r w:rsidRPr="00CA71C8">
        <w:rPr>
          <w:rFonts w:ascii="Times New Roman" w:hAnsi="Times New Roman" w:cs="Times New Roman"/>
          <w:sz w:val="24"/>
          <w:szCs w:val="24"/>
        </w:rPr>
        <w:t xml:space="preserve"> firms in our sample all have comparatively low disclosure </w:t>
      </w:r>
      <w:r>
        <w:rPr>
          <w:rFonts w:ascii="Times New Roman" w:hAnsi="Times New Roman" w:cs="Times New Roman"/>
          <w:sz w:val="24"/>
          <w:szCs w:val="24"/>
        </w:rPr>
        <w:lastRenderedPageBreak/>
        <w:t xml:space="preserve">risk, small resource firms do have a risk of </w:t>
      </w:r>
      <w:r w:rsidRPr="00992F43">
        <w:rPr>
          <w:rFonts w:ascii="Times New Roman" w:hAnsi="Times New Roman" w:cs="Times New Roman"/>
          <w:sz w:val="24"/>
          <w:szCs w:val="24"/>
        </w:rPr>
        <w:t xml:space="preserve">erroneous </w:t>
      </w:r>
      <w:r>
        <w:rPr>
          <w:rFonts w:ascii="Times New Roman" w:hAnsi="Times New Roman" w:cs="Times New Roman"/>
          <w:sz w:val="24"/>
          <w:szCs w:val="24"/>
        </w:rPr>
        <w:t>disclosure shaping the investor agenda that they are not a good investment (</w:t>
      </w:r>
      <w:r w:rsidRPr="00862E8B">
        <w:rPr>
          <w:rFonts w:ascii="Times New Roman" w:hAnsi="Times New Roman" w:cs="Times New Roman"/>
          <w:sz w:val="24"/>
          <w:szCs w:val="24"/>
          <w:lang w:val="en-NZ"/>
        </w:rPr>
        <w:t xml:space="preserve">Carroll </w:t>
      </w:r>
      <w:r>
        <w:rPr>
          <w:rFonts w:ascii="Times New Roman" w:hAnsi="Times New Roman" w:cs="Times New Roman"/>
          <w:sz w:val="24"/>
          <w:szCs w:val="24"/>
          <w:lang w:val="en-NZ"/>
        </w:rPr>
        <w:t>and McCombs, 2003).</w:t>
      </w:r>
      <w:r w:rsidR="005E5931">
        <w:rPr>
          <w:rStyle w:val="FootnoteReference"/>
          <w:rFonts w:ascii="Times New Roman" w:hAnsi="Times New Roman" w:cs="Times New Roman"/>
          <w:sz w:val="24"/>
          <w:szCs w:val="24"/>
          <w:lang w:val="en-NZ"/>
        </w:rPr>
        <w:footnoteReference w:id="6"/>
      </w:r>
      <w:r w:rsidR="00D01B04">
        <w:rPr>
          <w:rFonts w:ascii="Times New Roman" w:hAnsi="Times New Roman" w:cs="Times New Roman"/>
          <w:sz w:val="24"/>
          <w:szCs w:val="24"/>
          <w:lang w:val="en-NZ"/>
        </w:rPr>
        <w:t xml:space="preserve"> Firms may also suffer the risk of price-sensitive being leaked.</w:t>
      </w:r>
      <w:r>
        <w:rPr>
          <w:rFonts w:ascii="Times New Roman" w:hAnsi="Times New Roman" w:cs="Times New Roman"/>
          <w:sz w:val="24"/>
          <w:szCs w:val="24"/>
          <w:lang w:val="en-NZ"/>
        </w:rPr>
        <w:t xml:space="preserve"> Overall, </w:t>
      </w:r>
      <w:r w:rsidRPr="00CA71C8">
        <w:rPr>
          <w:rFonts w:ascii="Times New Roman" w:hAnsi="Times New Roman" w:cs="Times New Roman"/>
          <w:sz w:val="24"/>
          <w:szCs w:val="24"/>
        </w:rPr>
        <w:t xml:space="preserve">we argue that firms would prefer Open Briefings when they have comparatively higher disclosure </w:t>
      </w:r>
      <w:r>
        <w:rPr>
          <w:rFonts w:ascii="Times New Roman" w:hAnsi="Times New Roman" w:cs="Times New Roman"/>
          <w:sz w:val="24"/>
          <w:szCs w:val="24"/>
        </w:rPr>
        <w:t>risk and state our hypothesis as:</w:t>
      </w:r>
    </w:p>
    <w:p w14:paraId="6B497780" w14:textId="77777777" w:rsidR="00BA3C60" w:rsidRPr="00E62DA5" w:rsidRDefault="00BA3C60" w:rsidP="00E62DA5">
      <w:pPr>
        <w:tabs>
          <w:tab w:val="left" w:pos="680"/>
        </w:tabs>
        <w:spacing w:after="0" w:line="480" w:lineRule="auto"/>
        <w:jc w:val="both"/>
        <w:rPr>
          <w:rFonts w:ascii="Times New Roman" w:hAnsi="Times New Roman" w:cs="Times New Roman"/>
          <w:sz w:val="24"/>
          <w:szCs w:val="24"/>
        </w:rPr>
      </w:pPr>
      <w:r w:rsidRPr="00CA71C8">
        <w:rPr>
          <w:rFonts w:ascii="Times New Roman" w:hAnsi="Times New Roman" w:cs="Times New Roman"/>
          <w:sz w:val="24"/>
          <w:szCs w:val="24"/>
        </w:rPr>
        <w:tab/>
      </w:r>
      <w:r w:rsidRPr="00CA71C8">
        <w:rPr>
          <w:rFonts w:ascii="Times New Roman" w:hAnsi="Times New Roman" w:cs="Times New Roman"/>
          <w:i/>
          <w:sz w:val="24"/>
          <w:szCs w:val="24"/>
        </w:rPr>
        <w:t xml:space="preserve">H1c: </w:t>
      </w:r>
      <w:r>
        <w:rPr>
          <w:rFonts w:ascii="Times New Roman" w:hAnsi="Times New Roman" w:cs="Times New Roman"/>
          <w:i/>
          <w:sz w:val="24"/>
          <w:szCs w:val="24"/>
        </w:rPr>
        <w:t>Firms with higher disclosure risk</w:t>
      </w:r>
      <w:r w:rsidRPr="00CA71C8">
        <w:rPr>
          <w:rFonts w:ascii="Times New Roman" w:hAnsi="Times New Roman" w:cs="Times New Roman"/>
          <w:i/>
          <w:sz w:val="24"/>
          <w:szCs w:val="24"/>
        </w:rPr>
        <w:t xml:space="preserve"> are m</w:t>
      </w:r>
      <w:r>
        <w:rPr>
          <w:rFonts w:ascii="Times New Roman" w:hAnsi="Times New Roman" w:cs="Times New Roman"/>
          <w:i/>
          <w:sz w:val="24"/>
          <w:szCs w:val="24"/>
        </w:rPr>
        <w:t xml:space="preserve">ore likely to disclose via Open </w:t>
      </w:r>
      <w:r w:rsidRPr="00CA71C8">
        <w:rPr>
          <w:rFonts w:ascii="Times New Roman" w:hAnsi="Times New Roman" w:cs="Times New Roman"/>
          <w:i/>
          <w:sz w:val="24"/>
          <w:szCs w:val="24"/>
        </w:rPr>
        <w:t>Briefings relative to purchased analyst research or investor presentations.</w:t>
      </w:r>
    </w:p>
    <w:p w14:paraId="7C7A4908" w14:textId="77777777" w:rsidR="00BA3C60" w:rsidRPr="00855FB1" w:rsidRDefault="00BA3C60" w:rsidP="00B84512">
      <w:pPr>
        <w:tabs>
          <w:tab w:val="left" w:pos="680"/>
        </w:tabs>
        <w:spacing w:after="0" w:line="480" w:lineRule="auto"/>
        <w:ind w:left="680"/>
        <w:jc w:val="both"/>
        <w:rPr>
          <w:rFonts w:ascii="Times New Roman" w:hAnsi="Times New Roman" w:cs="Times New Roman"/>
          <w:sz w:val="24"/>
          <w:szCs w:val="24"/>
        </w:rPr>
      </w:pPr>
    </w:p>
    <w:p w14:paraId="7A50A885" w14:textId="6E1EB616" w:rsidR="00BA3C60" w:rsidRPr="00C279D5" w:rsidRDefault="00BA3C60" w:rsidP="00856794">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279D5">
        <w:rPr>
          <w:rFonts w:ascii="Times New Roman" w:hAnsi="Times New Roman" w:cs="Times New Roman"/>
          <w:sz w:val="24"/>
          <w:szCs w:val="24"/>
        </w:rPr>
        <w:t>Research on the effect of different disclosure outlets on market reaction</w:t>
      </w:r>
      <w:r>
        <w:rPr>
          <w:rFonts w:ascii="Times New Roman" w:hAnsi="Times New Roman" w:cs="Times New Roman"/>
          <w:sz w:val="24"/>
          <w:szCs w:val="24"/>
        </w:rPr>
        <w:t>s</w:t>
      </w:r>
      <w:r w:rsidRPr="00C279D5">
        <w:rPr>
          <w:rFonts w:ascii="Times New Roman" w:hAnsi="Times New Roman" w:cs="Times New Roman"/>
          <w:sz w:val="24"/>
          <w:szCs w:val="24"/>
        </w:rPr>
        <w:t xml:space="preserve"> has been limited due to the difficulty in </w:t>
      </w:r>
      <w:r>
        <w:rPr>
          <w:rFonts w:ascii="Times New Roman" w:hAnsi="Times New Roman" w:cs="Times New Roman"/>
          <w:sz w:val="24"/>
          <w:szCs w:val="24"/>
        </w:rPr>
        <w:t>examining</w:t>
      </w:r>
      <w:r w:rsidRPr="00C279D5">
        <w:rPr>
          <w:rFonts w:ascii="Times New Roman" w:hAnsi="Times New Roman" w:cs="Times New Roman"/>
          <w:sz w:val="24"/>
          <w:szCs w:val="24"/>
        </w:rPr>
        <w:t xml:space="preserve"> the impact of the disclosure outlet as opposed to the disclosure content. Nonetheless, if as outline</w:t>
      </w:r>
      <w:r>
        <w:rPr>
          <w:rFonts w:ascii="Times New Roman" w:hAnsi="Times New Roman" w:cs="Times New Roman"/>
          <w:sz w:val="24"/>
          <w:szCs w:val="24"/>
        </w:rPr>
        <w:t>d</w:t>
      </w:r>
      <w:r w:rsidRPr="00C279D5">
        <w:rPr>
          <w:rFonts w:ascii="Times New Roman" w:hAnsi="Times New Roman" w:cs="Times New Roman"/>
          <w:sz w:val="24"/>
          <w:szCs w:val="24"/>
        </w:rPr>
        <w:t xml:space="preserve"> above, firms </w:t>
      </w:r>
      <w:r>
        <w:rPr>
          <w:rFonts w:ascii="Times New Roman" w:hAnsi="Times New Roman" w:cs="Times New Roman"/>
          <w:sz w:val="24"/>
          <w:szCs w:val="24"/>
        </w:rPr>
        <w:t>have different</w:t>
      </w:r>
      <w:r w:rsidRPr="00C279D5">
        <w:rPr>
          <w:rFonts w:ascii="Times New Roman" w:hAnsi="Times New Roman" w:cs="Times New Roman"/>
          <w:sz w:val="24"/>
          <w:szCs w:val="24"/>
        </w:rPr>
        <w:t xml:space="preserve"> </w:t>
      </w:r>
      <w:r>
        <w:rPr>
          <w:rFonts w:ascii="Times New Roman" w:hAnsi="Times New Roman" w:cs="Times New Roman"/>
          <w:sz w:val="24"/>
          <w:szCs w:val="24"/>
        </w:rPr>
        <w:t>motivations to</w:t>
      </w:r>
      <w:r w:rsidRPr="00C279D5">
        <w:rPr>
          <w:rFonts w:ascii="Times New Roman" w:hAnsi="Times New Roman" w:cs="Times New Roman"/>
          <w:sz w:val="24"/>
          <w:szCs w:val="24"/>
        </w:rPr>
        <w:t xml:space="preserve"> use each disclosure outlet we </w:t>
      </w:r>
      <w:r>
        <w:rPr>
          <w:rFonts w:ascii="Times New Roman" w:hAnsi="Times New Roman" w:cs="Times New Roman"/>
          <w:sz w:val="24"/>
          <w:szCs w:val="24"/>
        </w:rPr>
        <w:t>would</w:t>
      </w:r>
      <w:r w:rsidRPr="00C279D5">
        <w:rPr>
          <w:rFonts w:ascii="Times New Roman" w:hAnsi="Times New Roman" w:cs="Times New Roman"/>
          <w:sz w:val="24"/>
          <w:szCs w:val="24"/>
        </w:rPr>
        <w:t xml:space="preserve"> also expect a different market </w:t>
      </w:r>
      <w:r>
        <w:rPr>
          <w:rFonts w:ascii="Times New Roman" w:hAnsi="Times New Roman" w:cs="Times New Roman"/>
          <w:sz w:val="24"/>
          <w:szCs w:val="24"/>
        </w:rPr>
        <w:t xml:space="preserve">reaction </w:t>
      </w:r>
      <w:r w:rsidRPr="00C279D5">
        <w:rPr>
          <w:rFonts w:ascii="Times New Roman" w:hAnsi="Times New Roman" w:cs="Times New Roman"/>
          <w:sz w:val="24"/>
          <w:szCs w:val="24"/>
        </w:rPr>
        <w:t xml:space="preserve">to each disclosure outlet. A different market reaction to </w:t>
      </w:r>
      <w:r w:rsidR="00555314">
        <w:rPr>
          <w:rFonts w:ascii="Times New Roman" w:hAnsi="Times New Roman" w:cs="Times New Roman"/>
          <w:sz w:val="24"/>
          <w:szCs w:val="24"/>
        </w:rPr>
        <w:t>various</w:t>
      </w:r>
      <w:r w:rsidRPr="00C279D5">
        <w:rPr>
          <w:rFonts w:ascii="Times New Roman" w:hAnsi="Times New Roman" w:cs="Times New Roman"/>
          <w:sz w:val="24"/>
          <w:szCs w:val="24"/>
        </w:rPr>
        <w:t xml:space="preserve"> disclosure outlets is also consistent with the market </w:t>
      </w:r>
      <w:r w:rsidR="00555314">
        <w:rPr>
          <w:rFonts w:ascii="Times New Roman" w:hAnsi="Times New Roman" w:cs="Times New Roman"/>
          <w:sz w:val="24"/>
          <w:szCs w:val="24"/>
        </w:rPr>
        <w:t xml:space="preserve">not </w:t>
      </w:r>
      <w:r w:rsidRPr="00C279D5">
        <w:rPr>
          <w:rFonts w:ascii="Times New Roman" w:hAnsi="Times New Roman" w:cs="Times New Roman"/>
          <w:sz w:val="24"/>
          <w:szCs w:val="24"/>
        </w:rPr>
        <w:t xml:space="preserve">considering </w:t>
      </w:r>
      <w:r w:rsidR="00555314">
        <w:rPr>
          <w:rFonts w:ascii="Times New Roman" w:hAnsi="Times New Roman" w:cs="Times New Roman"/>
          <w:sz w:val="24"/>
          <w:szCs w:val="24"/>
        </w:rPr>
        <w:t xml:space="preserve">all </w:t>
      </w:r>
      <w:r w:rsidRPr="00C279D5">
        <w:rPr>
          <w:rFonts w:ascii="Times New Roman" w:hAnsi="Times New Roman" w:cs="Times New Roman"/>
          <w:sz w:val="24"/>
          <w:szCs w:val="24"/>
        </w:rPr>
        <w:t xml:space="preserve">disclosure outlets to be </w:t>
      </w:r>
      <w:r w:rsidR="00A832E1">
        <w:rPr>
          <w:rFonts w:ascii="Times New Roman" w:hAnsi="Times New Roman" w:cs="Times New Roman"/>
          <w:sz w:val="24"/>
          <w:szCs w:val="24"/>
        </w:rPr>
        <w:t>homogenous</w:t>
      </w:r>
      <w:r w:rsidRPr="00C279D5">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2E62A0">
        <w:rPr>
          <w:rFonts w:ascii="Times New Roman" w:hAnsi="Times New Roman" w:cs="Times New Roman"/>
          <w:sz w:val="24"/>
          <w:szCs w:val="24"/>
        </w:rPr>
        <w:t xml:space="preserve">Campbell </w:t>
      </w:r>
      <w:r w:rsidRPr="00803F59">
        <w:rPr>
          <w:rFonts w:ascii="Times New Roman" w:hAnsi="Times New Roman" w:cs="Times New Roman"/>
          <w:i/>
          <w:sz w:val="24"/>
          <w:szCs w:val="24"/>
        </w:rPr>
        <w:t>et al.</w:t>
      </w:r>
      <w:r w:rsidRPr="002E62A0">
        <w:rPr>
          <w:rFonts w:ascii="Times New Roman" w:hAnsi="Times New Roman" w:cs="Times New Roman"/>
          <w:sz w:val="24"/>
          <w:szCs w:val="24"/>
        </w:rPr>
        <w:t xml:space="preserve"> (1993) </w:t>
      </w:r>
      <w:r>
        <w:rPr>
          <w:rFonts w:ascii="Times New Roman" w:hAnsi="Times New Roman" w:cs="Times New Roman"/>
          <w:sz w:val="24"/>
          <w:szCs w:val="24"/>
        </w:rPr>
        <w:t>conjecture</w:t>
      </w:r>
      <w:r w:rsidRPr="002E62A0">
        <w:rPr>
          <w:rFonts w:ascii="Times New Roman" w:hAnsi="Times New Roman" w:cs="Times New Roman"/>
          <w:sz w:val="24"/>
          <w:szCs w:val="24"/>
        </w:rPr>
        <w:t xml:space="preserve"> that non-substantive disclosure </w:t>
      </w:r>
      <w:r>
        <w:rPr>
          <w:rFonts w:ascii="Times New Roman" w:hAnsi="Times New Roman" w:cs="Times New Roman"/>
          <w:sz w:val="24"/>
          <w:szCs w:val="24"/>
        </w:rPr>
        <w:t>may</w:t>
      </w:r>
      <w:r w:rsidRPr="002E62A0">
        <w:rPr>
          <w:rFonts w:ascii="Times New Roman" w:hAnsi="Times New Roman" w:cs="Times New Roman"/>
          <w:sz w:val="24"/>
          <w:szCs w:val="24"/>
        </w:rPr>
        <w:t xml:space="preserve"> lead to a temporary</w:t>
      </w:r>
      <w:r>
        <w:rPr>
          <w:rFonts w:ascii="Times New Roman" w:hAnsi="Times New Roman" w:cs="Times New Roman"/>
          <w:sz w:val="24"/>
          <w:szCs w:val="24"/>
        </w:rPr>
        <w:t xml:space="preserve"> price</w:t>
      </w:r>
      <w:r w:rsidRPr="002E62A0">
        <w:rPr>
          <w:rFonts w:ascii="Times New Roman" w:hAnsi="Times New Roman" w:cs="Times New Roman"/>
          <w:sz w:val="24"/>
          <w:szCs w:val="24"/>
        </w:rPr>
        <w:t xml:space="preserve"> increase (from non-information traders) until the release of additional evidence that allows correct pricing inferences to be drawn.</w:t>
      </w:r>
      <w:r>
        <w:rPr>
          <w:rFonts w:ascii="Times New Roman" w:hAnsi="Times New Roman" w:cs="Times New Roman"/>
          <w:sz w:val="24"/>
          <w:szCs w:val="24"/>
        </w:rPr>
        <w:t xml:space="preserve"> This suggests that disclosure outlet format will not lead to </w:t>
      </w:r>
      <w:r w:rsidR="00C375D9">
        <w:rPr>
          <w:rFonts w:ascii="Times New Roman" w:hAnsi="Times New Roman" w:cs="Times New Roman"/>
          <w:sz w:val="24"/>
          <w:szCs w:val="24"/>
        </w:rPr>
        <w:t xml:space="preserve">a </w:t>
      </w:r>
      <w:r>
        <w:rPr>
          <w:rFonts w:ascii="Times New Roman" w:hAnsi="Times New Roman" w:cs="Times New Roman"/>
          <w:sz w:val="24"/>
          <w:szCs w:val="24"/>
        </w:rPr>
        <w:t xml:space="preserve">different pricing </w:t>
      </w:r>
      <w:r w:rsidR="00C375D9">
        <w:rPr>
          <w:rFonts w:ascii="Times New Roman" w:hAnsi="Times New Roman" w:cs="Times New Roman"/>
          <w:sz w:val="24"/>
          <w:szCs w:val="24"/>
        </w:rPr>
        <w:t xml:space="preserve">effect, </w:t>
      </w:r>
      <w:r>
        <w:rPr>
          <w:rFonts w:ascii="Times New Roman" w:hAnsi="Times New Roman" w:cs="Times New Roman"/>
          <w:sz w:val="24"/>
          <w:szCs w:val="24"/>
        </w:rPr>
        <w:t xml:space="preserve">as it is the information content that is </w:t>
      </w:r>
      <w:r w:rsidR="00C375D9">
        <w:rPr>
          <w:rFonts w:ascii="Times New Roman" w:hAnsi="Times New Roman" w:cs="Times New Roman"/>
          <w:sz w:val="24"/>
          <w:szCs w:val="24"/>
        </w:rPr>
        <w:t>relevant.</w:t>
      </w:r>
    </w:p>
    <w:p w14:paraId="035DF6D3" w14:textId="41EBAC1A" w:rsidR="00BA3C60" w:rsidRDefault="00BA3C60" w:rsidP="00856794">
      <w:pPr>
        <w:tabs>
          <w:tab w:val="left" w:pos="680"/>
        </w:tabs>
        <w:spacing w:after="0" w:line="480" w:lineRule="auto"/>
        <w:jc w:val="both"/>
        <w:rPr>
          <w:rFonts w:ascii="Times New Roman" w:hAnsi="Times New Roman" w:cs="Times New Roman"/>
          <w:sz w:val="24"/>
          <w:szCs w:val="24"/>
        </w:rPr>
      </w:pPr>
      <w:r w:rsidRPr="00C279D5">
        <w:rPr>
          <w:rFonts w:ascii="Times New Roman" w:hAnsi="Times New Roman" w:cs="Times New Roman"/>
          <w:sz w:val="24"/>
          <w:szCs w:val="24"/>
        </w:rPr>
        <w:tab/>
        <w:t xml:space="preserve">Indirect evidence on the effect of the disclosure outlet is provided by </w:t>
      </w:r>
      <w:proofErr w:type="spellStart"/>
      <w:r w:rsidRPr="00C279D5">
        <w:rPr>
          <w:rFonts w:ascii="Times New Roman" w:hAnsi="Times New Roman" w:cs="Times New Roman"/>
          <w:sz w:val="24"/>
          <w:szCs w:val="24"/>
        </w:rPr>
        <w:t>Bushee</w:t>
      </w:r>
      <w:proofErr w:type="spellEnd"/>
      <w:r w:rsidRPr="00C279D5">
        <w:rPr>
          <w:rFonts w:ascii="Times New Roman" w:hAnsi="Times New Roman" w:cs="Times New Roman"/>
          <w:sz w:val="24"/>
          <w:szCs w:val="24"/>
        </w:rPr>
        <w:t xml:space="preserve"> </w:t>
      </w:r>
      <w:r w:rsidRPr="005140D7">
        <w:rPr>
          <w:rFonts w:ascii="Times New Roman" w:hAnsi="Times New Roman" w:cs="Times New Roman"/>
          <w:i/>
          <w:sz w:val="24"/>
          <w:szCs w:val="24"/>
        </w:rPr>
        <w:t>et al</w:t>
      </w:r>
      <w:r w:rsidRPr="00BA3C60">
        <w:rPr>
          <w:rFonts w:ascii="Times New Roman" w:hAnsi="Times New Roman" w:cs="Times New Roman"/>
          <w:sz w:val="24"/>
          <w:szCs w:val="24"/>
        </w:rPr>
        <w:t>.</w:t>
      </w:r>
      <w:r w:rsidRPr="00C279D5">
        <w:rPr>
          <w:rFonts w:ascii="Times New Roman" w:hAnsi="Times New Roman" w:cs="Times New Roman"/>
          <w:sz w:val="24"/>
          <w:szCs w:val="24"/>
        </w:rPr>
        <w:t xml:space="preserve"> (2003)</w:t>
      </w:r>
      <w:r>
        <w:rPr>
          <w:rFonts w:ascii="Times New Roman" w:hAnsi="Times New Roman" w:cs="Times New Roman"/>
          <w:sz w:val="24"/>
          <w:szCs w:val="24"/>
        </w:rPr>
        <w:t>, who</w:t>
      </w:r>
      <w:r w:rsidRPr="00C279D5">
        <w:rPr>
          <w:rFonts w:ascii="Times New Roman" w:hAnsi="Times New Roman" w:cs="Times New Roman"/>
          <w:sz w:val="24"/>
          <w:szCs w:val="24"/>
        </w:rPr>
        <w:t xml:space="preserve"> find differences in volatility around conference calls restricted to inv</w:t>
      </w:r>
      <w:r>
        <w:rPr>
          <w:rFonts w:ascii="Times New Roman" w:hAnsi="Times New Roman" w:cs="Times New Roman"/>
          <w:sz w:val="24"/>
          <w:szCs w:val="24"/>
        </w:rPr>
        <w:t>ited</w:t>
      </w:r>
      <w:r w:rsidR="00797733">
        <w:rPr>
          <w:rFonts w:ascii="Times New Roman" w:hAnsi="Times New Roman" w:cs="Times New Roman"/>
          <w:sz w:val="24"/>
          <w:szCs w:val="24"/>
        </w:rPr>
        <w:t xml:space="preserve"> analysts relative to those</w:t>
      </w:r>
      <w:r w:rsidR="008E67FC">
        <w:rPr>
          <w:rFonts w:ascii="Times New Roman" w:hAnsi="Times New Roman" w:cs="Times New Roman"/>
          <w:sz w:val="24"/>
          <w:szCs w:val="24"/>
        </w:rPr>
        <w:t xml:space="preserve"> open to anyone. </w:t>
      </w:r>
      <w:r w:rsidR="00803F59">
        <w:rPr>
          <w:rFonts w:ascii="Times New Roman" w:hAnsi="Times New Roman" w:cs="Times New Roman"/>
          <w:sz w:val="24"/>
          <w:szCs w:val="24"/>
        </w:rPr>
        <w:t xml:space="preserve">Kirk and Markov (2014) find stronger reactions to investor days than conference presentations. </w:t>
      </w:r>
      <w:r w:rsidR="00C375D9">
        <w:rPr>
          <w:rFonts w:ascii="Times New Roman" w:hAnsi="Times New Roman" w:cs="Times New Roman"/>
          <w:sz w:val="24"/>
          <w:szCs w:val="24"/>
        </w:rPr>
        <w:t xml:space="preserve">Accordingly, we argue </w:t>
      </w:r>
      <w:r w:rsidR="001B2D36">
        <w:rPr>
          <w:rFonts w:ascii="Times New Roman" w:hAnsi="Times New Roman" w:cs="Times New Roman"/>
          <w:sz w:val="24"/>
          <w:szCs w:val="24"/>
        </w:rPr>
        <w:t>it is an empirical question whether</w:t>
      </w:r>
      <w:r>
        <w:rPr>
          <w:rFonts w:ascii="Times New Roman" w:hAnsi="Times New Roman" w:cs="Times New Roman"/>
          <w:sz w:val="24"/>
          <w:szCs w:val="24"/>
        </w:rPr>
        <w:t xml:space="preserve"> the market react</w:t>
      </w:r>
      <w:r w:rsidR="001B2D36">
        <w:rPr>
          <w:rFonts w:ascii="Times New Roman" w:hAnsi="Times New Roman" w:cs="Times New Roman"/>
          <w:sz w:val="24"/>
          <w:szCs w:val="24"/>
        </w:rPr>
        <w:t>s</w:t>
      </w:r>
      <w:r>
        <w:rPr>
          <w:rFonts w:ascii="Times New Roman" w:hAnsi="Times New Roman" w:cs="Times New Roman"/>
          <w:sz w:val="24"/>
          <w:szCs w:val="24"/>
        </w:rPr>
        <w:t xml:space="preserve"> differently depending on the disclosure outlet. Thus our second hypothesis is a further test that firms have different motivations to use particular disclosure outlets. We argue that if the market reaction differs based on the disclosure outlet it would </w:t>
      </w:r>
      <w:r>
        <w:rPr>
          <w:rFonts w:ascii="Times New Roman" w:hAnsi="Times New Roman" w:cs="Times New Roman"/>
          <w:sz w:val="24"/>
          <w:szCs w:val="24"/>
        </w:rPr>
        <w:lastRenderedPageBreak/>
        <w:t>suggest they are not viewed as homogenous by the market. We state the second hypothesis as:</w:t>
      </w:r>
    </w:p>
    <w:p w14:paraId="46D29D8C" w14:textId="77777777" w:rsidR="00BA3C60" w:rsidRDefault="00BA3C60" w:rsidP="00B53728">
      <w:pPr>
        <w:tabs>
          <w:tab w:val="left" w:pos="680"/>
        </w:tabs>
        <w:spacing w:after="0" w:line="480" w:lineRule="auto"/>
        <w:jc w:val="both"/>
        <w:rPr>
          <w:rFonts w:ascii="Times New Roman" w:hAnsi="Times New Roman" w:cs="Times New Roman"/>
          <w:i/>
          <w:sz w:val="24"/>
          <w:szCs w:val="24"/>
        </w:rPr>
      </w:pPr>
      <w:r>
        <w:rPr>
          <w:rFonts w:ascii="Times New Roman" w:hAnsi="Times New Roman" w:cs="Times New Roman"/>
          <w:sz w:val="24"/>
          <w:szCs w:val="24"/>
          <w:lang w:val="en-NZ"/>
        </w:rPr>
        <w:tab/>
      </w:r>
      <w:r w:rsidRPr="00B47550">
        <w:rPr>
          <w:rFonts w:ascii="Times New Roman" w:hAnsi="Times New Roman" w:cs="Times New Roman"/>
          <w:i/>
          <w:sz w:val="24"/>
          <w:szCs w:val="24"/>
        </w:rPr>
        <w:tab/>
        <w:t xml:space="preserve">H2: There is a different market reaction around </w:t>
      </w:r>
      <w:r>
        <w:rPr>
          <w:rFonts w:ascii="Times New Roman" w:hAnsi="Times New Roman" w:cs="Times New Roman"/>
          <w:i/>
          <w:sz w:val="24"/>
          <w:szCs w:val="24"/>
        </w:rPr>
        <w:t>purchased analyst research, investor</w:t>
      </w:r>
      <w:r>
        <w:rPr>
          <w:rFonts w:ascii="Times New Roman" w:hAnsi="Times New Roman" w:cs="Times New Roman"/>
          <w:i/>
          <w:sz w:val="24"/>
          <w:szCs w:val="24"/>
        </w:rPr>
        <w:tab/>
        <w:t>presentations and Open Briefings.</w:t>
      </w:r>
    </w:p>
    <w:p w14:paraId="34DDACE3" w14:textId="77777777" w:rsidR="004C14F0" w:rsidRDefault="004C14F0" w:rsidP="00B53728">
      <w:pPr>
        <w:tabs>
          <w:tab w:val="left" w:pos="680"/>
        </w:tabs>
        <w:spacing w:after="0" w:line="480" w:lineRule="auto"/>
        <w:jc w:val="both"/>
        <w:rPr>
          <w:rFonts w:ascii="Times New Roman" w:hAnsi="Times New Roman" w:cs="Times New Roman"/>
          <w:i/>
          <w:sz w:val="24"/>
          <w:szCs w:val="24"/>
        </w:rPr>
      </w:pPr>
    </w:p>
    <w:p w14:paraId="5729C1F5" w14:textId="77777777" w:rsidR="00BA3C60" w:rsidRDefault="00BA3C60" w:rsidP="00AF713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Research method</w:t>
      </w:r>
    </w:p>
    <w:p w14:paraId="7802BD20" w14:textId="77777777" w:rsidR="00BA3C60" w:rsidRPr="00561DAB" w:rsidRDefault="00BA3C60" w:rsidP="00A07837">
      <w:pPr>
        <w:spacing w:after="0" w:line="480" w:lineRule="auto"/>
        <w:jc w:val="both"/>
        <w:rPr>
          <w:rFonts w:ascii="Times New Roman" w:hAnsi="Times New Roman" w:cs="Times New Roman"/>
          <w:sz w:val="24"/>
          <w:szCs w:val="24"/>
        </w:rPr>
      </w:pPr>
      <w:r w:rsidRPr="00561DAB">
        <w:rPr>
          <w:rFonts w:ascii="Times New Roman" w:hAnsi="Times New Roman" w:cs="Times New Roman"/>
          <w:i/>
          <w:sz w:val="24"/>
          <w:szCs w:val="24"/>
        </w:rPr>
        <w:t>3.1 Data collection</w:t>
      </w:r>
    </w:p>
    <w:p w14:paraId="1C1E6EC3" w14:textId="08DB8B07" w:rsidR="00BA3C60" w:rsidRPr="00AF418D" w:rsidRDefault="00BA3C60" w:rsidP="000F52B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We focus on </w:t>
      </w:r>
      <w:r w:rsidR="009A639B" w:rsidRPr="009A639B">
        <w:rPr>
          <w:rFonts w:ascii="Times New Roman" w:hAnsi="Times New Roman"/>
          <w:sz w:val="24"/>
          <w:szCs w:val="24"/>
        </w:rPr>
        <w:t>analyst research by Keith Go</w:t>
      </w:r>
      <w:r w:rsidR="000F2CB1">
        <w:rPr>
          <w:rFonts w:ascii="Times New Roman" w:hAnsi="Times New Roman"/>
          <w:sz w:val="24"/>
          <w:szCs w:val="24"/>
        </w:rPr>
        <w:t>ode, an independent analyst who issues</w:t>
      </w:r>
      <w:r w:rsidR="009A639B" w:rsidRPr="009A639B">
        <w:rPr>
          <w:rFonts w:ascii="Times New Roman" w:hAnsi="Times New Roman"/>
          <w:sz w:val="24"/>
          <w:szCs w:val="24"/>
        </w:rPr>
        <w:t xml:space="preserve"> commissioned research reports</w:t>
      </w:r>
      <w:r>
        <w:rPr>
          <w:rFonts w:ascii="Times New Roman" w:hAnsi="Times New Roman"/>
          <w:sz w:val="24"/>
          <w:szCs w:val="24"/>
        </w:rPr>
        <w:t xml:space="preserve">, investor presentations (at </w:t>
      </w:r>
      <w:r w:rsidRPr="00076E77">
        <w:rPr>
          <w:rFonts w:ascii="Times New Roman" w:hAnsi="Times New Roman" w:cs="Times New Roman"/>
          <w:sz w:val="24"/>
          <w:szCs w:val="24"/>
        </w:rPr>
        <w:t xml:space="preserve">Diggers and Dealers, Association of Mining and Exploration </w:t>
      </w:r>
      <w:r>
        <w:rPr>
          <w:rFonts w:ascii="Times New Roman" w:hAnsi="Times New Roman" w:cs="Times New Roman"/>
          <w:sz w:val="24"/>
          <w:szCs w:val="24"/>
        </w:rPr>
        <w:t>Firms</w:t>
      </w:r>
      <w:r w:rsidRPr="00076E77">
        <w:rPr>
          <w:rFonts w:ascii="Times New Roman" w:hAnsi="Times New Roman" w:cs="Times New Roman"/>
          <w:sz w:val="24"/>
          <w:szCs w:val="24"/>
        </w:rPr>
        <w:t xml:space="preserve">, Africa </w:t>
      </w:r>
      <w:proofErr w:type="spellStart"/>
      <w:r w:rsidRPr="00076E77">
        <w:rPr>
          <w:rFonts w:ascii="Times New Roman" w:hAnsi="Times New Roman" w:cs="Times New Roman"/>
          <w:sz w:val="24"/>
          <w:szCs w:val="24"/>
        </w:rPr>
        <w:t>Downunder</w:t>
      </w:r>
      <w:proofErr w:type="spellEnd"/>
      <w:r w:rsidRPr="00076E77">
        <w:rPr>
          <w:rFonts w:ascii="Times New Roman" w:hAnsi="Times New Roman" w:cs="Times New Roman"/>
          <w:sz w:val="24"/>
          <w:szCs w:val="24"/>
        </w:rPr>
        <w:t xml:space="preserve"> and both the Excellence in Mining and Exploration and Excellence in Oil and Gas conferences and the Sydney, Melbourne and Brisbane mining clubs</w:t>
      </w:r>
      <w:r>
        <w:rPr>
          <w:rFonts w:ascii="Times New Roman" w:hAnsi="Times New Roman" w:cs="Times New Roman"/>
          <w:sz w:val="24"/>
          <w:szCs w:val="24"/>
        </w:rPr>
        <w:t>) and Open Briefings. The list of purchased analyst r</w:t>
      </w:r>
      <w:r w:rsidR="001B2D36">
        <w:rPr>
          <w:rFonts w:ascii="Times New Roman" w:hAnsi="Times New Roman" w:cs="Times New Roman"/>
          <w:sz w:val="24"/>
          <w:szCs w:val="24"/>
        </w:rPr>
        <w:t>esearch is obtained from Goode.</w:t>
      </w:r>
      <w:r w:rsidR="009A639B">
        <w:rPr>
          <w:rStyle w:val="FootnoteReference"/>
          <w:rFonts w:ascii="Times New Roman" w:hAnsi="Times New Roman" w:cs="Times New Roman"/>
          <w:sz w:val="24"/>
          <w:szCs w:val="24"/>
        </w:rPr>
        <w:footnoteReference w:id="7"/>
      </w:r>
      <w:r w:rsidR="001B2D36">
        <w:rPr>
          <w:rFonts w:ascii="Times New Roman" w:hAnsi="Times New Roman" w:cs="Times New Roman"/>
          <w:sz w:val="24"/>
          <w:szCs w:val="24"/>
        </w:rPr>
        <w:t xml:space="preserve"> Investor presentations are identified by writing to conference organisers for old programs and hand-constructing a list of presenting firms. </w:t>
      </w:r>
      <w:r>
        <w:rPr>
          <w:rFonts w:ascii="Times New Roman" w:hAnsi="Times New Roman" w:cs="Times New Roman"/>
          <w:sz w:val="24"/>
          <w:szCs w:val="24"/>
        </w:rPr>
        <w:t xml:space="preserve">A list of Open Briefings is hand collected from several providers of market announcements. Market, firm and analyst data is collected from DataStream, Aspect Huntley and IBES, respectively. Databases are </w:t>
      </w:r>
      <w:r w:rsidRPr="00AF418D">
        <w:rPr>
          <w:rFonts w:ascii="Times New Roman" w:hAnsi="Times New Roman" w:cs="Times New Roman"/>
          <w:sz w:val="24"/>
          <w:szCs w:val="24"/>
        </w:rPr>
        <w:t>supplemented with hand collection when necessary.</w:t>
      </w:r>
    </w:p>
    <w:p w14:paraId="342648BB" w14:textId="1F08C308" w:rsidR="00AF418D" w:rsidRDefault="00BA3C60" w:rsidP="00A07837">
      <w:pPr>
        <w:spacing w:after="0" w:line="480" w:lineRule="auto"/>
        <w:jc w:val="both"/>
        <w:rPr>
          <w:rFonts w:ascii="Times New Roman" w:hAnsi="Times New Roman" w:cs="Times New Roman"/>
          <w:sz w:val="24"/>
          <w:szCs w:val="24"/>
        </w:rPr>
      </w:pPr>
      <w:r w:rsidRPr="00AF418D">
        <w:rPr>
          <w:rFonts w:ascii="Times New Roman" w:hAnsi="Times New Roman" w:cs="Times New Roman"/>
          <w:sz w:val="24"/>
          <w:szCs w:val="24"/>
        </w:rPr>
        <w:tab/>
        <w:t xml:space="preserve">To compare the three disclosure outlets, we require the firm to have used each of the three outlets. This enables the investigation of why a firm might choose a particular disclosure outlet at </w:t>
      </w:r>
      <w:r w:rsidR="00175D14">
        <w:rPr>
          <w:rFonts w:ascii="Times New Roman" w:hAnsi="Times New Roman" w:cs="Times New Roman"/>
          <w:sz w:val="24"/>
          <w:szCs w:val="24"/>
        </w:rPr>
        <w:t xml:space="preserve">a certain </w:t>
      </w:r>
      <w:r w:rsidRPr="00AF418D">
        <w:rPr>
          <w:rFonts w:ascii="Times New Roman" w:hAnsi="Times New Roman" w:cs="Times New Roman"/>
          <w:sz w:val="24"/>
          <w:szCs w:val="24"/>
        </w:rPr>
        <w:t xml:space="preserve">point </w:t>
      </w:r>
      <w:r w:rsidR="00175D14">
        <w:rPr>
          <w:rFonts w:ascii="Times New Roman" w:hAnsi="Times New Roman" w:cs="Times New Roman"/>
          <w:sz w:val="24"/>
          <w:szCs w:val="24"/>
        </w:rPr>
        <w:t xml:space="preserve">in time </w:t>
      </w:r>
      <w:r w:rsidRPr="00AF418D">
        <w:rPr>
          <w:rFonts w:ascii="Times New Roman" w:hAnsi="Times New Roman" w:cs="Times New Roman"/>
          <w:sz w:val="24"/>
          <w:szCs w:val="24"/>
        </w:rPr>
        <w:t xml:space="preserve">rather than another it has used over the sample period. This results in 14 firms having used all three disclosure outlets. However, 1 firm was in the initial public offer phase when it purchased analyst research thus we remove it from our sample. Hence our final sample is 13 firms and a total of 171 events, of which 31 events </w:t>
      </w:r>
      <w:r w:rsidRPr="00AF418D">
        <w:rPr>
          <w:rFonts w:ascii="Times New Roman" w:hAnsi="Times New Roman" w:cs="Times New Roman"/>
          <w:sz w:val="24"/>
          <w:szCs w:val="24"/>
        </w:rPr>
        <w:lastRenderedPageBreak/>
        <w:t>are purchased analyst research, 57 are investor presentations and 83 are Open Briefings over 2000-2008</w:t>
      </w:r>
      <w:r w:rsidR="00AF418D">
        <w:rPr>
          <w:rFonts w:ascii="Times New Roman" w:hAnsi="Times New Roman" w:cs="Times New Roman"/>
          <w:sz w:val="24"/>
          <w:szCs w:val="24"/>
        </w:rPr>
        <w:t xml:space="preserve"> (disclosure subsample)</w:t>
      </w:r>
      <w:r w:rsidRPr="00AF418D">
        <w:rPr>
          <w:rFonts w:ascii="Times New Roman" w:hAnsi="Times New Roman" w:cs="Times New Roman"/>
          <w:sz w:val="24"/>
          <w:szCs w:val="24"/>
        </w:rPr>
        <w:t>.</w:t>
      </w:r>
      <w:r w:rsidR="00E61BA6" w:rsidRPr="00AF418D">
        <w:rPr>
          <w:rStyle w:val="FootnoteReference"/>
          <w:rFonts w:ascii="Times New Roman" w:hAnsi="Times New Roman" w:cs="Times New Roman"/>
          <w:sz w:val="24"/>
          <w:szCs w:val="24"/>
        </w:rPr>
        <w:footnoteReference w:id="8"/>
      </w:r>
      <w:r w:rsidRPr="00AF418D">
        <w:rPr>
          <w:rFonts w:ascii="Times New Roman" w:hAnsi="Times New Roman" w:cs="Times New Roman"/>
          <w:sz w:val="24"/>
          <w:szCs w:val="24"/>
        </w:rPr>
        <w:t xml:space="preserve"> </w:t>
      </w:r>
      <w:r w:rsidR="00AF418D">
        <w:rPr>
          <w:rFonts w:ascii="Times New Roman" w:hAnsi="Times New Roman" w:cs="Times New Roman"/>
          <w:sz w:val="24"/>
          <w:szCs w:val="24"/>
        </w:rPr>
        <w:t>We also rerun tests on a sample of 1</w:t>
      </w:r>
      <w:r w:rsidR="00F1417C">
        <w:rPr>
          <w:rFonts w:ascii="Times New Roman" w:hAnsi="Times New Roman" w:cs="Times New Roman"/>
          <w:sz w:val="24"/>
          <w:szCs w:val="24"/>
        </w:rPr>
        <w:t>,</w:t>
      </w:r>
      <w:r w:rsidR="00AF418D">
        <w:rPr>
          <w:rFonts w:ascii="Times New Roman" w:hAnsi="Times New Roman" w:cs="Times New Roman"/>
          <w:sz w:val="24"/>
          <w:szCs w:val="24"/>
        </w:rPr>
        <w:t xml:space="preserve">316 observations of resource firms that use any of the three disclosure outlets (full sample). </w:t>
      </w:r>
      <w:r w:rsidR="00AF418D" w:rsidRPr="00AF418D">
        <w:rPr>
          <w:rFonts w:ascii="Times New Roman" w:hAnsi="Times New Roman" w:cs="Times New Roman"/>
          <w:sz w:val="24"/>
          <w:szCs w:val="24"/>
        </w:rPr>
        <w:t xml:space="preserve">One advantage of focusing on these three disclosure outlets is that all three outlets were available for use over the whole sample period. This </w:t>
      </w:r>
      <w:r w:rsidR="004C14F0">
        <w:rPr>
          <w:rFonts w:ascii="Times New Roman" w:hAnsi="Times New Roman" w:cs="Times New Roman"/>
          <w:sz w:val="24"/>
          <w:szCs w:val="24"/>
        </w:rPr>
        <w:t>facilitates</w:t>
      </w:r>
      <w:r w:rsidR="00AF418D" w:rsidRPr="00AF418D">
        <w:rPr>
          <w:rFonts w:ascii="Times New Roman" w:hAnsi="Times New Roman" w:cs="Times New Roman"/>
          <w:sz w:val="24"/>
          <w:szCs w:val="24"/>
        </w:rPr>
        <w:t xml:space="preserve"> comparison of the date when each firm initiated using the disclosure outlet.</w:t>
      </w:r>
    </w:p>
    <w:p w14:paraId="4FE909ED" w14:textId="7CB31768" w:rsidR="00BA3C60" w:rsidRDefault="00BA3C60" w:rsidP="00A07837">
      <w:pPr>
        <w:spacing w:after="0" w:line="480" w:lineRule="auto"/>
        <w:jc w:val="both"/>
        <w:rPr>
          <w:rFonts w:ascii="Times New Roman" w:hAnsi="Times New Roman" w:cs="Times New Roman"/>
          <w:sz w:val="24"/>
          <w:szCs w:val="24"/>
        </w:rPr>
      </w:pPr>
    </w:p>
    <w:p w14:paraId="3A2E9719" w14:textId="77777777" w:rsidR="00BA3C60" w:rsidRPr="00561DAB" w:rsidRDefault="00BA3C60" w:rsidP="00AF7130">
      <w:pPr>
        <w:spacing w:after="0" w:line="480" w:lineRule="auto"/>
        <w:jc w:val="both"/>
        <w:rPr>
          <w:rFonts w:ascii="Times New Roman" w:hAnsi="Times New Roman" w:cs="Times New Roman"/>
          <w:sz w:val="24"/>
          <w:szCs w:val="24"/>
        </w:rPr>
      </w:pPr>
      <w:r w:rsidRPr="00561DAB">
        <w:rPr>
          <w:rFonts w:ascii="Times New Roman" w:hAnsi="Times New Roman" w:cs="Times New Roman"/>
          <w:i/>
          <w:sz w:val="24"/>
          <w:szCs w:val="24"/>
        </w:rPr>
        <w:t>3.2 Research setting</w:t>
      </w:r>
    </w:p>
    <w:p w14:paraId="2BAE8C7C" w14:textId="7B12E56D" w:rsidR="00F1417C" w:rsidRDefault="00BA3C60" w:rsidP="003229B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Mayew</w:t>
      </w:r>
      <w:proofErr w:type="spellEnd"/>
      <w:r>
        <w:rPr>
          <w:rFonts w:ascii="Times New Roman" w:hAnsi="Times New Roman" w:cs="Times New Roman"/>
          <w:sz w:val="24"/>
          <w:szCs w:val="24"/>
        </w:rPr>
        <w:t xml:space="preserve"> (2012) identifies that a key difficulty of research int</w:t>
      </w:r>
      <w:r w:rsidR="004C14F0">
        <w:rPr>
          <w:rFonts w:ascii="Times New Roman" w:hAnsi="Times New Roman" w:cs="Times New Roman"/>
          <w:sz w:val="24"/>
          <w:szCs w:val="24"/>
        </w:rPr>
        <w:t>o</w:t>
      </w:r>
      <w:r>
        <w:rPr>
          <w:rFonts w:ascii="Times New Roman" w:hAnsi="Times New Roman" w:cs="Times New Roman"/>
          <w:sz w:val="24"/>
          <w:szCs w:val="24"/>
        </w:rPr>
        <w:t xml:space="preserve"> disclosure outlet use is the difficulty of separating the effect of the disclosure outlet from the disclosure news content. In an attempt to isolate the effect of the disclosure outlet, this study utilises the ASX requirement for continuous disclosure and identifies disclosure outlets that are suited to disseminating news that has been pr</w:t>
      </w:r>
      <w:r w:rsidR="00B32AE9">
        <w:rPr>
          <w:rFonts w:ascii="Times New Roman" w:hAnsi="Times New Roman" w:cs="Times New Roman"/>
          <w:sz w:val="24"/>
          <w:szCs w:val="24"/>
        </w:rPr>
        <w:t>eviously released to the market</w:t>
      </w:r>
      <w:r>
        <w:rPr>
          <w:rFonts w:ascii="Times New Roman" w:hAnsi="Times New Roman" w:cs="Times New Roman"/>
          <w:sz w:val="24"/>
          <w:szCs w:val="24"/>
        </w:rPr>
        <w:t>. T</w:t>
      </w:r>
      <w:r w:rsidRPr="00D365E3">
        <w:rPr>
          <w:rFonts w:ascii="Times New Roman" w:hAnsi="Times New Roman" w:cs="Times New Roman"/>
          <w:sz w:val="24"/>
          <w:szCs w:val="24"/>
        </w:rPr>
        <w:t xml:space="preserve">he </w:t>
      </w:r>
      <w:r>
        <w:rPr>
          <w:rFonts w:ascii="Times New Roman" w:hAnsi="Times New Roman" w:cs="Times New Roman"/>
          <w:sz w:val="24"/>
          <w:szCs w:val="24"/>
        </w:rPr>
        <w:t xml:space="preserve">ASX </w:t>
      </w:r>
      <w:r w:rsidR="00012F44">
        <w:rPr>
          <w:rFonts w:ascii="Times New Roman" w:hAnsi="Times New Roman" w:cs="Times New Roman"/>
          <w:sz w:val="24"/>
          <w:szCs w:val="24"/>
        </w:rPr>
        <w:t xml:space="preserve">requires </w:t>
      </w:r>
      <w:r w:rsidRPr="00D365E3">
        <w:rPr>
          <w:rFonts w:ascii="Times New Roman" w:hAnsi="Times New Roman" w:cs="Times New Roman"/>
          <w:sz w:val="24"/>
          <w:szCs w:val="24"/>
        </w:rPr>
        <w:t xml:space="preserve">companies to report under continuous disclosure requirements, which </w:t>
      </w:r>
      <w:r>
        <w:rPr>
          <w:rFonts w:ascii="Times New Roman" w:hAnsi="Times New Roman" w:cs="Times New Roman"/>
          <w:sz w:val="24"/>
          <w:szCs w:val="24"/>
        </w:rPr>
        <w:t xml:space="preserve">implies </w:t>
      </w:r>
      <w:r w:rsidRPr="00D365E3">
        <w:rPr>
          <w:rFonts w:ascii="Times New Roman" w:hAnsi="Times New Roman" w:cs="Times New Roman"/>
          <w:sz w:val="24"/>
          <w:szCs w:val="24"/>
        </w:rPr>
        <w:t xml:space="preserve">entities </w:t>
      </w:r>
      <w:r>
        <w:rPr>
          <w:rFonts w:ascii="Times New Roman" w:hAnsi="Times New Roman" w:cs="Times New Roman"/>
          <w:sz w:val="24"/>
          <w:szCs w:val="24"/>
        </w:rPr>
        <w:t>must</w:t>
      </w:r>
      <w:r w:rsidRPr="00D365E3">
        <w:rPr>
          <w:rFonts w:ascii="Times New Roman" w:hAnsi="Times New Roman" w:cs="Times New Roman"/>
          <w:sz w:val="24"/>
          <w:szCs w:val="24"/>
        </w:rPr>
        <w:t xml:space="preserve"> immediately inform the ASX of any information that a </w:t>
      </w:r>
      <w:r w:rsidRPr="00AA3C2E">
        <w:rPr>
          <w:rFonts w:ascii="Times New Roman" w:hAnsi="Times New Roman" w:cs="Times New Roman"/>
          <w:sz w:val="24"/>
          <w:szCs w:val="24"/>
        </w:rPr>
        <w:t>reasonable person would expect to have a material effect on the price or value of the entity’s securities.</w:t>
      </w:r>
      <w:r w:rsidRPr="00AA3C2E">
        <w:rPr>
          <w:rStyle w:val="FootnoteReference"/>
          <w:rFonts w:ascii="Times New Roman" w:hAnsi="Times New Roman" w:cs="Times New Roman"/>
          <w:sz w:val="24"/>
          <w:szCs w:val="24"/>
        </w:rPr>
        <w:footnoteReference w:id="9"/>
      </w:r>
      <w:r w:rsidR="00DB7A74">
        <w:rPr>
          <w:rFonts w:ascii="Times New Roman" w:hAnsi="Times New Roman" w:cs="Times New Roman"/>
          <w:sz w:val="24"/>
          <w:szCs w:val="24"/>
        </w:rPr>
        <w:t xml:space="preserve"> Thus, as these disclosure outlets at least partly disseminate existing news, the variation in new information across these three outlets is likely less than for disclosure outlets used to make substantive new announcements.</w:t>
      </w:r>
    </w:p>
    <w:p w14:paraId="47DCBDBF" w14:textId="0685ED4D" w:rsidR="00F1417C" w:rsidRDefault="00B32AE9" w:rsidP="003229B3">
      <w:pPr>
        <w:spacing w:after="0" w:line="480" w:lineRule="auto"/>
        <w:ind w:firstLine="720"/>
        <w:jc w:val="both"/>
        <w:rPr>
          <w:rFonts w:ascii="Times New Roman" w:hAnsi="Times New Roman" w:cs="Times New Roman"/>
          <w:sz w:val="24"/>
          <w:szCs w:val="24"/>
        </w:rPr>
      </w:pPr>
      <w:r w:rsidDel="000170D5">
        <w:rPr>
          <w:rFonts w:ascii="Times New Roman" w:hAnsi="Times New Roman" w:cs="Times New Roman"/>
          <w:sz w:val="24"/>
          <w:szCs w:val="24"/>
        </w:rPr>
        <w:t>R</w:t>
      </w:r>
      <w:r w:rsidRPr="002815DE" w:rsidDel="000170D5">
        <w:rPr>
          <w:rFonts w:ascii="Times New Roman" w:hAnsi="Times New Roman" w:cs="Times New Roman"/>
          <w:sz w:val="24"/>
          <w:szCs w:val="24"/>
        </w:rPr>
        <w:t xml:space="preserve">esource </w:t>
      </w:r>
      <w:r w:rsidDel="000170D5">
        <w:rPr>
          <w:rFonts w:ascii="Times New Roman" w:hAnsi="Times New Roman" w:cs="Times New Roman"/>
          <w:sz w:val="24"/>
          <w:szCs w:val="24"/>
        </w:rPr>
        <w:t>development stage entities (DSE’s)</w:t>
      </w:r>
      <w:r w:rsidRPr="002815DE" w:rsidDel="000170D5">
        <w:rPr>
          <w:rFonts w:ascii="Times New Roman" w:hAnsi="Times New Roman" w:cs="Times New Roman"/>
          <w:sz w:val="24"/>
          <w:szCs w:val="24"/>
        </w:rPr>
        <w:t xml:space="preserve"> have significant differences</w:t>
      </w:r>
      <w:r w:rsidDel="000170D5">
        <w:rPr>
          <w:rFonts w:ascii="Times New Roman" w:hAnsi="Times New Roman" w:cs="Times New Roman"/>
          <w:sz w:val="24"/>
          <w:szCs w:val="24"/>
        </w:rPr>
        <w:t xml:space="preserve"> compared to similar sized non-resource firms, </w:t>
      </w:r>
      <w:r w:rsidRPr="002815DE" w:rsidDel="000170D5">
        <w:rPr>
          <w:rFonts w:ascii="Times New Roman" w:hAnsi="Times New Roman" w:cs="Times New Roman"/>
          <w:sz w:val="24"/>
          <w:szCs w:val="24"/>
        </w:rPr>
        <w:t xml:space="preserve">including lower debt, profitability and analyst coverage </w:t>
      </w:r>
      <w:r w:rsidDel="000170D5">
        <w:rPr>
          <w:rFonts w:ascii="Times New Roman" w:hAnsi="Times New Roman" w:cs="Times New Roman"/>
          <w:sz w:val="24"/>
          <w:szCs w:val="24"/>
        </w:rPr>
        <w:t xml:space="preserve">(Ferguson </w:t>
      </w:r>
      <w:r w:rsidRPr="005140D7" w:rsidDel="000170D5">
        <w:rPr>
          <w:rFonts w:ascii="Times New Roman" w:hAnsi="Times New Roman" w:cs="Times New Roman"/>
          <w:i/>
          <w:sz w:val="24"/>
          <w:szCs w:val="24"/>
        </w:rPr>
        <w:t>et al</w:t>
      </w:r>
      <w:r w:rsidRPr="00BA3C60" w:rsidDel="000170D5">
        <w:rPr>
          <w:rFonts w:ascii="Times New Roman" w:hAnsi="Times New Roman" w:cs="Times New Roman"/>
          <w:sz w:val="24"/>
          <w:szCs w:val="24"/>
        </w:rPr>
        <w:t>.,</w:t>
      </w:r>
      <w:r w:rsidDel="000170D5">
        <w:rPr>
          <w:rFonts w:ascii="Times New Roman" w:hAnsi="Times New Roman" w:cs="Times New Roman"/>
          <w:sz w:val="24"/>
          <w:szCs w:val="24"/>
        </w:rPr>
        <w:t xml:space="preserve"> </w:t>
      </w:r>
      <w:r w:rsidRPr="002815DE" w:rsidDel="000170D5">
        <w:rPr>
          <w:rFonts w:ascii="Times New Roman" w:hAnsi="Times New Roman" w:cs="Times New Roman"/>
          <w:sz w:val="24"/>
          <w:szCs w:val="24"/>
        </w:rPr>
        <w:t>2011b)</w:t>
      </w:r>
      <w:r w:rsidDel="000170D5">
        <w:rPr>
          <w:rFonts w:ascii="Times New Roman" w:hAnsi="Times New Roman" w:cs="Times New Roman"/>
          <w:sz w:val="24"/>
          <w:szCs w:val="24"/>
        </w:rPr>
        <w:t xml:space="preserve">. </w:t>
      </w:r>
      <w:r w:rsidR="00DB7A74" w:rsidDel="000170D5">
        <w:rPr>
          <w:rFonts w:ascii="Times New Roman" w:hAnsi="Times New Roman" w:cs="Times New Roman"/>
          <w:sz w:val="24"/>
          <w:szCs w:val="24"/>
        </w:rPr>
        <w:t xml:space="preserve">Resource firms </w:t>
      </w:r>
      <w:r w:rsidR="00012F44" w:rsidDel="000170D5">
        <w:rPr>
          <w:rFonts w:ascii="Times New Roman" w:hAnsi="Times New Roman" w:cs="Times New Roman"/>
          <w:sz w:val="24"/>
          <w:szCs w:val="24"/>
        </w:rPr>
        <w:t xml:space="preserve">also </w:t>
      </w:r>
      <w:r w:rsidR="00DB7A74" w:rsidDel="000170D5">
        <w:rPr>
          <w:rFonts w:ascii="Times New Roman" w:hAnsi="Times New Roman" w:cs="Times New Roman"/>
          <w:sz w:val="24"/>
          <w:szCs w:val="24"/>
        </w:rPr>
        <w:t xml:space="preserve">have high information asymmetry, with </w:t>
      </w:r>
      <w:r w:rsidR="00DB7A74" w:rsidRPr="00076E77" w:rsidDel="000170D5">
        <w:rPr>
          <w:rFonts w:ascii="Times New Roman" w:hAnsi="Times New Roman" w:cs="Times New Roman"/>
          <w:sz w:val="24"/>
          <w:szCs w:val="24"/>
        </w:rPr>
        <w:t xml:space="preserve">financial </w:t>
      </w:r>
      <w:r w:rsidR="00DB7A74" w:rsidDel="000170D5">
        <w:rPr>
          <w:rFonts w:ascii="Times New Roman" w:hAnsi="Times New Roman" w:cs="Times New Roman"/>
          <w:sz w:val="24"/>
          <w:szCs w:val="24"/>
        </w:rPr>
        <w:t>information being less value relevant than non-</w:t>
      </w:r>
      <w:r w:rsidR="00DB7A74" w:rsidRPr="00076E77" w:rsidDel="000170D5">
        <w:rPr>
          <w:rFonts w:ascii="Times New Roman" w:hAnsi="Times New Roman" w:cs="Times New Roman"/>
          <w:sz w:val="24"/>
          <w:szCs w:val="24"/>
        </w:rPr>
        <w:t xml:space="preserve">financial </w:t>
      </w:r>
      <w:r w:rsidR="00DB7A74" w:rsidDel="000170D5">
        <w:rPr>
          <w:rFonts w:ascii="Times New Roman" w:hAnsi="Times New Roman" w:cs="Times New Roman"/>
          <w:sz w:val="24"/>
          <w:szCs w:val="24"/>
        </w:rPr>
        <w:t xml:space="preserve">information (Ferguson </w:t>
      </w:r>
      <w:r w:rsidR="00DB7A74" w:rsidRPr="005140D7" w:rsidDel="000170D5">
        <w:rPr>
          <w:rFonts w:ascii="Times New Roman" w:hAnsi="Times New Roman" w:cs="Times New Roman"/>
          <w:i/>
          <w:sz w:val="24"/>
          <w:szCs w:val="24"/>
        </w:rPr>
        <w:t>et al</w:t>
      </w:r>
      <w:r w:rsidR="00DB7A74" w:rsidRPr="00BA3C60" w:rsidDel="000170D5">
        <w:rPr>
          <w:rFonts w:ascii="Times New Roman" w:hAnsi="Times New Roman" w:cs="Times New Roman"/>
          <w:sz w:val="24"/>
          <w:szCs w:val="24"/>
        </w:rPr>
        <w:t>.,</w:t>
      </w:r>
      <w:r w:rsidR="00DB7A74" w:rsidDel="000170D5">
        <w:rPr>
          <w:rFonts w:ascii="Times New Roman" w:hAnsi="Times New Roman" w:cs="Times New Roman"/>
          <w:sz w:val="24"/>
          <w:szCs w:val="24"/>
        </w:rPr>
        <w:t xml:space="preserve"> 2011a).</w:t>
      </w:r>
      <w:r w:rsidR="00DB7A74" w:rsidRPr="000E2EE7" w:rsidDel="000170D5">
        <w:rPr>
          <w:rFonts w:ascii="Times New Roman" w:hAnsi="Times New Roman" w:cs="Times New Roman"/>
          <w:sz w:val="24"/>
          <w:szCs w:val="24"/>
        </w:rPr>
        <w:t xml:space="preserve"> </w:t>
      </w:r>
      <w:r w:rsidR="00DB7A74" w:rsidDel="000170D5">
        <w:rPr>
          <w:rFonts w:ascii="Times New Roman" w:hAnsi="Times New Roman" w:cs="Times New Roman"/>
          <w:sz w:val="24"/>
          <w:szCs w:val="24"/>
        </w:rPr>
        <w:t>R</w:t>
      </w:r>
      <w:r w:rsidR="00DB7A74" w:rsidRPr="00076E77" w:rsidDel="000170D5">
        <w:rPr>
          <w:rFonts w:ascii="Times New Roman" w:hAnsi="Times New Roman" w:cs="Times New Roman"/>
          <w:sz w:val="24"/>
          <w:szCs w:val="24"/>
        </w:rPr>
        <w:t xml:space="preserve">esource disclosure is argued to contain </w:t>
      </w:r>
      <w:r w:rsidDel="000170D5">
        <w:rPr>
          <w:rFonts w:ascii="Times New Roman" w:hAnsi="Times New Roman" w:cs="Times New Roman"/>
          <w:sz w:val="24"/>
          <w:szCs w:val="24"/>
        </w:rPr>
        <w:t xml:space="preserve">value relevant and </w:t>
      </w:r>
      <w:r w:rsidR="00DB7A74" w:rsidRPr="00076E77" w:rsidDel="000170D5">
        <w:rPr>
          <w:rFonts w:ascii="Times New Roman" w:hAnsi="Times New Roman" w:cs="Times New Roman"/>
          <w:sz w:val="24"/>
          <w:szCs w:val="24"/>
        </w:rPr>
        <w:t xml:space="preserve">difficult to interpret </w:t>
      </w:r>
      <w:r w:rsidR="00DB7A74" w:rsidRPr="00076E77" w:rsidDel="000170D5">
        <w:rPr>
          <w:rFonts w:ascii="Times New Roman" w:hAnsi="Times New Roman" w:cs="Times New Roman"/>
          <w:sz w:val="24"/>
          <w:szCs w:val="24"/>
        </w:rPr>
        <w:lastRenderedPageBreak/>
        <w:t>non-financial information, such as metal purity, drilling intercepts and geochemical composition (</w:t>
      </w:r>
      <w:r w:rsidR="00DB7A74" w:rsidDel="000170D5">
        <w:rPr>
          <w:rFonts w:ascii="Times New Roman" w:hAnsi="Times New Roman" w:cs="Times New Roman"/>
          <w:sz w:val="24"/>
          <w:szCs w:val="24"/>
        </w:rPr>
        <w:t xml:space="preserve">Bird </w:t>
      </w:r>
      <w:r w:rsidR="00DB7A74" w:rsidRPr="005140D7" w:rsidDel="000170D5">
        <w:rPr>
          <w:rFonts w:ascii="Times New Roman" w:hAnsi="Times New Roman" w:cs="Times New Roman"/>
          <w:i/>
          <w:sz w:val="24"/>
          <w:szCs w:val="24"/>
        </w:rPr>
        <w:t>et al</w:t>
      </w:r>
      <w:r w:rsidR="00DB7A74" w:rsidRPr="00BA3C60" w:rsidDel="000170D5">
        <w:rPr>
          <w:rFonts w:ascii="Times New Roman" w:hAnsi="Times New Roman" w:cs="Times New Roman"/>
          <w:sz w:val="24"/>
          <w:szCs w:val="24"/>
        </w:rPr>
        <w:t>.,</w:t>
      </w:r>
      <w:r w:rsidR="00DB7A74" w:rsidDel="000170D5">
        <w:rPr>
          <w:rFonts w:ascii="Times New Roman" w:hAnsi="Times New Roman" w:cs="Times New Roman"/>
          <w:sz w:val="24"/>
          <w:szCs w:val="24"/>
        </w:rPr>
        <w:t xml:space="preserve"> 2013</w:t>
      </w:r>
      <w:r w:rsidDel="000170D5">
        <w:rPr>
          <w:rFonts w:ascii="Times New Roman" w:hAnsi="Times New Roman" w:cs="Times New Roman"/>
          <w:sz w:val="24"/>
          <w:szCs w:val="24"/>
        </w:rPr>
        <w:t>)</w:t>
      </w:r>
      <w:r w:rsidR="00D5784E" w:rsidDel="000170D5">
        <w:rPr>
          <w:rFonts w:ascii="Times New Roman" w:hAnsi="Times New Roman" w:cs="Times New Roman"/>
          <w:sz w:val="24"/>
          <w:szCs w:val="24"/>
        </w:rPr>
        <w:t>.</w:t>
      </w:r>
      <w:r w:rsidR="00DB7A74" w:rsidDel="000170D5">
        <w:rPr>
          <w:rFonts w:ascii="Times New Roman" w:hAnsi="Times New Roman" w:cs="Times New Roman"/>
          <w:sz w:val="24"/>
          <w:szCs w:val="24"/>
        </w:rPr>
        <w:t xml:space="preserve"> </w:t>
      </w:r>
      <w:r w:rsidDel="000170D5">
        <w:rPr>
          <w:rFonts w:ascii="Times New Roman" w:hAnsi="Times New Roman" w:cs="Times New Roman"/>
          <w:sz w:val="24"/>
          <w:szCs w:val="24"/>
        </w:rPr>
        <w:t xml:space="preserve">These differences </w:t>
      </w:r>
      <w:r w:rsidR="00DB7A74" w:rsidDel="000170D5">
        <w:rPr>
          <w:rFonts w:ascii="Times New Roman" w:hAnsi="Times New Roman" w:cs="Times New Roman"/>
          <w:sz w:val="24"/>
          <w:szCs w:val="24"/>
        </w:rPr>
        <w:t xml:space="preserve">result in resource firms being </w:t>
      </w:r>
      <w:r w:rsidR="00DB7A74" w:rsidRPr="00B61365" w:rsidDel="000170D5">
        <w:rPr>
          <w:rFonts w:ascii="Times New Roman" w:hAnsi="Times New Roman" w:cs="Times New Roman"/>
          <w:sz w:val="24"/>
          <w:szCs w:val="24"/>
        </w:rPr>
        <w:t xml:space="preserve">likely to </w:t>
      </w:r>
      <w:r w:rsidR="00DB7A74" w:rsidDel="000170D5">
        <w:rPr>
          <w:rFonts w:ascii="Times New Roman" w:hAnsi="Times New Roman" w:cs="Times New Roman"/>
          <w:sz w:val="24"/>
          <w:szCs w:val="24"/>
        </w:rPr>
        <w:t>voluntarily disclose</w:t>
      </w:r>
      <w:r w:rsidR="00DB7A74" w:rsidRPr="00B61365" w:rsidDel="000170D5">
        <w:rPr>
          <w:rFonts w:ascii="Times New Roman" w:hAnsi="Times New Roman" w:cs="Times New Roman"/>
          <w:sz w:val="24"/>
          <w:szCs w:val="24"/>
        </w:rPr>
        <w:t xml:space="preserve"> </w:t>
      </w:r>
      <w:r w:rsidR="00DB7A74" w:rsidDel="000170D5">
        <w:rPr>
          <w:rFonts w:ascii="Times New Roman" w:hAnsi="Times New Roman" w:cs="Times New Roman"/>
          <w:sz w:val="24"/>
          <w:szCs w:val="24"/>
        </w:rPr>
        <w:t>information</w:t>
      </w:r>
      <w:r w:rsidR="00DB7A74" w:rsidRPr="00B61365" w:rsidDel="000170D5">
        <w:rPr>
          <w:rFonts w:ascii="Times New Roman" w:hAnsi="Times New Roman" w:cs="Times New Roman"/>
          <w:sz w:val="24"/>
          <w:szCs w:val="24"/>
        </w:rPr>
        <w:t xml:space="preserve"> to explain non-financial information</w:t>
      </w:r>
      <w:r w:rsidR="00DB7A74" w:rsidDel="000170D5">
        <w:rPr>
          <w:rFonts w:ascii="Times New Roman" w:hAnsi="Times New Roman" w:cs="Times New Roman"/>
          <w:sz w:val="24"/>
          <w:szCs w:val="24"/>
        </w:rPr>
        <w:t xml:space="preserve"> through a variety of disclosure outlets</w:t>
      </w:r>
      <w:r w:rsidR="00A31FA4">
        <w:rPr>
          <w:rFonts w:ascii="Times New Roman" w:hAnsi="Times New Roman" w:cs="Times New Roman"/>
          <w:sz w:val="24"/>
          <w:szCs w:val="24"/>
        </w:rPr>
        <w:t>.</w:t>
      </w:r>
      <w:r w:rsidR="00F1417C">
        <w:rPr>
          <w:rFonts w:ascii="Times New Roman" w:hAnsi="Times New Roman" w:cs="Times New Roman"/>
          <w:sz w:val="24"/>
          <w:szCs w:val="24"/>
        </w:rPr>
        <w:t xml:space="preserve"> </w:t>
      </w:r>
    </w:p>
    <w:p w14:paraId="58061608" w14:textId="7A6818A2" w:rsidR="00A31FA4" w:rsidRDefault="00F1417C" w:rsidP="003229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a</w:t>
      </w:r>
      <w:r w:rsidR="004B690F">
        <w:rPr>
          <w:rFonts w:ascii="Times New Roman" w:hAnsi="Times New Roman" w:cs="Times New Roman"/>
          <w:sz w:val="24"/>
          <w:szCs w:val="24"/>
        </w:rPr>
        <w:t xml:space="preserve">s resource firms are typically </w:t>
      </w:r>
      <w:r w:rsidR="00BE7C2A">
        <w:rPr>
          <w:rFonts w:ascii="Times New Roman" w:hAnsi="Times New Roman" w:cs="Times New Roman"/>
          <w:sz w:val="24"/>
          <w:szCs w:val="24"/>
        </w:rPr>
        <w:t xml:space="preserve">located far from money markets and are </w:t>
      </w:r>
      <w:r w:rsidR="004B690F">
        <w:rPr>
          <w:rFonts w:ascii="Times New Roman" w:hAnsi="Times New Roman" w:cs="Times New Roman"/>
          <w:sz w:val="24"/>
          <w:szCs w:val="24"/>
        </w:rPr>
        <w:t>less well known, they may also have greater incentives</w:t>
      </w:r>
      <w:r w:rsidR="00A31FA4">
        <w:rPr>
          <w:rFonts w:ascii="Times New Roman" w:hAnsi="Times New Roman" w:cs="Times New Roman"/>
          <w:sz w:val="24"/>
          <w:szCs w:val="24"/>
        </w:rPr>
        <w:t xml:space="preserve"> to increase the dissemination of publically available information to draw greater attention to firm news or clarify existing information content beyond an ASX announcement</w:t>
      </w:r>
      <w:r w:rsidR="004B690F">
        <w:rPr>
          <w:rFonts w:ascii="Times New Roman" w:hAnsi="Times New Roman" w:cs="Times New Roman"/>
          <w:sz w:val="24"/>
          <w:szCs w:val="24"/>
        </w:rPr>
        <w:t xml:space="preserve">. </w:t>
      </w:r>
      <w:r w:rsidR="00A31FA4">
        <w:rPr>
          <w:rFonts w:ascii="Times New Roman" w:hAnsi="Times New Roman" w:cs="Times New Roman"/>
          <w:sz w:val="24"/>
          <w:szCs w:val="24"/>
        </w:rPr>
        <w:t xml:space="preserve">All three disclosure outlets we study may contain more easy to understand information than a standard ASX announcement </w:t>
      </w:r>
      <w:r w:rsidR="00A31FA4" w:rsidRPr="00A31FA4">
        <w:rPr>
          <w:rFonts w:ascii="Times New Roman" w:hAnsi="Times New Roman" w:cs="Times New Roman"/>
          <w:i/>
          <w:sz w:val="24"/>
          <w:szCs w:val="24"/>
        </w:rPr>
        <w:t>per se</w:t>
      </w:r>
      <w:r w:rsidR="00A31FA4">
        <w:rPr>
          <w:rFonts w:ascii="Times New Roman" w:hAnsi="Times New Roman" w:cs="Times New Roman"/>
          <w:sz w:val="24"/>
          <w:szCs w:val="24"/>
        </w:rPr>
        <w:t>. Purchased</w:t>
      </w:r>
      <w:r w:rsidR="00A31FA4" w:rsidRPr="003229B3">
        <w:rPr>
          <w:rFonts w:ascii="Times New Roman" w:hAnsi="Times New Roman" w:cs="Times New Roman"/>
          <w:sz w:val="24"/>
          <w:szCs w:val="24"/>
        </w:rPr>
        <w:t xml:space="preserve"> analyst reports written by Goode, </w:t>
      </w:r>
      <w:r w:rsidR="00A31FA4">
        <w:rPr>
          <w:rFonts w:ascii="Times New Roman" w:hAnsi="Times New Roman" w:cs="Times New Roman"/>
          <w:sz w:val="24"/>
          <w:szCs w:val="24"/>
        </w:rPr>
        <w:t>apply</w:t>
      </w:r>
      <w:r w:rsidR="00A31FA4" w:rsidRPr="003229B3">
        <w:rPr>
          <w:rFonts w:ascii="Times New Roman" w:hAnsi="Times New Roman" w:cs="Times New Roman"/>
          <w:sz w:val="24"/>
          <w:szCs w:val="24"/>
        </w:rPr>
        <w:t xml:space="preserve"> his </w:t>
      </w:r>
      <w:r w:rsidR="00A31FA4">
        <w:rPr>
          <w:rFonts w:ascii="Times New Roman" w:hAnsi="Times New Roman" w:cs="Times New Roman"/>
          <w:sz w:val="24"/>
          <w:szCs w:val="24"/>
        </w:rPr>
        <w:t>specialised</w:t>
      </w:r>
      <w:r w:rsidR="00A31FA4" w:rsidRPr="003229B3">
        <w:rPr>
          <w:rFonts w:ascii="Times New Roman" w:hAnsi="Times New Roman" w:cs="Times New Roman"/>
          <w:sz w:val="24"/>
          <w:szCs w:val="24"/>
        </w:rPr>
        <w:t xml:space="preserve"> knowledge to create </w:t>
      </w:r>
      <w:r w:rsidR="00A31FA4">
        <w:rPr>
          <w:rFonts w:ascii="Times New Roman" w:hAnsi="Times New Roman" w:cs="Times New Roman"/>
          <w:sz w:val="24"/>
          <w:szCs w:val="24"/>
        </w:rPr>
        <w:t xml:space="preserve">a report that </w:t>
      </w:r>
      <w:r w:rsidR="00A31FA4">
        <w:rPr>
          <w:rFonts w:ascii="Times New Roman" w:hAnsi="Times New Roman"/>
          <w:sz w:val="24"/>
          <w:szCs w:val="24"/>
        </w:rPr>
        <w:t>contains an ‘expert’ opinion. Investor presentations are typically the CEOs summary of the most important information about the company and present the opportunity for questioning. Open Briefings contain information in a question and answer format that may allow users to more easily find the information they are searching for.</w:t>
      </w:r>
    </w:p>
    <w:p w14:paraId="31194EA0" w14:textId="77777777" w:rsidR="00AF418D" w:rsidRDefault="00AF418D" w:rsidP="0027185D">
      <w:pPr>
        <w:spacing w:after="0" w:line="480" w:lineRule="auto"/>
        <w:ind w:firstLine="720"/>
        <w:jc w:val="both"/>
        <w:rPr>
          <w:rFonts w:ascii="Times New Roman" w:hAnsi="Times New Roman" w:cs="Times New Roman"/>
          <w:sz w:val="24"/>
          <w:szCs w:val="24"/>
        </w:rPr>
      </w:pPr>
    </w:p>
    <w:p w14:paraId="2EA83927" w14:textId="77777777" w:rsidR="00BA3C60" w:rsidRPr="00561DAB" w:rsidRDefault="00BA3C60" w:rsidP="00C947B7">
      <w:pPr>
        <w:spacing w:after="0" w:line="480" w:lineRule="auto"/>
        <w:jc w:val="both"/>
        <w:rPr>
          <w:rFonts w:ascii="Times New Roman" w:hAnsi="Times New Roman" w:cs="Times New Roman"/>
          <w:sz w:val="24"/>
          <w:szCs w:val="24"/>
        </w:rPr>
      </w:pPr>
      <w:r w:rsidRPr="00561DAB">
        <w:rPr>
          <w:rFonts w:ascii="Times New Roman" w:hAnsi="Times New Roman" w:cs="Times New Roman"/>
          <w:i/>
          <w:sz w:val="24"/>
          <w:szCs w:val="24"/>
        </w:rPr>
        <w:t>3.3 Research design</w:t>
      </w:r>
    </w:p>
    <w:p w14:paraId="06A54B23" w14:textId="77777777" w:rsidR="00BA3C60" w:rsidRPr="00561DAB" w:rsidRDefault="00BA3C60" w:rsidP="002E4DDA">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3.3.1 Determinants of disclosure outlet choice</w:t>
      </w:r>
    </w:p>
    <w:p w14:paraId="0E403983" w14:textId="15A83781" w:rsidR="00BA3C60" w:rsidRDefault="00BA3C60" w:rsidP="004D363F">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test the determinants of disclosure outlet choice, we first compare the firm characteristics of purchased analyst research, investor presentation and Open Briefing observations using Student </w:t>
      </w:r>
      <w:r w:rsidRPr="0082156B">
        <w:rPr>
          <w:rFonts w:ascii="Times New Roman" w:hAnsi="Times New Roman" w:cs="Times New Roman"/>
          <w:i/>
          <w:sz w:val="24"/>
          <w:szCs w:val="24"/>
        </w:rPr>
        <w:t>t</w:t>
      </w:r>
      <w:r>
        <w:rPr>
          <w:rFonts w:ascii="Times New Roman" w:hAnsi="Times New Roman" w:cs="Times New Roman"/>
          <w:sz w:val="24"/>
          <w:szCs w:val="24"/>
        </w:rPr>
        <w:t xml:space="preserve">-tests and </w:t>
      </w:r>
      <w:r w:rsidRPr="00450B4F">
        <w:rPr>
          <w:rFonts w:ascii="Times New Roman" w:hAnsi="Times New Roman" w:cs="Times New Roman"/>
          <w:sz w:val="24"/>
          <w:szCs w:val="24"/>
        </w:rPr>
        <w:t xml:space="preserve">Mann-Whitney </w:t>
      </w:r>
      <w:r w:rsidRPr="00561DAB">
        <w:rPr>
          <w:rFonts w:ascii="Times New Roman" w:hAnsi="Times New Roman" w:cs="Times New Roman"/>
          <w:i/>
          <w:sz w:val="24"/>
          <w:szCs w:val="24"/>
        </w:rPr>
        <w:t>U</w:t>
      </w:r>
      <w:r w:rsidRPr="00450B4F">
        <w:rPr>
          <w:rFonts w:ascii="Times New Roman" w:hAnsi="Times New Roman" w:cs="Times New Roman"/>
          <w:sz w:val="24"/>
          <w:szCs w:val="24"/>
        </w:rPr>
        <w:t xml:space="preserve"> rank tests</w:t>
      </w:r>
      <w:r w:rsidR="00630A6E">
        <w:rPr>
          <w:rFonts w:ascii="Times New Roman" w:hAnsi="Times New Roman" w:cs="Times New Roman"/>
          <w:sz w:val="24"/>
          <w:szCs w:val="24"/>
        </w:rPr>
        <w:t xml:space="preserve"> for continuous variables and the </w:t>
      </w:r>
      <w:r w:rsidR="00630A6E" w:rsidRPr="00630A6E">
        <w:rPr>
          <w:rFonts w:ascii="Times New Roman" w:hAnsi="Times New Roman" w:cs="Times New Roman"/>
          <w:i/>
          <w:sz w:val="24"/>
          <w:szCs w:val="24"/>
        </w:rPr>
        <w:t>Chi</w:t>
      </w:r>
      <w:r w:rsidR="00630A6E">
        <w:rPr>
          <w:rFonts w:ascii="Times New Roman" w:hAnsi="Times New Roman" w:cs="Times New Roman"/>
          <w:sz w:val="24"/>
          <w:szCs w:val="24"/>
        </w:rPr>
        <w:t>-square test for binary variable</w:t>
      </w:r>
      <w:r w:rsidR="00BE7C2A">
        <w:rPr>
          <w:rFonts w:ascii="Times New Roman" w:hAnsi="Times New Roman" w:cs="Times New Roman"/>
          <w:sz w:val="24"/>
          <w:szCs w:val="24"/>
        </w:rPr>
        <w:t>s</w:t>
      </w:r>
      <w:r w:rsidRPr="00450B4F">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450B4F">
        <w:rPr>
          <w:rFonts w:ascii="Times New Roman" w:hAnsi="Times New Roman" w:cs="Times New Roman"/>
          <w:sz w:val="24"/>
          <w:szCs w:val="24"/>
        </w:rPr>
        <w:t xml:space="preserve"> </w:t>
      </w:r>
      <w:r>
        <w:rPr>
          <w:rFonts w:ascii="Times New Roman" w:hAnsi="Times New Roman" w:cs="Times New Roman"/>
          <w:sz w:val="24"/>
          <w:szCs w:val="24"/>
        </w:rPr>
        <w:t>Next, we run a logit regression on the firm’s choice to use each disclosure option. The model is specified as:</w:t>
      </w:r>
    </w:p>
    <w:p w14:paraId="50EB081E" w14:textId="290E1FBC" w:rsidR="00BA3C60" w:rsidRDefault="00B25C69" w:rsidP="00126C44">
      <w:pPr>
        <w:spacing w:after="0" w:line="480" w:lineRule="auto"/>
        <w:ind w:firstLine="720"/>
        <w:jc w:val="both"/>
        <w:rPr>
          <w:rFonts w:ascii="Times New Roman" w:eastAsiaTheme="minorEastAsia" w:hAnsi="Times New Roman" w:cs="Times New Roman"/>
          <w:sz w:val="24"/>
          <w:szCs w:val="24"/>
          <w:lang w:val="en-NZ"/>
        </w:rPr>
      </w:pP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Disclosure Outlet=β</m:t>
            </m:r>
          </m:e>
          <m:sub>
            <m:r>
              <w:rPr>
                <w:rFonts w:ascii="Cambria Math" w:hAnsi="Cambria Math" w:cs="Times New Roman"/>
                <w:sz w:val="24"/>
                <w:szCs w:val="24"/>
                <w:lang w:val="en-NZ"/>
              </w:rPr>
              <m:t>0</m:t>
            </m:r>
          </m:sub>
        </m:sSub>
        <m:r>
          <w:rPr>
            <w:rFonts w:ascii="Cambria Math" w:hAnsi="Cambria Math" w:cs="Times New Roman"/>
            <w:sz w:val="24"/>
            <w:szCs w:val="24"/>
            <w:lang w:val="en-NZ"/>
          </w:rPr>
          <m:t>+</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1</m:t>
            </m:r>
          </m:sub>
        </m:sSub>
        <m:r>
          <w:rPr>
            <w:rFonts w:ascii="Cambria Math" w:hAnsi="Cambria Math" w:cs="Times New Roman"/>
            <w:sz w:val="24"/>
            <w:szCs w:val="24"/>
            <w:lang w:val="en-NZ"/>
          </w:rPr>
          <m:t>LnAge+</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2</m:t>
            </m:r>
          </m:sub>
        </m:sSub>
        <m:r>
          <w:rPr>
            <w:rFonts w:ascii="Cambria Math" w:hAnsi="Cambria Math" w:cs="Times New Roman"/>
            <w:sz w:val="24"/>
            <w:szCs w:val="24"/>
            <w:lang w:val="en-NZ"/>
          </w:rPr>
          <m:t>Top20+</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3</m:t>
            </m:r>
          </m:sub>
        </m:sSub>
        <m:r>
          <w:rPr>
            <w:rFonts w:ascii="Cambria Math" w:hAnsi="Cambria Math" w:cs="Times New Roman"/>
            <w:sz w:val="24"/>
            <w:szCs w:val="24"/>
            <w:lang w:val="en-NZ"/>
          </w:rPr>
          <m:t>LnMCap+</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4</m:t>
            </m:r>
          </m:sub>
        </m:sSub>
        <m:r>
          <w:rPr>
            <w:rFonts w:ascii="Cambria Math" w:hAnsi="Cambria Math" w:cs="Times New Roman"/>
            <w:sz w:val="24"/>
            <w:szCs w:val="24"/>
            <w:lang w:val="en-NZ"/>
          </w:rPr>
          <m:t>AnlCov+</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5</m:t>
            </m:r>
          </m:sub>
        </m:sSub>
        <m:r>
          <w:rPr>
            <w:rFonts w:ascii="Cambria Math" w:hAnsi="Cambria Math" w:cs="Times New Roman"/>
            <w:sz w:val="24"/>
            <w:szCs w:val="24"/>
            <w:lang w:val="en-NZ"/>
          </w:rPr>
          <m:t>CFO_Dum+</m:t>
        </m:r>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6</m:t>
            </m:r>
          </m:sub>
        </m:sSub>
        <m:r>
          <w:rPr>
            <w:rFonts w:ascii="Cambria Math" w:hAnsi="Cambria Math" w:cs="Times New Roman"/>
            <w:sz w:val="24"/>
            <w:szCs w:val="24"/>
            <w:lang w:val="en-NZ"/>
          </w:rPr>
          <m:t>TLTA+ε</m:t>
        </m:r>
      </m:oMath>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r>
      <w:r w:rsidR="00BA3C60">
        <w:rPr>
          <w:rFonts w:ascii="Times New Roman" w:eastAsiaTheme="minorEastAsia" w:hAnsi="Times New Roman" w:cs="Times New Roman"/>
          <w:sz w:val="24"/>
          <w:szCs w:val="24"/>
          <w:lang w:val="en-NZ"/>
        </w:rPr>
        <w:tab/>
        <w:t>(1)</w:t>
      </w:r>
    </w:p>
    <w:p w14:paraId="63A34335" w14:textId="77777777" w:rsidR="00BA3C60" w:rsidRDefault="00BA3C60" w:rsidP="007D0A3E">
      <w:pPr>
        <w:tabs>
          <w:tab w:val="left" w:pos="680"/>
        </w:tabs>
        <w:spacing w:after="0" w:line="480" w:lineRule="auto"/>
        <w:jc w:val="both"/>
        <w:rPr>
          <w:rFonts w:ascii="Times New Roman" w:hAnsi="Times New Roman" w:cs="Times New Roman"/>
          <w:sz w:val="24"/>
          <w:szCs w:val="24"/>
          <w:lang w:val="en-NZ"/>
        </w:rPr>
      </w:pPr>
    </w:p>
    <w:p w14:paraId="09564011" w14:textId="77777777" w:rsidR="00BA3C60" w:rsidRDefault="00BA3C60" w:rsidP="007D0A3E">
      <w:pPr>
        <w:tabs>
          <w:tab w:val="left" w:pos="6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NZ"/>
        </w:rPr>
        <w:t xml:space="preserve">Where the dependent variable </w:t>
      </w:r>
      <w:r w:rsidRPr="0021144C">
        <w:rPr>
          <w:rFonts w:ascii="Times New Roman" w:hAnsi="Times New Roman" w:cs="Times New Roman"/>
          <w:i/>
          <w:sz w:val="24"/>
          <w:szCs w:val="24"/>
          <w:lang w:val="en-NZ"/>
        </w:rPr>
        <w:t>Disclosure Outlet</w:t>
      </w:r>
      <w:r>
        <w:rPr>
          <w:rFonts w:ascii="Times New Roman" w:hAnsi="Times New Roman" w:cs="Times New Roman"/>
          <w:sz w:val="24"/>
          <w:szCs w:val="24"/>
          <w:lang w:val="en-NZ"/>
        </w:rPr>
        <w:t xml:space="preserve"> is equal to one of:</w:t>
      </w:r>
    </w:p>
    <w:p w14:paraId="4CE490A9" w14:textId="77777777" w:rsidR="00BA3C60" w:rsidRPr="00997C9E" w:rsidRDefault="00BA3C60" w:rsidP="007D0A3E">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PAR</w:t>
      </w:r>
      <w:r>
        <w:rPr>
          <w:rFonts w:ascii="Times New Roman" w:hAnsi="Times New Roman" w:cs="Times New Roman"/>
          <w:sz w:val="24"/>
          <w:szCs w:val="24"/>
        </w:rPr>
        <w:t xml:space="preserve"> is a dummy variable equal to one if firm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purchased analyst research at time </w:t>
      </w:r>
      <w:r>
        <w:rPr>
          <w:rFonts w:ascii="Times New Roman" w:hAnsi="Times New Roman" w:cs="Times New Roman"/>
          <w:i/>
          <w:sz w:val="24"/>
          <w:szCs w:val="24"/>
        </w:rPr>
        <w:t>t.</w:t>
      </w:r>
    </w:p>
    <w:p w14:paraId="778E7DFB" w14:textId="77777777" w:rsidR="00BA3C60" w:rsidRPr="00997C9E" w:rsidRDefault="00BA3C60" w:rsidP="007D0A3E">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IP</w:t>
      </w:r>
      <w:r>
        <w:rPr>
          <w:rFonts w:ascii="Times New Roman" w:hAnsi="Times New Roman" w:cs="Times New Roman"/>
          <w:sz w:val="24"/>
          <w:szCs w:val="24"/>
        </w:rPr>
        <w:t xml:space="preserve"> is a dummy variable equal to one if firm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held an investor presentation at time </w:t>
      </w:r>
      <w:r>
        <w:rPr>
          <w:rFonts w:ascii="Times New Roman" w:hAnsi="Times New Roman" w:cs="Times New Roman"/>
          <w:i/>
          <w:sz w:val="24"/>
          <w:szCs w:val="24"/>
        </w:rPr>
        <w:t>t.</w:t>
      </w:r>
    </w:p>
    <w:p w14:paraId="2FE8F553" w14:textId="171F1C30" w:rsidR="00F2021D" w:rsidRPr="00F2021D" w:rsidRDefault="00BA3C60" w:rsidP="00F2021D">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OB</w:t>
      </w:r>
      <w:r>
        <w:rPr>
          <w:rFonts w:ascii="Times New Roman" w:hAnsi="Times New Roman" w:cs="Times New Roman"/>
          <w:sz w:val="24"/>
          <w:szCs w:val="24"/>
        </w:rPr>
        <w:t xml:space="preserve"> is</w:t>
      </w:r>
      <w:r w:rsidRPr="0008627A">
        <w:rPr>
          <w:rFonts w:ascii="Times New Roman" w:hAnsi="Times New Roman" w:cs="Times New Roman"/>
          <w:sz w:val="24"/>
          <w:szCs w:val="24"/>
        </w:rPr>
        <w:t xml:space="preserve"> </w:t>
      </w:r>
      <w:r>
        <w:rPr>
          <w:rFonts w:ascii="Times New Roman" w:hAnsi="Times New Roman" w:cs="Times New Roman"/>
          <w:sz w:val="24"/>
          <w:szCs w:val="24"/>
        </w:rPr>
        <w:t xml:space="preserve">a dummy variable equal to one if firm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held an Open Briefing at time </w:t>
      </w:r>
      <w:r w:rsidR="00F2021D">
        <w:rPr>
          <w:rFonts w:ascii="Times New Roman" w:hAnsi="Times New Roman" w:cs="Times New Roman"/>
          <w:i/>
          <w:sz w:val="24"/>
          <w:szCs w:val="24"/>
        </w:rPr>
        <w:t>t</w:t>
      </w:r>
    </w:p>
    <w:p w14:paraId="273BAFCD" w14:textId="35998944" w:rsidR="00BA3C60" w:rsidRPr="002073F2" w:rsidRDefault="00BA3C60" w:rsidP="00221E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test Hypothesis 1a, whether firms with higher information acquisition costs are more likely to disclose via purchased analyst research, we run the model with </w:t>
      </w:r>
      <w:r w:rsidRPr="00E62DA5">
        <w:rPr>
          <w:rFonts w:ascii="Times New Roman" w:hAnsi="Times New Roman" w:cs="Times New Roman"/>
          <w:i/>
          <w:sz w:val="24"/>
          <w:szCs w:val="24"/>
        </w:rPr>
        <w:t>PAR</w:t>
      </w:r>
      <w:r>
        <w:rPr>
          <w:rFonts w:ascii="Times New Roman" w:hAnsi="Times New Roman" w:cs="Times New Roman"/>
          <w:sz w:val="24"/>
          <w:szCs w:val="24"/>
        </w:rPr>
        <w:t xml:space="preserve"> as the dependent variable. The test variables </w:t>
      </w:r>
      <w:proofErr w:type="spellStart"/>
      <w:r w:rsidRPr="009D26B5">
        <w:rPr>
          <w:rFonts w:ascii="Times New Roman" w:hAnsi="Times New Roman" w:cs="Times New Roman"/>
          <w:i/>
          <w:sz w:val="24"/>
          <w:szCs w:val="24"/>
        </w:rPr>
        <w:t>LnAge</w:t>
      </w:r>
      <w:proofErr w:type="spellEnd"/>
      <w:r>
        <w:rPr>
          <w:rFonts w:ascii="Times New Roman" w:hAnsi="Times New Roman" w:cs="Times New Roman"/>
          <w:sz w:val="24"/>
          <w:szCs w:val="24"/>
        </w:rPr>
        <w:t>,</w:t>
      </w:r>
      <w:r w:rsidRPr="00126C44">
        <w:rPr>
          <w:rFonts w:ascii="Times New Roman" w:hAnsi="Times New Roman" w:cs="Times New Roman"/>
          <w:i/>
          <w:sz w:val="24"/>
          <w:szCs w:val="24"/>
        </w:rPr>
        <w:t xml:space="preserve"> </w:t>
      </w:r>
      <w:r w:rsidRPr="00393246">
        <w:rPr>
          <w:rFonts w:ascii="Times New Roman" w:hAnsi="Times New Roman" w:cs="Times New Roman"/>
          <w:i/>
          <w:sz w:val="24"/>
          <w:szCs w:val="24"/>
        </w:rPr>
        <w:t>Top20</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450B4F">
        <w:rPr>
          <w:rFonts w:ascii="Times New Roman" w:hAnsi="Times New Roman" w:cs="Times New Roman"/>
          <w:i/>
          <w:sz w:val="24"/>
          <w:szCs w:val="24"/>
        </w:rPr>
        <w:t>LnMCap</w:t>
      </w:r>
      <w:proofErr w:type="spellEnd"/>
      <w:r>
        <w:rPr>
          <w:rFonts w:ascii="Times New Roman" w:hAnsi="Times New Roman" w:cs="Times New Roman"/>
          <w:i/>
          <w:sz w:val="24"/>
          <w:szCs w:val="24"/>
        </w:rPr>
        <w:t xml:space="preserve"> and </w:t>
      </w:r>
      <w:proofErr w:type="spellStart"/>
      <w:r w:rsidRPr="00842DF4">
        <w:rPr>
          <w:rFonts w:ascii="Times New Roman" w:hAnsi="Times New Roman" w:cs="Times New Roman"/>
          <w:i/>
          <w:sz w:val="24"/>
          <w:szCs w:val="24"/>
        </w:rPr>
        <w:t>AnlCov</w:t>
      </w:r>
      <w:proofErr w:type="spellEnd"/>
      <w:r>
        <w:rPr>
          <w:rFonts w:ascii="Times New Roman" w:hAnsi="Times New Roman" w:cs="Times New Roman"/>
          <w:i/>
          <w:sz w:val="24"/>
          <w:szCs w:val="24"/>
        </w:rPr>
        <w:t xml:space="preserve"> </w:t>
      </w:r>
      <w:r w:rsidRPr="00B84512">
        <w:rPr>
          <w:rFonts w:ascii="Times New Roman" w:hAnsi="Times New Roman" w:cs="Times New Roman"/>
          <w:sz w:val="24"/>
          <w:szCs w:val="24"/>
        </w:rPr>
        <w:t xml:space="preserve">are </w:t>
      </w:r>
      <w:r>
        <w:rPr>
          <w:rFonts w:ascii="Times New Roman" w:hAnsi="Times New Roman" w:cs="Times New Roman"/>
          <w:sz w:val="24"/>
          <w:szCs w:val="24"/>
        </w:rPr>
        <w:t>used to estimate the firm’s information acquisition costs</w:t>
      </w:r>
      <w:r w:rsidR="00047484">
        <w:rPr>
          <w:rFonts w:ascii="Times New Roman" w:hAnsi="Times New Roman" w:cs="Times New Roman"/>
          <w:sz w:val="24"/>
          <w:szCs w:val="24"/>
        </w:rPr>
        <w:t>.</w:t>
      </w:r>
    </w:p>
    <w:p w14:paraId="37D41A5F" w14:textId="77777777" w:rsidR="00BA3C60" w:rsidRPr="00E04977" w:rsidRDefault="00BA3C60" w:rsidP="00221E13">
      <w:pPr>
        <w:spacing w:after="0" w:line="480" w:lineRule="auto"/>
        <w:ind w:firstLine="720"/>
        <w:jc w:val="both"/>
        <w:rPr>
          <w:rFonts w:ascii="Times New Roman" w:hAnsi="Times New Roman" w:cs="Times New Roman"/>
          <w:sz w:val="24"/>
          <w:szCs w:val="24"/>
        </w:rPr>
      </w:pPr>
      <w:proofErr w:type="spellStart"/>
      <w:r w:rsidRPr="009D26B5">
        <w:rPr>
          <w:rFonts w:ascii="Times New Roman" w:hAnsi="Times New Roman" w:cs="Times New Roman"/>
          <w:i/>
          <w:sz w:val="24"/>
          <w:szCs w:val="24"/>
        </w:rPr>
        <w:t>LnAge</w:t>
      </w:r>
      <w:proofErr w:type="spellEnd"/>
      <w:r w:rsidRPr="009D26B5">
        <w:rPr>
          <w:rFonts w:ascii="Times New Roman" w:hAnsi="Times New Roman" w:cs="Times New Roman"/>
          <w:i/>
          <w:sz w:val="24"/>
          <w:szCs w:val="24"/>
        </w:rPr>
        <w:t xml:space="preserve"> </w:t>
      </w:r>
      <w:r w:rsidRPr="009D26B5">
        <w:rPr>
          <w:rFonts w:ascii="Times New Roman" w:hAnsi="Times New Roman" w:cs="Times New Roman"/>
          <w:sz w:val="24"/>
          <w:szCs w:val="24"/>
        </w:rPr>
        <w:t xml:space="preserve">is the natural logarithm of the age of the firm in days at time </w:t>
      </w:r>
      <w:r w:rsidRPr="009D26B5">
        <w:rPr>
          <w:rFonts w:ascii="Times New Roman" w:hAnsi="Times New Roman" w:cs="Times New Roman"/>
          <w:i/>
          <w:sz w:val="24"/>
          <w:szCs w:val="24"/>
        </w:rPr>
        <w:t>t</w:t>
      </w:r>
      <w:r>
        <w:rPr>
          <w:rFonts w:ascii="Times New Roman" w:hAnsi="Times New Roman" w:cs="Times New Roman"/>
          <w:sz w:val="24"/>
          <w:szCs w:val="24"/>
        </w:rPr>
        <w:t xml:space="preserve"> from its date of </w:t>
      </w:r>
      <w:r w:rsidRPr="009D26B5">
        <w:rPr>
          <w:rFonts w:ascii="Times New Roman" w:hAnsi="Times New Roman" w:cs="Times New Roman"/>
          <w:sz w:val="24"/>
          <w:szCs w:val="24"/>
        </w:rPr>
        <w:t xml:space="preserve">listing. </w:t>
      </w:r>
      <w:r>
        <w:rPr>
          <w:rFonts w:ascii="Times New Roman" w:hAnsi="Times New Roman" w:cs="Times New Roman"/>
          <w:sz w:val="24"/>
          <w:szCs w:val="24"/>
          <w:lang w:val="en-NZ"/>
        </w:rPr>
        <w:t>Y</w:t>
      </w:r>
      <w:r w:rsidRPr="00862E8B">
        <w:rPr>
          <w:rFonts w:ascii="Times New Roman" w:hAnsi="Times New Roman" w:cs="Times New Roman"/>
          <w:sz w:val="24"/>
          <w:szCs w:val="24"/>
          <w:lang w:val="en-NZ"/>
        </w:rPr>
        <w:t>ounger firms potentially have less informative accounting information, have more of their value tied up in future growth</w:t>
      </w:r>
      <w:r>
        <w:rPr>
          <w:rFonts w:ascii="Times New Roman" w:hAnsi="Times New Roman" w:cs="Times New Roman"/>
          <w:sz w:val="24"/>
          <w:szCs w:val="24"/>
          <w:lang w:val="en-NZ"/>
        </w:rPr>
        <w:t xml:space="preserve"> opportunities</w:t>
      </w:r>
      <w:r w:rsidRPr="00862E8B">
        <w:rPr>
          <w:rFonts w:ascii="Times New Roman" w:hAnsi="Times New Roman" w:cs="Times New Roman"/>
          <w:sz w:val="24"/>
          <w:szCs w:val="24"/>
          <w:lang w:val="en-NZ"/>
        </w:rPr>
        <w:t xml:space="preserve"> and are more likely to use a non-traditional disclosure mechanism</w:t>
      </w:r>
      <w:r>
        <w:rPr>
          <w:rFonts w:ascii="Times New Roman" w:hAnsi="Times New Roman" w:cs="Times New Roman"/>
          <w:sz w:val="24"/>
          <w:szCs w:val="24"/>
          <w:lang w:val="en-NZ"/>
        </w:rPr>
        <w:t xml:space="preserve"> (</w:t>
      </w:r>
      <w:proofErr w:type="spellStart"/>
      <w:r>
        <w:rPr>
          <w:rFonts w:ascii="Times New Roman" w:hAnsi="Times New Roman" w:cs="Times New Roman"/>
          <w:sz w:val="24"/>
          <w:szCs w:val="24"/>
          <w:lang w:val="en-NZ"/>
        </w:rPr>
        <w:t>Bushee</w:t>
      </w:r>
      <w:proofErr w:type="spellEnd"/>
      <w:r>
        <w:rPr>
          <w:rFonts w:ascii="Times New Roman" w:hAnsi="Times New Roman" w:cs="Times New Roman"/>
          <w:sz w:val="24"/>
          <w:szCs w:val="24"/>
          <w:lang w:val="en-NZ"/>
        </w:rPr>
        <w:t xml:space="preserve"> </w:t>
      </w:r>
      <w:r w:rsidRPr="005140D7">
        <w:rPr>
          <w:rFonts w:ascii="Times New Roman" w:hAnsi="Times New Roman" w:cs="Times New Roman"/>
          <w:i/>
          <w:sz w:val="24"/>
          <w:szCs w:val="24"/>
          <w:lang w:val="en-NZ"/>
        </w:rPr>
        <w:t>et al</w:t>
      </w:r>
      <w:r w:rsidRPr="00BA3C60">
        <w:rPr>
          <w:rFonts w:ascii="Times New Roman" w:hAnsi="Times New Roman" w:cs="Times New Roman"/>
          <w:sz w:val="24"/>
          <w:szCs w:val="24"/>
          <w:lang w:val="en-NZ"/>
        </w:rPr>
        <w:t>.,</w:t>
      </w:r>
      <w:r w:rsidRPr="002073F2">
        <w:rPr>
          <w:rFonts w:ascii="Times New Roman" w:hAnsi="Times New Roman" w:cs="Times New Roman"/>
          <w:sz w:val="24"/>
          <w:szCs w:val="24"/>
          <w:lang w:val="en-NZ"/>
        </w:rPr>
        <w:t xml:space="preserve"> 2003). </w:t>
      </w:r>
      <w:r>
        <w:rPr>
          <w:rFonts w:ascii="Times New Roman" w:hAnsi="Times New Roman" w:cs="Times New Roman"/>
          <w:sz w:val="24"/>
          <w:szCs w:val="24"/>
          <w:lang w:val="en-NZ"/>
        </w:rPr>
        <w:t>Thus younger firms are more likely to purchase analyst research to offset comparatively higher information gathering costs.</w:t>
      </w:r>
    </w:p>
    <w:p w14:paraId="5F04929D" w14:textId="2F8DF056" w:rsidR="00BA3C60" w:rsidRPr="00450B4F" w:rsidRDefault="00BA3C60" w:rsidP="00656AC9">
      <w:pPr>
        <w:spacing w:after="0" w:line="480" w:lineRule="auto"/>
        <w:ind w:firstLine="720"/>
        <w:jc w:val="both"/>
        <w:rPr>
          <w:rFonts w:ascii="Times New Roman" w:hAnsi="Times New Roman" w:cs="Times New Roman"/>
          <w:sz w:val="24"/>
          <w:szCs w:val="24"/>
        </w:rPr>
      </w:pPr>
      <w:r w:rsidRPr="00393246">
        <w:rPr>
          <w:rFonts w:ascii="Times New Roman" w:hAnsi="Times New Roman" w:cs="Times New Roman"/>
          <w:i/>
          <w:sz w:val="24"/>
          <w:szCs w:val="24"/>
        </w:rPr>
        <w:t>Top20</w:t>
      </w:r>
      <w:r w:rsidRPr="00393246">
        <w:rPr>
          <w:rFonts w:ascii="Times New Roman" w:hAnsi="Times New Roman" w:cs="Times New Roman"/>
          <w:sz w:val="24"/>
          <w:szCs w:val="24"/>
        </w:rPr>
        <w:t xml:space="preserve"> is the percentage of shares of firm </w:t>
      </w:r>
      <w:proofErr w:type="spellStart"/>
      <w:r w:rsidRPr="00393246">
        <w:rPr>
          <w:rFonts w:ascii="Times New Roman" w:hAnsi="Times New Roman" w:cs="Times New Roman"/>
          <w:i/>
          <w:sz w:val="24"/>
          <w:szCs w:val="24"/>
        </w:rPr>
        <w:t>i</w:t>
      </w:r>
      <w:proofErr w:type="spellEnd"/>
      <w:r w:rsidRPr="00393246">
        <w:rPr>
          <w:rFonts w:ascii="Times New Roman" w:hAnsi="Times New Roman" w:cs="Times New Roman"/>
          <w:i/>
          <w:sz w:val="24"/>
          <w:szCs w:val="24"/>
        </w:rPr>
        <w:t xml:space="preserve"> </w:t>
      </w:r>
      <w:r w:rsidRPr="00393246">
        <w:rPr>
          <w:rFonts w:ascii="Times New Roman" w:hAnsi="Times New Roman" w:cs="Times New Roman"/>
          <w:sz w:val="24"/>
          <w:szCs w:val="24"/>
        </w:rPr>
        <w:t xml:space="preserve">owned by the largest twenty shareholders as reported in the most recent annual report at time </w:t>
      </w:r>
      <w:r w:rsidRPr="00393246">
        <w:rPr>
          <w:rFonts w:ascii="Times New Roman" w:hAnsi="Times New Roman" w:cs="Times New Roman"/>
          <w:i/>
          <w:sz w:val="24"/>
          <w:szCs w:val="24"/>
        </w:rPr>
        <w:t>t.</w:t>
      </w:r>
      <w:r w:rsidRPr="00393246">
        <w:rPr>
          <w:rFonts w:ascii="Times New Roman" w:hAnsi="Times New Roman" w:cs="Times New Roman"/>
          <w:i/>
          <w:sz w:val="24"/>
          <w:szCs w:val="24"/>
          <w:lang w:val="en-NZ"/>
        </w:rPr>
        <w:t xml:space="preserve"> Top20 </w:t>
      </w:r>
      <w:r>
        <w:rPr>
          <w:rFonts w:ascii="Times New Roman" w:hAnsi="Times New Roman" w:cs="Times New Roman"/>
          <w:sz w:val="24"/>
          <w:szCs w:val="24"/>
          <w:lang w:val="en-NZ"/>
        </w:rPr>
        <w:t>prox</w:t>
      </w:r>
      <w:r w:rsidR="00122C3D">
        <w:rPr>
          <w:rFonts w:ascii="Times New Roman" w:hAnsi="Times New Roman" w:cs="Times New Roman"/>
          <w:sz w:val="24"/>
          <w:szCs w:val="24"/>
          <w:lang w:val="en-NZ"/>
        </w:rPr>
        <w:t>ies</w:t>
      </w:r>
      <w:r>
        <w:rPr>
          <w:rFonts w:ascii="Times New Roman" w:hAnsi="Times New Roman" w:cs="Times New Roman"/>
          <w:sz w:val="24"/>
          <w:szCs w:val="24"/>
          <w:lang w:val="en-NZ"/>
        </w:rPr>
        <w:t xml:space="preserve"> for ownership concentration</w:t>
      </w:r>
      <w:r w:rsidR="00122C3D">
        <w:rPr>
          <w:rFonts w:ascii="Times New Roman" w:hAnsi="Times New Roman" w:cs="Times New Roman"/>
          <w:sz w:val="24"/>
          <w:szCs w:val="24"/>
          <w:lang w:val="en-NZ"/>
        </w:rPr>
        <w:t xml:space="preserve"> with</w:t>
      </w:r>
      <w:r>
        <w:rPr>
          <w:rFonts w:ascii="Times New Roman" w:hAnsi="Times New Roman" w:cs="Times New Roman"/>
          <w:sz w:val="24"/>
          <w:szCs w:val="24"/>
          <w:lang w:val="en-NZ"/>
        </w:rPr>
        <w:t xml:space="preserve"> firms </w:t>
      </w:r>
      <w:r w:rsidR="00122C3D">
        <w:rPr>
          <w:rFonts w:ascii="Times New Roman" w:hAnsi="Times New Roman" w:cs="Times New Roman"/>
          <w:sz w:val="24"/>
          <w:szCs w:val="24"/>
          <w:lang w:val="en-NZ"/>
        </w:rPr>
        <w:t>having</w:t>
      </w:r>
      <w:r>
        <w:rPr>
          <w:rFonts w:ascii="Times New Roman" w:hAnsi="Times New Roman" w:cs="Times New Roman"/>
          <w:sz w:val="24"/>
          <w:szCs w:val="24"/>
          <w:lang w:val="en-NZ"/>
        </w:rPr>
        <w:t xml:space="preserve"> greater ownership concentration </w:t>
      </w:r>
      <w:r w:rsidR="00122C3D">
        <w:rPr>
          <w:rFonts w:ascii="Times New Roman" w:hAnsi="Times New Roman" w:cs="Times New Roman"/>
          <w:sz w:val="24"/>
          <w:szCs w:val="24"/>
          <w:lang w:val="en-NZ"/>
        </w:rPr>
        <w:t>being</w:t>
      </w:r>
      <w:r>
        <w:rPr>
          <w:rFonts w:ascii="Times New Roman" w:hAnsi="Times New Roman" w:cs="Times New Roman"/>
          <w:sz w:val="24"/>
          <w:szCs w:val="24"/>
          <w:lang w:val="en-NZ"/>
        </w:rPr>
        <w:t xml:space="preserve"> more likely to want to diversify their shareholder base and purchas</w:t>
      </w:r>
      <w:r w:rsidR="00122C3D">
        <w:rPr>
          <w:rFonts w:ascii="Times New Roman" w:hAnsi="Times New Roman" w:cs="Times New Roman"/>
          <w:sz w:val="24"/>
          <w:szCs w:val="24"/>
          <w:lang w:val="en-NZ"/>
        </w:rPr>
        <w:t>e</w:t>
      </w:r>
      <w:r>
        <w:rPr>
          <w:rFonts w:ascii="Times New Roman" w:hAnsi="Times New Roman" w:cs="Times New Roman"/>
          <w:sz w:val="24"/>
          <w:szCs w:val="24"/>
          <w:lang w:val="en-NZ"/>
        </w:rPr>
        <w:t xml:space="preserve"> analyst research.</w:t>
      </w:r>
    </w:p>
    <w:p w14:paraId="4D7984A6" w14:textId="750922B4" w:rsidR="00BA3C60" w:rsidRDefault="00BA3C60" w:rsidP="00656AC9">
      <w:pPr>
        <w:spacing w:after="0" w:line="480" w:lineRule="auto"/>
        <w:ind w:firstLine="720"/>
        <w:jc w:val="both"/>
        <w:rPr>
          <w:rFonts w:ascii="Times New Roman" w:hAnsi="Times New Roman" w:cs="Times New Roman"/>
          <w:sz w:val="24"/>
          <w:szCs w:val="24"/>
          <w:lang w:val="en-NZ"/>
        </w:rPr>
      </w:pPr>
      <w:proofErr w:type="spellStart"/>
      <w:r w:rsidRPr="00450B4F">
        <w:rPr>
          <w:rFonts w:ascii="Times New Roman" w:hAnsi="Times New Roman" w:cs="Times New Roman"/>
          <w:i/>
          <w:sz w:val="24"/>
          <w:szCs w:val="24"/>
        </w:rPr>
        <w:t>LnMCap</w:t>
      </w:r>
      <w:proofErr w:type="spellEnd"/>
      <w:r w:rsidRPr="00450B4F">
        <w:rPr>
          <w:rFonts w:ascii="Times New Roman" w:hAnsi="Times New Roman" w:cs="Times New Roman"/>
          <w:sz w:val="24"/>
          <w:szCs w:val="24"/>
        </w:rPr>
        <w:t xml:space="preserve"> is the natural logarithm of the market capitalization (in millions of dollars) of firm</w:t>
      </w:r>
      <w:r w:rsidRPr="00450B4F">
        <w:rPr>
          <w:rFonts w:ascii="Times New Roman" w:hAnsi="Times New Roman" w:cs="Times New Roman"/>
          <w:i/>
          <w:sz w:val="24"/>
          <w:szCs w:val="24"/>
        </w:rPr>
        <w:t xml:space="preserve"> </w:t>
      </w:r>
      <w:proofErr w:type="spellStart"/>
      <w:r w:rsidRPr="00450B4F">
        <w:rPr>
          <w:rFonts w:ascii="Times New Roman" w:hAnsi="Times New Roman" w:cs="Times New Roman"/>
          <w:i/>
          <w:sz w:val="24"/>
          <w:szCs w:val="24"/>
        </w:rPr>
        <w:t>i</w:t>
      </w:r>
      <w:proofErr w:type="spellEnd"/>
      <w:r w:rsidRPr="00450B4F">
        <w:rPr>
          <w:rFonts w:ascii="Times New Roman" w:hAnsi="Times New Roman" w:cs="Times New Roman"/>
          <w:i/>
          <w:sz w:val="24"/>
          <w:szCs w:val="24"/>
        </w:rPr>
        <w:t xml:space="preserve"> </w:t>
      </w:r>
      <w:r w:rsidRPr="00450B4F">
        <w:rPr>
          <w:rFonts w:ascii="Times New Roman" w:hAnsi="Times New Roman" w:cs="Times New Roman"/>
          <w:sz w:val="24"/>
          <w:szCs w:val="24"/>
        </w:rPr>
        <w:t xml:space="preserve">as at time </w:t>
      </w:r>
      <w:r w:rsidRPr="00450B4F">
        <w:rPr>
          <w:rFonts w:ascii="Times New Roman" w:hAnsi="Times New Roman" w:cs="Times New Roman"/>
          <w:i/>
          <w:sz w:val="24"/>
          <w:szCs w:val="24"/>
        </w:rPr>
        <w:t>t</w:t>
      </w:r>
      <w:r w:rsidRPr="00450B4F">
        <w:rPr>
          <w:rFonts w:ascii="Times New Roman" w:hAnsi="Times New Roman" w:cs="Times New Roman"/>
          <w:sz w:val="24"/>
          <w:szCs w:val="24"/>
        </w:rPr>
        <w:t>-11</w:t>
      </w:r>
      <w:r w:rsidRPr="00450B4F">
        <w:rPr>
          <w:rFonts w:ascii="Times New Roman" w:hAnsi="Times New Roman" w:cs="Times New Roman"/>
          <w:i/>
          <w:sz w:val="24"/>
          <w:szCs w:val="24"/>
        </w:rPr>
        <w:t>.</w:t>
      </w:r>
      <w:r w:rsidRPr="00450B4F">
        <w:rPr>
          <w:rFonts w:ascii="Times New Roman" w:hAnsi="Times New Roman" w:cs="Times New Roman"/>
          <w:sz w:val="24"/>
          <w:szCs w:val="24"/>
          <w:lang w:val="en-NZ"/>
        </w:rPr>
        <w:t xml:space="preserve"> </w:t>
      </w:r>
      <w:r w:rsidRPr="00862E8B">
        <w:rPr>
          <w:rFonts w:ascii="Times New Roman" w:hAnsi="Times New Roman" w:cs="Times New Roman"/>
          <w:sz w:val="24"/>
          <w:szCs w:val="24"/>
          <w:lang w:val="en-NZ"/>
        </w:rPr>
        <w:t xml:space="preserve">Firm size can proxy for the firm’s information environment, although size can </w:t>
      </w:r>
      <w:r>
        <w:rPr>
          <w:rFonts w:ascii="Times New Roman" w:hAnsi="Times New Roman" w:cs="Times New Roman"/>
          <w:sz w:val="24"/>
          <w:szCs w:val="24"/>
          <w:lang w:val="en-NZ"/>
        </w:rPr>
        <w:t xml:space="preserve">also </w:t>
      </w:r>
      <w:r w:rsidRPr="00862E8B">
        <w:rPr>
          <w:rFonts w:ascii="Times New Roman" w:hAnsi="Times New Roman" w:cs="Times New Roman"/>
          <w:sz w:val="24"/>
          <w:szCs w:val="24"/>
          <w:lang w:val="en-NZ"/>
        </w:rPr>
        <w:t>jointly measure other attributes</w:t>
      </w:r>
      <w:r>
        <w:rPr>
          <w:rFonts w:ascii="Times New Roman" w:hAnsi="Times New Roman" w:cs="Times New Roman"/>
          <w:sz w:val="24"/>
          <w:szCs w:val="24"/>
          <w:lang w:val="en-NZ"/>
        </w:rPr>
        <w:t xml:space="preserve"> and is associated with higher voluntary disclosure</w:t>
      </w:r>
      <w:r w:rsidRPr="00862E8B">
        <w:rPr>
          <w:rFonts w:ascii="Times New Roman" w:hAnsi="Times New Roman" w:cs="Times New Roman"/>
          <w:sz w:val="24"/>
          <w:szCs w:val="24"/>
          <w:lang w:val="en-NZ"/>
        </w:rPr>
        <w:t xml:space="preserve"> </w:t>
      </w:r>
      <w:r w:rsidRPr="00450B4F">
        <w:rPr>
          <w:rFonts w:ascii="Times New Roman" w:hAnsi="Times New Roman" w:cs="Times New Roman"/>
          <w:sz w:val="24"/>
          <w:szCs w:val="24"/>
          <w:lang w:val="en-NZ"/>
        </w:rPr>
        <w:t>(</w:t>
      </w:r>
      <w:r>
        <w:rPr>
          <w:rFonts w:ascii="Times New Roman" w:hAnsi="Times New Roman"/>
          <w:sz w:val="24"/>
          <w:szCs w:val="24"/>
        </w:rPr>
        <w:t>e.g.</w:t>
      </w:r>
      <w:r w:rsidR="00722555">
        <w:rPr>
          <w:rFonts w:ascii="Times New Roman" w:hAnsi="Times New Roman"/>
          <w:sz w:val="24"/>
          <w:szCs w:val="24"/>
        </w:rPr>
        <w:t>,</w:t>
      </w:r>
      <w:r w:rsidRPr="00450B4F">
        <w:rPr>
          <w:rFonts w:ascii="Times New Roman" w:hAnsi="Times New Roman"/>
          <w:sz w:val="24"/>
          <w:szCs w:val="24"/>
        </w:rPr>
        <w:t xml:space="preserve"> </w:t>
      </w:r>
      <w:r w:rsidR="005575F6">
        <w:rPr>
          <w:rFonts w:ascii="Times New Roman" w:hAnsi="Times New Roman" w:cs="Times New Roman"/>
          <w:sz w:val="24"/>
          <w:szCs w:val="24"/>
          <w:lang w:val="en-NZ"/>
        </w:rPr>
        <w:t>Ball and Foster, 1982</w:t>
      </w:r>
      <w:r w:rsidRPr="00450B4F">
        <w:rPr>
          <w:rFonts w:ascii="Times New Roman" w:hAnsi="Times New Roman"/>
          <w:sz w:val="24"/>
          <w:szCs w:val="24"/>
        </w:rPr>
        <w:t>)</w:t>
      </w:r>
      <w:r w:rsidRPr="00450B4F">
        <w:rPr>
          <w:rFonts w:ascii="Times New Roman" w:hAnsi="Times New Roman" w:cs="Times New Roman"/>
          <w:sz w:val="24"/>
          <w:szCs w:val="24"/>
          <w:lang w:val="en-NZ"/>
        </w:rPr>
        <w:t xml:space="preserve">. However, as small firms have less visibility, they </w:t>
      </w:r>
      <w:r w:rsidRPr="00450B4F">
        <w:rPr>
          <w:rFonts w:ascii="Times New Roman" w:hAnsi="Times New Roman" w:cs="Times New Roman"/>
          <w:sz w:val="24"/>
          <w:szCs w:val="24"/>
          <w:lang w:val="en-NZ"/>
        </w:rPr>
        <w:lastRenderedPageBreak/>
        <w:t>have greater incentives to attract attention (Kirk, 2011).</w:t>
      </w:r>
      <w:r>
        <w:rPr>
          <w:rFonts w:ascii="Times New Roman" w:hAnsi="Times New Roman" w:cs="Times New Roman"/>
          <w:sz w:val="24"/>
          <w:szCs w:val="24"/>
          <w:lang w:val="en-NZ"/>
        </w:rPr>
        <w:t xml:space="preserve"> Thus we predict small firms are more likely to purchase analyst research to offset information gathering costs.</w:t>
      </w:r>
    </w:p>
    <w:p w14:paraId="49E2B88F" w14:textId="76E2473F" w:rsidR="00BA3C60" w:rsidRDefault="00BA3C60" w:rsidP="00DD095E">
      <w:pPr>
        <w:spacing w:after="0" w:line="480" w:lineRule="auto"/>
        <w:ind w:firstLine="720"/>
        <w:jc w:val="both"/>
        <w:rPr>
          <w:rFonts w:ascii="Times New Roman" w:hAnsi="Times New Roman" w:cs="Times New Roman"/>
          <w:sz w:val="24"/>
          <w:szCs w:val="24"/>
          <w:lang w:val="en-NZ"/>
        </w:rPr>
      </w:pPr>
      <w:proofErr w:type="spellStart"/>
      <w:r w:rsidRPr="00842DF4">
        <w:rPr>
          <w:rFonts w:ascii="Times New Roman" w:hAnsi="Times New Roman" w:cs="Times New Roman"/>
          <w:i/>
          <w:sz w:val="24"/>
          <w:szCs w:val="24"/>
        </w:rPr>
        <w:t>AnlCov</w:t>
      </w:r>
      <w:proofErr w:type="spellEnd"/>
      <w:r w:rsidRPr="00842DF4">
        <w:rPr>
          <w:rFonts w:ascii="Times New Roman" w:hAnsi="Times New Roman" w:cs="Times New Roman"/>
          <w:sz w:val="24"/>
          <w:szCs w:val="24"/>
        </w:rPr>
        <w:t xml:space="preserve"> is a dummy variable equal to one if firm </w:t>
      </w:r>
      <w:proofErr w:type="spellStart"/>
      <w:r w:rsidRPr="00842DF4">
        <w:rPr>
          <w:rFonts w:ascii="Times New Roman" w:hAnsi="Times New Roman" w:cs="Times New Roman"/>
          <w:i/>
          <w:sz w:val="24"/>
          <w:szCs w:val="24"/>
        </w:rPr>
        <w:t>i</w:t>
      </w:r>
      <w:proofErr w:type="spellEnd"/>
      <w:r w:rsidRPr="00842DF4">
        <w:rPr>
          <w:rFonts w:ascii="Times New Roman" w:hAnsi="Times New Roman" w:cs="Times New Roman"/>
          <w:i/>
          <w:sz w:val="24"/>
          <w:szCs w:val="24"/>
        </w:rPr>
        <w:t xml:space="preserve"> </w:t>
      </w:r>
      <w:r w:rsidRPr="00842DF4">
        <w:rPr>
          <w:rFonts w:ascii="Times New Roman" w:hAnsi="Times New Roman" w:cs="Times New Roman"/>
          <w:sz w:val="24"/>
          <w:szCs w:val="24"/>
        </w:rPr>
        <w:t xml:space="preserve">has earnings estimates on IBES as at time </w:t>
      </w:r>
      <w:r w:rsidRPr="00842DF4">
        <w:rPr>
          <w:rFonts w:ascii="Times New Roman" w:hAnsi="Times New Roman" w:cs="Times New Roman"/>
          <w:i/>
          <w:sz w:val="24"/>
          <w:szCs w:val="24"/>
        </w:rPr>
        <w:t>t</w:t>
      </w:r>
      <w:r w:rsidRPr="00842DF4">
        <w:rPr>
          <w:rFonts w:ascii="Times New Roman" w:hAnsi="Times New Roman" w:cs="Times New Roman"/>
          <w:sz w:val="24"/>
          <w:szCs w:val="24"/>
        </w:rPr>
        <w:t>.</w:t>
      </w:r>
      <w:r w:rsidRPr="00842DF4">
        <w:rPr>
          <w:rFonts w:ascii="Times New Roman" w:hAnsi="Times New Roman" w:cs="Times New Roman"/>
          <w:sz w:val="24"/>
          <w:szCs w:val="24"/>
          <w:lang w:val="en-NZ"/>
        </w:rPr>
        <w:t xml:space="preserve"> </w:t>
      </w:r>
      <w:r>
        <w:rPr>
          <w:rFonts w:ascii="Times New Roman" w:hAnsi="Times New Roman" w:cs="Times New Roman"/>
          <w:sz w:val="24"/>
          <w:szCs w:val="24"/>
          <w:lang w:val="en-NZ"/>
        </w:rPr>
        <w:t>Fi</w:t>
      </w:r>
      <w:r w:rsidRPr="00450B4F">
        <w:rPr>
          <w:rFonts w:ascii="Times New Roman" w:hAnsi="Times New Roman" w:cs="Times New Roman"/>
          <w:sz w:val="24"/>
          <w:szCs w:val="24"/>
          <w:lang w:val="en-NZ"/>
        </w:rPr>
        <w:t>rms may seek to attract or substitute analyst coverage by increasing their level of disclosure (Kirk, 2011</w:t>
      </w:r>
      <w:r>
        <w:rPr>
          <w:rFonts w:ascii="Times New Roman" w:hAnsi="Times New Roman" w:cs="Times New Roman"/>
          <w:sz w:val="24"/>
          <w:szCs w:val="24"/>
          <w:lang w:val="en-NZ"/>
        </w:rPr>
        <w:t xml:space="preserve">). </w:t>
      </w:r>
      <w:r w:rsidR="00BB26AE">
        <w:rPr>
          <w:rFonts w:ascii="Times New Roman" w:hAnsi="Times New Roman" w:cs="Times New Roman"/>
          <w:sz w:val="24"/>
          <w:szCs w:val="24"/>
          <w:lang w:val="en-NZ"/>
        </w:rPr>
        <w:t>F</w:t>
      </w:r>
      <w:r>
        <w:rPr>
          <w:rFonts w:ascii="Times New Roman" w:hAnsi="Times New Roman" w:cs="Times New Roman"/>
          <w:sz w:val="24"/>
          <w:szCs w:val="24"/>
          <w:lang w:val="en-NZ"/>
        </w:rPr>
        <w:t xml:space="preserve">irms with less analyst coverage will disclose via purchased analyst research to lower the information gathering costs of analysts to </w:t>
      </w:r>
      <w:r w:rsidR="00BB26AE">
        <w:rPr>
          <w:rFonts w:ascii="Times New Roman" w:hAnsi="Times New Roman" w:cs="Times New Roman"/>
          <w:sz w:val="24"/>
          <w:szCs w:val="24"/>
          <w:lang w:val="en-NZ"/>
        </w:rPr>
        <w:t>promote</w:t>
      </w:r>
      <w:r>
        <w:rPr>
          <w:rFonts w:ascii="Times New Roman" w:hAnsi="Times New Roman" w:cs="Times New Roman"/>
          <w:sz w:val="24"/>
          <w:szCs w:val="24"/>
          <w:lang w:val="en-NZ"/>
        </w:rPr>
        <w:t xml:space="preserve"> coverage initiation.</w:t>
      </w:r>
      <w:r>
        <w:rPr>
          <w:rStyle w:val="FootnoteReference"/>
          <w:rFonts w:ascii="Times New Roman" w:hAnsi="Times New Roman" w:cs="Times New Roman"/>
          <w:sz w:val="24"/>
          <w:szCs w:val="24"/>
          <w:lang w:val="en-NZ"/>
        </w:rPr>
        <w:footnoteReference w:id="11"/>
      </w:r>
    </w:p>
    <w:p w14:paraId="19CF2124" w14:textId="34882EC8" w:rsidR="00BA3C60" w:rsidRDefault="00BA3C60" w:rsidP="00947D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test Hypothesis 1b, that firms with greater talent signalling incentives are more likely to disclose via an investor presentation, we run the model with </w:t>
      </w:r>
      <w:r w:rsidRPr="00E62DA5">
        <w:rPr>
          <w:rFonts w:ascii="Times New Roman" w:hAnsi="Times New Roman" w:cs="Times New Roman"/>
          <w:i/>
          <w:sz w:val="24"/>
          <w:szCs w:val="24"/>
        </w:rPr>
        <w:t>IP</w:t>
      </w:r>
      <w:r>
        <w:rPr>
          <w:rFonts w:ascii="Times New Roman" w:hAnsi="Times New Roman" w:cs="Times New Roman"/>
          <w:sz w:val="24"/>
          <w:szCs w:val="24"/>
        </w:rPr>
        <w:t xml:space="preserve"> as the dependent variable. The test variable </w:t>
      </w:r>
      <w:proofErr w:type="spellStart"/>
      <w:r w:rsidRPr="00842DF4">
        <w:rPr>
          <w:rFonts w:ascii="Times New Roman" w:hAnsi="Times New Roman" w:cs="Times New Roman"/>
          <w:i/>
          <w:sz w:val="24"/>
          <w:szCs w:val="24"/>
        </w:rPr>
        <w:t>CFO_Dum</w:t>
      </w:r>
      <w:proofErr w:type="spellEnd"/>
      <w:r w:rsidRPr="00947D8F">
        <w:rPr>
          <w:rFonts w:ascii="Times New Roman" w:hAnsi="Times New Roman" w:cs="Times New Roman"/>
          <w:sz w:val="24"/>
          <w:szCs w:val="24"/>
        </w:rPr>
        <w:t xml:space="preserve"> is used to</w:t>
      </w:r>
      <w:r>
        <w:rPr>
          <w:rFonts w:ascii="Times New Roman" w:hAnsi="Times New Roman" w:cs="Times New Roman"/>
          <w:sz w:val="24"/>
          <w:szCs w:val="24"/>
        </w:rPr>
        <w:t xml:space="preserve"> proxy for incentives to disclose to signal talent</w:t>
      </w:r>
      <w:r w:rsidR="00047484">
        <w:rPr>
          <w:rFonts w:ascii="Times New Roman" w:hAnsi="Times New Roman" w:cs="Times New Roman"/>
          <w:sz w:val="24"/>
          <w:szCs w:val="24"/>
        </w:rPr>
        <w:t>.</w:t>
      </w:r>
    </w:p>
    <w:p w14:paraId="3A3717BA" w14:textId="13971AFD" w:rsidR="00BA3C60" w:rsidRPr="00DD095E" w:rsidRDefault="00BA3C60" w:rsidP="00DD095E">
      <w:pPr>
        <w:spacing w:after="0" w:line="480" w:lineRule="auto"/>
        <w:ind w:firstLine="720"/>
        <w:jc w:val="both"/>
        <w:rPr>
          <w:rFonts w:ascii="Times New Roman" w:hAnsi="Times New Roman" w:cs="Times New Roman"/>
          <w:sz w:val="24"/>
          <w:szCs w:val="24"/>
        </w:rPr>
      </w:pPr>
      <w:proofErr w:type="spellStart"/>
      <w:r w:rsidRPr="00842DF4">
        <w:rPr>
          <w:rFonts w:ascii="Times New Roman" w:hAnsi="Times New Roman" w:cs="Times New Roman"/>
          <w:i/>
          <w:sz w:val="24"/>
          <w:szCs w:val="24"/>
        </w:rPr>
        <w:t>CFO_Dum</w:t>
      </w:r>
      <w:proofErr w:type="spellEnd"/>
      <w:r w:rsidRPr="00842DF4">
        <w:rPr>
          <w:rFonts w:ascii="Times New Roman" w:hAnsi="Times New Roman" w:cs="Times New Roman"/>
          <w:sz w:val="24"/>
          <w:szCs w:val="24"/>
        </w:rPr>
        <w:t xml:space="preserve"> is a dummy variable equal to one if firm </w:t>
      </w:r>
      <w:proofErr w:type="spellStart"/>
      <w:r w:rsidRPr="00842DF4">
        <w:rPr>
          <w:rFonts w:ascii="Times New Roman" w:hAnsi="Times New Roman" w:cs="Times New Roman"/>
          <w:i/>
          <w:sz w:val="24"/>
          <w:szCs w:val="24"/>
        </w:rPr>
        <w:t>i</w:t>
      </w:r>
      <w:proofErr w:type="spellEnd"/>
      <w:r w:rsidRPr="00842DF4">
        <w:rPr>
          <w:rFonts w:ascii="Times New Roman" w:hAnsi="Times New Roman" w:cs="Times New Roman"/>
          <w:i/>
          <w:sz w:val="24"/>
          <w:szCs w:val="24"/>
        </w:rPr>
        <w:t xml:space="preserve"> </w:t>
      </w:r>
      <w:r w:rsidRPr="00842DF4">
        <w:rPr>
          <w:rFonts w:ascii="Times New Roman" w:hAnsi="Times New Roman" w:cs="Times New Roman"/>
          <w:sz w:val="24"/>
          <w:szCs w:val="24"/>
        </w:rPr>
        <w:t xml:space="preserve">has positive net cash flow from operations as reported in the most recent annual report at time </w:t>
      </w:r>
      <w:r w:rsidRPr="00842DF4">
        <w:rPr>
          <w:rFonts w:ascii="Times New Roman" w:hAnsi="Times New Roman" w:cs="Times New Roman"/>
          <w:i/>
          <w:sz w:val="24"/>
          <w:szCs w:val="24"/>
        </w:rPr>
        <w:t>t</w:t>
      </w:r>
      <w:r w:rsidRPr="00842DF4">
        <w:rPr>
          <w:rFonts w:ascii="Times New Roman" w:hAnsi="Times New Roman" w:cs="Times New Roman"/>
          <w:sz w:val="24"/>
          <w:szCs w:val="24"/>
        </w:rPr>
        <w:t xml:space="preserve">. A positive cash flow from operations </w:t>
      </w:r>
      <w:r>
        <w:rPr>
          <w:rFonts w:ascii="Times New Roman" w:hAnsi="Times New Roman" w:cs="Times New Roman"/>
          <w:sz w:val="24"/>
          <w:szCs w:val="24"/>
        </w:rPr>
        <w:t>signals the CEO</w:t>
      </w:r>
      <w:r w:rsidR="00BB26AE">
        <w:rPr>
          <w:rFonts w:ascii="Times New Roman" w:hAnsi="Times New Roman" w:cs="Times New Roman"/>
          <w:sz w:val="24"/>
          <w:szCs w:val="24"/>
        </w:rPr>
        <w:t xml:space="preserve">’s successful transition from a mine developer into a mineral producer </w:t>
      </w:r>
      <w:r w:rsidRPr="00842DF4">
        <w:rPr>
          <w:rFonts w:ascii="Times New Roman" w:hAnsi="Times New Roman" w:cs="Times New Roman"/>
          <w:sz w:val="24"/>
          <w:szCs w:val="24"/>
        </w:rPr>
        <w:t xml:space="preserve">(Ferguson </w:t>
      </w:r>
      <w:r w:rsidRPr="005140D7">
        <w:rPr>
          <w:rFonts w:ascii="Times New Roman" w:hAnsi="Times New Roman" w:cs="Times New Roman"/>
          <w:i/>
          <w:sz w:val="24"/>
          <w:szCs w:val="24"/>
        </w:rPr>
        <w:t>et al</w:t>
      </w:r>
      <w:r w:rsidRPr="00BA3C60">
        <w:rPr>
          <w:rFonts w:ascii="Times New Roman" w:hAnsi="Times New Roman" w:cs="Times New Roman"/>
          <w:sz w:val="24"/>
          <w:szCs w:val="24"/>
        </w:rPr>
        <w:t>.</w:t>
      </w:r>
      <w:r>
        <w:rPr>
          <w:rFonts w:ascii="Times New Roman" w:hAnsi="Times New Roman" w:cs="Times New Roman"/>
          <w:sz w:val="24"/>
          <w:szCs w:val="24"/>
        </w:rPr>
        <w:t xml:space="preserve"> 2011a). </w:t>
      </w:r>
      <w:r w:rsidR="00BB26AE">
        <w:rPr>
          <w:rFonts w:ascii="Times New Roman" w:hAnsi="Times New Roman" w:cs="Times New Roman"/>
          <w:sz w:val="24"/>
          <w:szCs w:val="24"/>
        </w:rPr>
        <w:t>F</w:t>
      </w:r>
      <w:r>
        <w:rPr>
          <w:rFonts w:ascii="Times New Roman" w:hAnsi="Times New Roman" w:cs="Times New Roman"/>
          <w:sz w:val="24"/>
          <w:szCs w:val="24"/>
        </w:rPr>
        <w:t>irms with a positive net cash flow from operations are more likely to hold investor presentation</w:t>
      </w:r>
      <w:r w:rsidR="00BB26AE">
        <w:rPr>
          <w:rFonts w:ascii="Times New Roman" w:hAnsi="Times New Roman" w:cs="Times New Roman"/>
          <w:sz w:val="24"/>
          <w:szCs w:val="24"/>
        </w:rPr>
        <w:t>s</w:t>
      </w:r>
      <w:r>
        <w:rPr>
          <w:rFonts w:ascii="Times New Roman" w:hAnsi="Times New Roman" w:cs="Times New Roman"/>
          <w:sz w:val="24"/>
          <w:szCs w:val="24"/>
        </w:rPr>
        <w:t xml:space="preserve"> </w:t>
      </w:r>
      <w:r w:rsidR="00BB26AE">
        <w:rPr>
          <w:rFonts w:ascii="Times New Roman" w:hAnsi="Times New Roman" w:cs="Times New Roman"/>
          <w:sz w:val="24"/>
          <w:szCs w:val="24"/>
        </w:rPr>
        <w:t xml:space="preserve">in order </w:t>
      </w:r>
      <w:r>
        <w:rPr>
          <w:rFonts w:ascii="Times New Roman" w:hAnsi="Times New Roman" w:cs="Times New Roman"/>
          <w:sz w:val="24"/>
          <w:szCs w:val="24"/>
        </w:rPr>
        <w:t>for the CEO to si</w:t>
      </w:r>
      <w:r w:rsidR="00034881">
        <w:rPr>
          <w:rFonts w:ascii="Times New Roman" w:hAnsi="Times New Roman" w:cs="Times New Roman"/>
          <w:sz w:val="24"/>
          <w:szCs w:val="24"/>
        </w:rPr>
        <w:t xml:space="preserve">gnal </w:t>
      </w:r>
      <w:r w:rsidR="00BB26AE">
        <w:rPr>
          <w:rFonts w:ascii="Times New Roman" w:hAnsi="Times New Roman" w:cs="Times New Roman"/>
          <w:sz w:val="24"/>
          <w:szCs w:val="24"/>
        </w:rPr>
        <w:t>these important milestone accomplishments</w:t>
      </w:r>
      <w:r w:rsidR="00034881">
        <w:rPr>
          <w:rFonts w:ascii="Times New Roman" w:hAnsi="Times New Roman" w:cs="Times New Roman"/>
          <w:sz w:val="24"/>
          <w:szCs w:val="24"/>
        </w:rPr>
        <w:t xml:space="preserve"> (or performance of the firm).</w:t>
      </w:r>
    </w:p>
    <w:p w14:paraId="6E961681" w14:textId="69A6EDA0" w:rsidR="00BA3C60" w:rsidRPr="002073F2" w:rsidRDefault="00BA3C60" w:rsidP="00513790">
      <w:pPr>
        <w:spacing w:after="0" w:line="480" w:lineRule="auto"/>
        <w:ind w:firstLine="720"/>
        <w:jc w:val="both"/>
        <w:rPr>
          <w:rFonts w:ascii="Times New Roman" w:hAnsi="Times New Roman" w:cs="Times New Roman"/>
          <w:sz w:val="24"/>
          <w:szCs w:val="24"/>
          <w:highlight w:val="yellow"/>
          <w:lang w:val="en-NZ"/>
        </w:rPr>
      </w:pPr>
      <w:r w:rsidRPr="00E62DA5">
        <w:rPr>
          <w:rFonts w:ascii="Times New Roman" w:hAnsi="Times New Roman" w:cs="Times New Roman"/>
          <w:sz w:val="24"/>
          <w:szCs w:val="24"/>
        </w:rPr>
        <w:t xml:space="preserve">To test Hypothesis 1c, that firms with greater </w:t>
      </w:r>
      <w:r>
        <w:rPr>
          <w:rFonts w:ascii="Times New Roman" w:hAnsi="Times New Roman" w:cs="Times New Roman"/>
          <w:sz w:val="24"/>
          <w:szCs w:val="24"/>
        </w:rPr>
        <w:t>disclosure risk</w:t>
      </w:r>
      <w:r w:rsidRPr="00E62DA5">
        <w:rPr>
          <w:rFonts w:ascii="Times New Roman" w:hAnsi="Times New Roman" w:cs="Times New Roman"/>
          <w:sz w:val="24"/>
          <w:szCs w:val="24"/>
        </w:rPr>
        <w:t xml:space="preserve"> are more likely to disclose via Open Briefings, we</w:t>
      </w:r>
      <w:r>
        <w:rPr>
          <w:rFonts w:ascii="Times New Roman" w:hAnsi="Times New Roman" w:cs="Times New Roman"/>
          <w:sz w:val="24"/>
          <w:szCs w:val="24"/>
        </w:rPr>
        <w:t xml:space="preserve"> run</w:t>
      </w:r>
      <w:r w:rsidRPr="00E62DA5">
        <w:rPr>
          <w:rFonts w:ascii="Times New Roman" w:hAnsi="Times New Roman" w:cs="Times New Roman"/>
          <w:sz w:val="24"/>
          <w:szCs w:val="24"/>
        </w:rPr>
        <w:t xml:space="preserve"> </w:t>
      </w:r>
      <w:r>
        <w:rPr>
          <w:rFonts w:ascii="Times New Roman" w:hAnsi="Times New Roman" w:cs="Times New Roman"/>
          <w:sz w:val="24"/>
          <w:szCs w:val="24"/>
        </w:rPr>
        <w:t xml:space="preserve">the model </w:t>
      </w:r>
      <w:r w:rsidRPr="00E62DA5">
        <w:rPr>
          <w:rFonts w:ascii="Times New Roman" w:hAnsi="Times New Roman" w:cs="Times New Roman"/>
          <w:sz w:val="24"/>
          <w:szCs w:val="24"/>
        </w:rPr>
        <w:t xml:space="preserve">with </w:t>
      </w:r>
      <w:r w:rsidRPr="00E62DA5">
        <w:rPr>
          <w:rFonts w:ascii="Times New Roman" w:hAnsi="Times New Roman" w:cs="Times New Roman"/>
          <w:i/>
          <w:sz w:val="24"/>
          <w:szCs w:val="24"/>
        </w:rPr>
        <w:t>OB</w:t>
      </w:r>
      <w:r w:rsidRPr="00E62DA5">
        <w:rPr>
          <w:rFonts w:ascii="Times New Roman" w:hAnsi="Times New Roman" w:cs="Times New Roman"/>
          <w:sz w:val="24"/>
          <w:szCs w:val="24"/>
        </w:rPr>
        <w:t xml:space="preserve"> as the dependent variable. </w:t>
      </w:r>
      <w:r>
        <w:rPr>
          <w:rFonts w:ascii="Times New Roman" w:hAnsi="Times New Roman" w:cs="Times New Roman"/>
          <w:sz w:val="24"/>
          <w:szCs w:val="24"/>
        </w:rPr>
        <w:t xml:space="preserve">Considering that our setting is one industry, typical measures of industry competitiveness and research and development expenditure are not applicable. Instead we argue that more established, mature </w:t>
      </w:r>
      <w:r w:rsidR="00947ED0">
        <w:rPr>
          <w:rFonts w:ascii="Times New Roman" w:hAnsi="Times New Roman" w:cs="Times New Roman"/>
          <w:sz w:val="24"/>
          <w:szCs w:val="24"/>
        </w:rPr>
        <w:t xml:space="preserve">mining </w:t>
      </w:r>
      <w:r>
        <w:rPr>
          <w:rFonts w:ascii="Times New Roman" w:hAnsi="Times New Roman" w:cs="Times New Roman"/>
          <w:sz w:val="24"/>
          <w:szCs w:val="24"/>
        </w:rPr>
        <w:t xml:space="preserve">firms </w:t>
      </w:r>
      <w:r w:rsidR="00947ED0">
        <w:rPr>
          <w:rFonts w:ascii="Times New Roman" w:hAnsi="Times New Roman" w:cs="Times New Roman"/>
          <w:sz w:val="24"/>
          <w:szCs w:val="24"/>
        </w:rPr>
        <w:t xml:space="preserve">with greater numbers of producing mines </w:t>
      </w:r>
      <w:r>
        <w:rPr>
          <w:rFonts w:ascii="Times New Roman" w:hAnsi="Times New Roman" w:cs="Times New Roman"/>
          <w:sz w:val="24"/>
          <w:szCs w:val="24"/>
        </w:rPr>
        <w:t>will have greater incentives to mitigate any disclosure risk through using a more controlled disclosure outlet. Specifically, we use the test v</w:t>
      </w:r>
      <w:r w:rsidRPr="00E62DA5">
        <w:rPr>
          <w:rFonts w:ascii="Times New Roman" w:hAnsi="Times New Roman" w:cs="Times New Roman"/>
          <w:sz w:val="24"/>
          <w:szCs w:val="24"/>
        </w:rPr>
        <w:t xml:space="preserve">ariables </w:t>
      </w:r>
      <w:proofErr w:type="spellStart"/>
      <w:r w:rsidRPr="00E62DA5">
        <w:rPr>
          <w:rFonts w:ascii="Times New Roman" w:hAnsi="Times New Roman" w:cs="Times New Roman"/>
          <w:i/>
          <w:sz w:val="24"/>
          <w:szCs w:val="24"/>
        </w:rPr>
        <w:t>LnAge</w:t>
      </w:r>
      <w:proofErr w:type="spellEnd"/>
      <w:r w:rsidRPr="00E62DA5">
        <w:rPr>
          <w:rFonts w:ascii="Times New Roman" w:hAnsi="Times New Roman" w:cs="Times New Roman"/>
          <w:i/>
          <w:sz w:val="24"/>
          <w:szCs w:val="24"/>
        </w:rPr>
        <w:t xml:space="preserve">, </w:t>
      </w:r>
      <w:proofErr w:type="spellStart"/>
      <w:r w:rsidRPr="00E62DA5">
        <w:rPr>
          <w:rFonts w:ascii="Times New Roman" w:hAnsi="Times New Roman" w:cs="Times New Roman"/>
          <w:i/>
          <w:sz w:val="24"/>
          <w:szCs w:val="24"/>
        </w:rPr>
        <w:t>LnMCap</w:t>
      </w:r>
      <w:proofErr w:type="spellEnd"/>
      <w:r w:rsidRPr="00E62DA5">
        <w:rPr>
          <w:rFonts w:ascii="Times New Roman" w:hAnsi="Times New Roman" w:cs="Times New Roman"/>
          <w:i/>
          <w:sz w:val="24"/>
          <w:szCs w:val="24"/>
        </w:rPr>
        <w:t>,</w:t>
      </w:r>
      <w:r>
        <w:rPr>
          <w:rFonts w:ascii="Times New Roman" w:hAnsi="Times New Roman" w:cs="Times New Roman"/>
          <w:i/>
          <w:sz w:val="24"/>
          <w:szCs w:val="24"/>
        </w:rPr>
        <w:t xml:space="preserve"> </w:t>
      </w:r>
      <w:r w:rsidRPr="00B201A0">
        <w:rPr>
          <w:rFonts w:ascii="Times New Roman" w:hAnsi="Times New Roman" w:cs="Times New Roman"/>
          <w:sz w:val="24"/>
          <w:szCs w:val="24"/>
        </w:rPr>
        <w:t>and</w:t>
      </w:r>
      <w:r>
        <w:rPr>
          <w:rFonts w:ascii="Times New Roman" w:hAnsi="Times New Roman" w:cs="Times New Roman"/>
          <w:i/>
          <w:sz w:val="24"/>
          <w:szCs w:val="24"/>
        </w:rPr>
        <w:t xml:space="preserve"> </w:t>
      </w:r>
      <w:r w:rsidR="00EE78BA">
        <w:rPr>
          <w:rFonts w:ascii="Times New Roman" w:hAnsi="Times New Roman" w:cs="Times New Roman"/>
          <w:i/>
          <w:sz w:val="24"/>
          <w:szCs w:val="24"/>
        </w:rPr>
        <w:t>TLTA</w:t>
      </w:r>
      <w:r w:rsidR="00047484">
        <w:rPr>
          <w:rFonts w:ascii="Times New Roman" w:hAnsi="Times New Roman" w:cs="Times New Roman"/>
          <w:sz w:val="24"/>
          <w:szCs w:val="24"/>
        </w:rPr>
        <w:t>.</w:t>
      </w:r>
    </w:p>
    <w:p w14:paraId="0EEA4E33" w14:textId="581FF844" w:rsidR="00BA3C60" w:rsidRPr="00DE10CD" w:rsidRDefault="00BA3C60" w:rsidP="002004A3">
      <w:pPr>
        <w:spacing w:after="0" w:line="480" w:lineRule="auto"/>
        <w:ind w:firstLine="720"/>
        <w:jc w:val="both"/>
        <w:rPr>
          <w:rFonts w:ascii="Times New Roman" w:hAnsi="Times New Roman" w:cs="Times New Roman"/>
          <w:sz w:val="24"/>
          <w:szCs w:val="24"/>
          <w:lang w:val="en-NZ"/>
        </w:rPr>
      </w:pPr>
      <w:r w:rsidRPr="00513790">
        <w:rPr>
          <w:rFonts w:ascii="Times New Roman" w:hAnsi="Times New Roman" w:cs="Times New Roman"/>
          <w:sz w:val="24"/>
          <w:szCs w:val="24"/>
          <w:lang w:val="en-NZ"/>
        </w:rPr>
        <w:lastRenderedPageBreak/>
        <w:t>Older (</w:t>
      </w:r>
      <w:proofErr w:type="spellStart"/>
      <w:r w:rsidRPr="00513790">
        <w:rPr>
          <w:rFonts w:ascii="Times New Roman" w:hAnsi="Times New Roman" w:cs="Times New Roman"/>
          <w:i/>
          <w:sz w:val="24"/>
          <w:szCs w:val="24"/>
          <w:lang w:val="en-NZ"/>
        </w:rPr>
        <w:t>LnAge</w:t>
      </w:r>
      <w:proofErr w:type="spellEnd"/>
      <w:r w:rsidRPr="00513790">
        <w:rPr>
          <w:rFonts w:ascii="Times New Roman" w:hAnsi="Times New Roman" w:cs="Times New Roman"/>
          <w:sz w:val="24"/>
          <w:szCs w:val="24"/>
          <w:lang w:val="en-NZ"/>
        </w:rPr>
        <w:t>) a</w:t>
      </w:r>
      <w:r w:rsidRPr="002004A3">
        <w:rPr>
          <w:rFonts w:ascii="Times New Roman" w:hAnsi="Times New Roman" w:cs="Times New Roman"/>
          <w:sz w:val="24"/>
          <w:szCs w:val="24"/>
          <w:lang w:val="en-NZ"/>
        </w:rPr>
        <w:t>nd larger (</w:t>
      </w:r>
      <w:proofErr w:type="spellStart"/>
      <w:r w:rsidRPr="00797733">
        <w:rPr>
          <w:rFonts w:ascii="Times New Roman" w:hAnsi="Times New Roman" w:cs="Times New Roman"/>
          <w:i/>
          <w:sz w:val="24"/>
          <w:szCs w:val="24"/>
          <w:lang w:val="en-NZ"/>
        </w:rPr>
        <w:t>LnMCap</w:t>
      </w:r>
      <w:proofErr w:type="spellEnd"/>
      <w:r w:rsidRPr="002004A3">
        <w:rPr>
          <w:rFonts w:ascii="Times New Roman" w:hAnsi="Times New Roman" w:cs="Times New Roman"/>
          <w:sz w:val="24"/>
          <w:szCs w:val="24"/>
          <w:lang w:val="en-NZ"/>
        </w:rPr>
        <w:t xml:space="preserve">) firms are typically more established and thus </w:t>
      </w:r>
      <w:r>
        <w:rPr>
          <w:rFonts w:ascii="Times New Roman" w:hAnsi="Times New Roman" w:cs="Times New Roman"/>
          <w:sz w:val="24"/>
          <w:szCs w:val="24"/>
          <w:lang w:val="en-NZ"/>
        </w:rPr>
        <w:t xml:space="preserve">are likely more risk averse and prefer </w:t>
      </w:r>
      <w:r w:rsidRPr="002004A3">
        <w:rPr>
          <w:rFonts w:ascii="Times New Roman" w:hAnsi="Times New Roman" w:cs="Times New Roman"/>
          <w:sz w:val="24"/>
          <w:szCs w:val="24"/>
          <w:lang w:val="en-NZ"/>
        </w:rPr>
        <w:t>to disclose in a controlled format</w:t>
      </w:r>
      <w:r>
        <w:rPr>
          <w:rFonts w:ascii="Times New Roman" w:hAnsi="Times New Roman" w:cs="Times New Roman"/>
          <w:sz w:val="24"/>
          <w:szCs w:val="24"/>
          <w:lang w:val="en-NZ"/>
        </w:rPr>
        <w:t xml:space="preserve"> to set the public agenda (</w:t>
      </w:r>
      <w:r w:rsidRPr="00862E8B">
        <w:rPr>
          <w:rFonts w:ascii="Times New Roman" w:hAnsi="Times New Roman" w:cs="Times New Roman"/>
          <w:sz w:val="24"/>
          <w:szCs w:val="24"/>
          <w:lang w:val="en-NZ"/>
        </w:rPr>
        <w:t xml:space="preserve">Carroll </w:t>
      </w:r>
      <w:r>
        <w:rPr>
          <w:rFonts w:ascii="Times New Roman" w:hAnsi="Times New Roman" w:cs="Times New Roman"/>
          <w:sz w:val="24"/>
          <w:szCs w:val="24"/>
          <w:lang w:val="en-NZ"/>
        </w:rPr>
        <w:t xml:space="preserve">and McCombs, 2003). </w:t>
      </w:r>
      <w:r w:rsidRPr="002004A3">
        <w:rPr>
          <w:rFonts w:ascii="Times New Roman" w:hAnsi="Times New Roman" w:cs="Times New Roman"/>
          <w:sz w:val="24"/>
          <w:szCs w:val="24"/>
          <w:lang w:val="en-NZ"/>
        </w:rPr>
        <w:t xml:space="preserve">Prior literature has found that although </w:t>
      </w:r>
      <w:r>
        <w:rPr>
          <w:rFonts w:ascii="Times New Roman" w:hAnsi="Times New Roman" w:cs="Times New Roman"/>
          <w:sz w:val="24"/>
          <w:szCs w:val="24"/>
          <w:lang w:val="en-NZ"/>
        </w:rPr>
        <w:t xml:space="preserve">larger and more mature firms </w:t>
      </w:r>
      <w:r w:rsidRPr="002004A3">
        <w:rPr>
          <w:rFonts w:ascii="Times New Roman" w:hAnsi="Times New Roman" w:cs="Times New Roman"/>
          <w:sz w:val="24"/>
          <w:szCs w:val="24"/>
          <w:lang w:val="en-NZ"/>
        </w:rPr>
        <w:t xml:space="preserve">have higher disclosure (Ball and Foster, 1982; Lang and </w:t>
      </w:r>
      <w:proofErr w:type="spellStart"/>
      <w:r w:rsidRPr="002004A3">
        <w:rPr>
          <w:rFonts w:ascii="Times New Roman" w:hAnsi="Times New Roman" w:cs="Times New Roman"/>
          <w:sz w:val="24"/>
          <w:szCs w:val="24"/>
          <w:lang w:val="en-NZ"/>
        </w:rPr>
        <w:t>Lundholm</w:t>
      </w:r>
      <w:proofErr w:type="spellEnd"/>
      <w:r w:rsidRPr="002004A3">
        <w:rPr>
          <w:rFonts w:ascii="Times New Roman" w:hAnsi="Times New Roman" w:cs="Times New Roman"/>
          <w:sz w:val="24"/>
          <w:szCs w:val="24"/>
          <w:lang w:val="en-NZ"/>
        </w:rPr>
        <w:t xml:space="preserve">, </w:t>
      </w:r>
      <w:r w:rsidR="005575F6">
        <w:rPr>
          <w:rFonts w:ascii="Times New Roman" w:hAnsi="Times New Roman" w:cs="Times New Roman"/>
          <w:sz w:val="24"/>
          <w:szCs w:val="24"/>
          <w:lang w:val="en-NZ"/>
        </w:rPr>
        <w:t>1993</w:t>
      </w:r>
      <w:r w:rsidRPr="002004A3">
        <w:rPr>
          <w:rFonts w:ascii="Times New Roman" w:hAnsi="Times New Roman" w:cs="Times New Roman"/>
          <w:sz w:val="24"/>
          <w:szCs w:val="24"/>
          <w:lang w:val="en-NZ"/>
        </w:rPr>
        <w:t xml:space="preserve">) they disclose less through outlets </w:t>
      </w:r>
      <w:r>
        <w:rPr>
          <w:rFonts w:ascii="Times New Roman" w:hAnsi="Times New Roman" w:cs="Times New Roman"/>
          <w:sz w:val="24"/>
          <w:szCs w:val="24"/>
          <w:lang w:val="en-NZ"/>
        </w:rPr>
        <w:t>where they cannot control the content</w:t>
      </w:r>
      <w:r w:rsidRPr="002004A3">
        <w:rPr>
          <w:rFonts w:ascii="Times New Roman" w:hAnsi="Times New Roman" w:cs="Times New Roman"/>
          <w:sz w:val="24"/>
          <w:szCs w:val="24"/>
          <w:lang w:val="en-NZ"/>
        </w:rPr>
        <w:t xml:space="preserve"> (Kirk, 2011).</w:t>
      </w:r>
      <w:r>
        <w:rPr>
          <w:rFonts w:ascii="Times New Roman" w:hAnsi="Times New Roman" w:cs="Times New Roman"/>
          <w:sz w:val="24"/>
          <w:szCs w:val="24"/>
          <w:lang w:val="en-NZ"/>
        </w:rPr>
        <w:t xml:space="preserve"> </w:t>
      </w:r>
      <w:proofErr w:type="spellStart"/>
      <w:r>
        <w:rPr>
          <w:rFonts w:ascii="Times New Roman" w:hAnsi="Times New Roman" w:cs="Times New Roman"/>
          <w:sz w:val="24"/>
          <w:szCs w:val="24"/>
          <w:lang w:val="en-NZ"/>
        </w:rPr>
        <w:t>Bushee</w:t>
      </w:r>
      <w:proofErr w:type="spellEnd"/>
      <w:r>
        <w:rPr>
          <w:rFonts w:ascii="Times New Roman" w:hAnsi="Times New Roman" w:cs="Times New Roman"/>
          <w:sz w:val="24"/>
          <w:szCs w:val="24"/>
          <w:lang w:val="en-NZ"/>
        </w:rPr>
        <w:t xml:space="preserve"> </w:t>
      </w:r>
      <w:r w:rsidRPr="005140D7">
        <w:rPr>
          <w:rFonts w:ascii="Times New Roman" w:hAnsi="Times New Roman" w:cs="Times New Roman"/>
          <w:i/>
          <w:sz w:val="24"/>
          <w:szCs w:val="24"/>
          <w:lang w:val="en-NZ"/>
        </w:rPr>
        <w:t>et al</w:t>
      </w:r>
      <w:r w:rsidRPr="00BA3C60">
        <w:rPr>
          <w:rFonts w:ascii="Times New Roman" w:hAnsi="Times New Roman" w:cs="Times New Roman"/>
          <w:sz w:val="24"/>
          <w:szCs w:val="24"/>
          <w:lang w:val="en-NZ"/>
        </w:rPr>
        <w:t>.</w:t>
      </w:r>
      <w:r>
        <w:rPr>
          <w:rFonts w:ascii="Times New Roman" w:hAnsi="Times New Roman" w:cs="Times New Roman"/>
          <w:sz w:val="24"/>
          <w:szCs w:val="24"/>
          <w:lang w:val="en-NZ"/>
        </w:rPr>
        <w:t xml:space="preserve"> (2003) finds that larger and older firms prefer to hold a closed conference call (where they have more control over the format) than an open conference call, thus managing disclosure risk.</w:t>
      </w:r>
    </w:p>
    <w:p w14:paraId="4DC6AD67" w14:textId="2C8EDEA9" w:rsidR="00BA3C60" w:rsidRPr="002004A3" w:rsidRDefault="00017844" w:rsidP="007D0A3E">
      <w:pPr>
        <w:spacing w:after="0" w:line="480" w:lineRule="auto"/>
        <w:ind w:firstLine="720"/>
        <w:jc w:val="both"/>
        <w:rPr>
          <w:rFonts w:ascii="Times New Roman" w:hAnsi="Times New Roman" w:cs="Times New Roman"/>
          <w:sz w:val="24"/>
          <w:szCs w:val="24"/>
          <w:lang w:val="en-NZ"/>
        </w:rPr>
      </w:pPr>
      <w:r>
        <w:rPr>
          <w:rFonts w:ascii="Times New Roman" w:hAnsi="Times New Roman" w:cs="Times New Roman"/>
          <w:i/>
          <w:sz w:val="24"/>
          <w:szCs w:val="24"/>
        </w:rPr>
        <w:t>TLTA</w:t>
      </w:r>
      <w:r w:rsidR="00BA3C60" w:rsidRPr="002004A3">
        <w:rPr>
          <w:rFonts w:ascii="Times New Roman" w:hAnsi="Times New Roman" w:cs="Times New Roman"/>
          <w:sz w:val="24"/>
          <w:szCs w:val="24"/>
        </w:rPr>
        <w:t xml:space="preserve"> is </w:t>
      </w:r>
      <w:r>
        <w:rPr>
          <w:rFonts w:ascii="Times New Roman" w:hAnsi="Times New Roman" w:cs="Times New Roman"/>
          <w:sz w:val="24"/>
          <w:szCs w:val="24"/>
        </w:rPr>
        <w:t xml:space="preserve">calculated as </w:t>
      </w:r>
      <w:r w:rsidRPr="002004A3">
        <w:rPr>
          <w:rFonts w:ascii="Times New Roman" w:hAnsi="Times New Roman" w:cs="Times New Roman"/>
          <w:sz w:val="24"/>
          <w:szCs w:val="24"/>
        </w:rPr>
        <w:t>total</w:t>
      </w:r>
      <w:r w:rsidR="00BA3C60" w:rsidRPr="002004A3">
        <w:rPr>
          <w:rFonts w:ascii="Times New Roman" w:hAnsi="Times New Roman" w:cs="Times New Roman"/>
          <w:sz w:val="24"/>
          <w:szCs w:val="24"/>
        </w:rPr>
        <w:t xml:space="preserve"> liabilities</w:t>
      </w:r>
      <w:r>
        <w:rPr>
          <w:rFonts w:ascii="Times New Roman" w:hAnsi="Times New Roman" w:cs="Times New Roman"/>
          <w:sz w:val="24"/>
          <w:szCs w:val="24"/>
        </w:rPr>
        <w:t xml:space="preserve"> divided by </w:t>
      </w:r>
      <w:r w:rsidR="00BA3C60" w:rsidRPr="002004A3">
        <w:rPr>
          <w:rFonts w:ascii="Times New Roman" w:hAnsi="Times New Roman" w:cs="Times New Roman"/>
          <w:sz w:val="24"/>
          <w:szCs w:val="24"/>
        </w:rPr>
        <w:t xml:space="preserve">total </w:t>
      </w:r>
      <w:r>
        <w:rPr>
          <w:rFonts w:ascii="Times New Roman" w:hAnsi="Times New Roman" w:cs="Times New Roman"/>
          <w:sz w:val="24"/>
          <w:szCs w:val="24"/>
        </w:rPr>
        <w:t>assets</w:t>
      </w:r>
      <w:r w:rsidR="00BA3C60" w:rsidRPr="002004A3">
        <w:rPr>
          <w:rFonts w:ascii="Times New Roman" w:hAnsi="Times New Roman" w:cs="Times New Roman"/>
          <w:sz w:val="24"/>
          <w:szCs w:val="24"/>
        </w:rPr>
        <w:t xml:space="preserve"> of firm </w:t>
      </w:r>
      <w:proofErr w:type="spellStart"/>
      <w:r w:rsidR="00BA3C60" w:rsidRPr="002004A3">
        <w:rPr>
          <w:rFonts w:ascii="Times New Roman" w:hAnsi="Times New Roman" w:cs="Times New Roman"/>
          <w:i/>
          <w:sz w:val="24"/>
          <w:szCs w:val="24"/>
        </w:rPr>
        <w:t>i</w:t>
      </w:r>
      <w:proofErr w:type="spellEnd"/>
      <w:r w:rsidR="00BA3C60" w:rsidRPr="002004A3">
        <w:rPr>
          <w:rFonts w:ascii="Times New Roman" w:hAnsi="Times New Roman" w:cs="Times New Roman"/>
          <w:i/>
          <w:sz w:val="24"/>
          <w:szCs w:val="24"/>
        </w:rPr>
        <w:t xml:space="preserve"> </w:t>
      </w:r>
      <w:r w:rsidR="00BA3C60" w:rsidRPr="002004A3">
        <w:rPr>
          <w:rFonts w:ascii="Times New Roman" w:hAnsi="Times New Roman" w:cs="Times New Roman"/>
          <w:sz w:val="24"/>
          <w:szCs w:val="24"/>
        </w:rPr>
        <w:t xml:space="preserve">as reported in the most recent annual report at time </w:t>
      </w:r>
      <w:r w:rsidR="00BA3C60" w:rsidRPr="002004A3">
        <w:rPr>
          <w:rFonts w:ascii="Times New Roman" w:hAnsi="Times New Roman" w:cs="Times New Roman"/>
          <w:i/>
          <w:sz w:val="24"/>
          <w:szCs w:val="24"/>
        </w:rPr>
        <w:t>t</w:t>
      </w:r>
      <w:r w:rsidR="00BA3C60" w:rsidRPr="002004A3">
        <w:rPr>
          <w:rFonts w:ascii="Times New Roman" w:hAnsi="Times New Roman" w:cs="Times New Roman"/>
          <w:sz w:val="24"/>
          <w:szCs w:val="24"/>
        </w:rPr>
        <w:t>.</w:t>
      </w:r>
      <w:r w:rsidR="00BA3C60" w:rsidRPr="002004A3">
        <w:rPr>
          <w:rFonts w:ascii="Times New Roman" w:eastAsiaTheme="minorEastAsia" w:hAnsi="Times New Roman" w:cs="Times New Roman"/>
          <w:sz w:val="24"/>
          <w:szCs w:val="24"/>
        </w:rPr>
        <w:t xml:space="preserve"> Firms with higher leverage are riskier and thus disclose more information to offset concerns (</w:t>
      </w:r>
      <w:proofErr w:type="spellStart"/>
      <w:r w:rsidR="00BA3C60" w:rsidRPr="002004A3">
        <w:rPr>
          <w:rFonts w:ascii="Times New Roman" w:eastAsiaTheme="minorEastAsia" w:hAnsi="Times New Roman" w:cs="Times New Roman"/>
          <w:sz w:val="24"/>
          <w:szCs w:val="24"/>
        </w:rPr>
        <w:t>Bushee</w:t>
      </w:r>
      <w:proofErr w:type="spellEnd"/>
      <w:r w:rsidR="00BA3C60" w:rsidRPr="002004A3">
        <w:rPr>
          <w:rFonts w:ascii="Times New Roman" w:eastAsiaTheme="minorEastAsia" w:hAnsi="Times New Roman" w:cs="Times New Roman"/>
          <w:sz w:val="24"/>
          <w:szCs w:val="24"/>
        </w:rPr>
        <w:t xml:space="preserve"> and Miller, 2012). Thus we might expect risker firms to disclose via the controlled format of an Open Briefing to mitigate disclosure risk</w:t>
      </w:r>
      <w:r w:rsidR="00BA3C60">
        <w:rPr>
          <w:rFonts w:ascii="Times New Roman" w:eastAsiaTheme="minorEastAsia" w:hAnsi="Times New Roman" w:cs="Times New Roman"/>
          <w:sz w:val="24"/>
          <w:szCs w:val="24"/>
        </w:rPr>
        <w:t>.</w:t>
      </w:r>
    </w:p>
    <w:p w14:paraId="59F72F12" w14:textId="77777777" w:rsidR="00BA3C60" w:rsidRDefault="00BA3C60" w:rsidP="00652912">
      <w:pPr>
        <w:spacing w:after="0" w:line="480" w:lineRule="auto"/>
        <w:jc w:val="both"/>
        <w:rPr>
          <w:rFonts w:ascii="Times New Roman" w:hAnsi="Times New Roman" w:cs="Times New Roman"/>
          <w:sz w:val="24"/>
          <w:szCs w:val="24"/>
        </w:rPr>
      </w:pPr>
    </w:p>
    <w:p w14:paraId="7AD59988" w14:textId="77777777" w:rsidR="00BA3C60" w:rsidRPr="00561DAB" w:rsidRDefault="00BA3C60" w:rsidP="00750278">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3.3.2 Market reaction to disclosure outlet choice</w:t>
      </w:r>
    </w:p>
    <w:p w14:paraId="6F6FE7FF" w14:textId="08C3C03C" w:rsidR="00BA3C60" w:rsidRDefault="00BA3C60" w:rsidP="000A65F1">
      <w:pPr>
        <w:spacing w:after="0" w:line="480" w:lineRule="auto"/>
        <w:ind w:firstLine="720"/>
        <w:jc w:val="both"/>
        <w:rPr>
          <w:rFonts w:ascii="Times New Roman" w:hAnsi="Times New Roman" w:cs="Times New Roman"/>
          <w:sz w:val="24"/>
          <w:szCs w:val="24"/>
          <w:lang w:val="en-NZ"/>
        </w:rPr>
      </w:pPr>
      <w:r>
        <w:rPr>
          <w:rFonts w:ascii="Times New Roman" w:hAnsi="Times New Roman" w:cs="Times New Roman"/>
          <w:sz w:val="24"/>
          <w:szCs w:val="24"/>
        </w:rPr>
        <w:t xml:space="preserve">We test whether the </w:t>
      </w:r>
      <w:r>
        <w:rPr>
          <w:rFonts w:ascii="Times New Roman" w:hAnsi="Times New Roman" w:cs="Times New Roman"/>
          <w:sz w:val="24"/>
          <w:szCs w:val="24"/>
          <w:lang w:val="en-NZ"/>
        </w:rPr>
        <w:t>market reaction around each disclosure outlet</w:t>
      </w:r>
      <w:r>
        <w:rPr>
          <w:rFonts w:ascii="Times New Roman" w:hAnsi="Times New Roman" w:cs="Times New Roman"/>
          <w:sz w:val="24"/>
          <w:szCs w:val="24"/>
        </w:rPr>
        <w:t xml:space="preserve"> is</w:t>
      </w:r>
      <w:r>
        <w:rPr>
          <w:rFonts w:ascii="Times New Roman" w:hAnsi="Times New Roman" w:cs="Times New Roman"/>
          <w:sz w:val="24"/>
          <w:szCs w:val="24"/>
          <w:lang w:val="en-NZ"/>
        </w:rPr>
        <w:t xml:space="preserve"> significantly different from 0 on average</w:t>
      </w:r>
      <w:r w:rsidR="008836DB">
        <w:rPr>
          <w:rFonts w:ascii="Times New Roman" w:hAnsi="Times New Roman" w:cs="Times New Roman"/>
          <w:sz w:val="24"/>
          <w:szCs w:val="24"/>
          <w:lang w:val="en-NZ"/>
        </w:rPr>
        <w:t xml:space="preserve"> using</w:t>
      </w:r>
      <w:r>
        <w:rPr>
          <w:rFonts w:ascii="Times New Roman" w:hAnsi="Times New Roman" w:cs="Times New Roman"/>
          <w:sz w:val="24"/>
          <w:szCs w:val="24"/>
          <w:lang w:val="en-NZ"/>
        </w:rPr>
        <w:t xml:space="preserve"> both absolute and signed abnormal return</w:t>
      </w:r>
      <w:r w:rsidR="008836DB">
        <w:rPr>
          <w:rFonts w:ascii="Times New Roman" w:hAnsi="Times New Roman" w:cs="Times New Roman"/>
          <w:sz w:val="24"/>
          <w:szCs w:val="24"/>
          <w:lang w:val="en-NZ"/>
        </w:rPr>
        <w:t>s.</w:t>
      </w:r>
      <w:r>
        <w:rPr>
          <w:rFonts w:ascii="Times New Roman" w:hAnsi="Times New Roman" w:cs="Times New Roman"/>
          <w:sz w:val="24"/>
          <w:szCs w:val="24"/>
          <w:lang w:val="en-NZ"/>
        </w:rPr>
        <w:t xml:space="preserve"> </w:t>
      </w:r>
      <w:r w:rsidR="008836DB">
        <w:rPr>
          <w:rFonts w:ascii="Times New Roman" w:hAnsi="Times New Roman" w:cs="Times New Roman"/>
          <w:sz w:val="24"/>
          <w:szCs w:val="24"/>
          <w:lang w:val="en-NZ"/>
        </w:rPr>
        <w:t xml:space="preserve">This is due to </w:t>
      </w:r>
      <w:r>
        <w:rPr>
          <w:rFonts w:ascii="Times New Roman" w:hAnsi="Times New Roman" w:cs="Times New Roman"/>
          <w:sz w:val="24"/>
          <w:szCs w:val="24"/>
          <w:lang w:val="en-NZ"/>
        </w:rPr>
        <w:t>absolute abnormal return</w:t>
      </w:r>
      <w:r w:rsidR="008836DB">
        <w:rPr>
          <w:rFonts w:ascii="Times New Roman" w:hAnsi="Times New Roman" w:cs="Times New Roman"/>
          <w:sz w:val="24"/>
          <w:szCs w:val="24"/>
          <w:lang w:val="en-NZ"/>
        </w:rPr>
        <w:t>s</w:t>
      </w:r>
      <w:r>
        <w:rPr>
          <w:rFonts w:ascii="Times New Roman" w:hAnsi="Times New Roman" w:cs="Times New Roman"/>
          <w:sz w:val="24"/>
          <w:szCs w:val="24"/>
          <w:lang w:val="en-NZ"/>
        </w:rPr>
        <w:t xml:space="preserve"> provid</w:t>
      </w:r>
      <w:r w:rsidR="008836DB">
        <w:rPr>
          <w:rFonts w:ascii="Times New Roman" w:hAnsi="Times New Roman" w:cs="Times New Roman"/>
          <w:sz w:val="24"/>
          <w:szCs w:val="24"/>
          <w:lang w:val="en-NZ"/>
        </w:rPr>
        <w:t>ing</w:t>
      </w:r>
      <w:r>
        <w:rPr>
          <w:rFonts w:ascii="Times New Roman" w:hAnsi="Times New Roman" w:cs="Times New Roman"/>
          <w:sz w:val="24"/>
          <w:szCs w:val="24"/>
          <w:lang w:val="en-NZ"/>
        </w:rPr>
        <w:t xml:space="preserve"> evidence of a revision in investor expectations (i.e.</w:t>
      </w:r>
      <w:r w:rsidR="008836DB">
        <w:rPr>
          <w:rFonts w:ascii="Times New Roman" w:hAnsi="Times New Roman" w:cs="Times New Roman"/>
          <w:sz w:val="24"/>
          <w:szCs w:val="24"/>
          <w:lang w:val="en-NZ"/>
        </w:rPr>
        <w:t>,</w:t>
      </w:r>
      <w:r>
        <w:rPr>
          <w:rFonts w:ascii="Times New Roman" w:hAnsi="Times New Roman" w:cs="Times New Roman"/>
          <w:sz w:val="24"/>
          <w:szCs w:val="24"/>
          <w:lang w:val="en-NZ"/>
        </w:rPr>
        <w:t xml:space="preserve"> information content) without having to predict the direction of the revision</w:t>
      </w:r>
      <w:r w:rsidRPr="004379A3">
        <w:rPr>
          <w:rFonts w:ascii="Times New Roman" w:hAnsi="Times New Roman" w:cs="Times New Roman"/>
          <w:sz w:val="24"/>
          <w:szCs w:val="24"/>
          <w:lang w:val="en-NZ"/>
        </w:rPr>
        <w:t xml:space="preserve"> </w:t>
      </w:r>
      <w:r>
        <w:rPr>
          <w:rFonts w:ascii="Times New Roman" w:hAnsi="Times New Roman" w:cs="Times New Roman"/>
          <w:sz w:val="24"/>
          <w:szCs w:val="24"/>
          <w:lang w:val="en-NZ"/>
        </w:rPr>
        <w:t>(Beaver, 1968). Absolute abnormal return may be more appropriate for our setting, as we are comparing the effect of different disclosure outlets without expecting one disclosure outlet to have comparatively more unexpectedly positive (or negative) news. We calculate abnormal return (</w:t>
      </w:r>
      <w:r w:rsidRPr="005C0DF0">
        <w:rPr>
          <w:rFonts w:ascii="Times New Roman" w:hAnsi="Times New Roman" w:cs="Times New Roman"/>
          <w:i/>
          <w:sz w:val="24"/>
          <w:szCs w:val="24"/>
          <w:lang w:val="en-NZ"/>
        </w:rPr>
        <w:t>AR</w:t>
      </w:r>
      <w:r>
        <w:rPr>
          <w:rFonts w:ascii="Times New Roman" w:hAnsi="Times New Roman" w:cs="Times New Roman"/>
          <w:sz w:val="24"/>
          <w:szCs w:val="24"/>
          <w:lang w:val="en-NZ"/>
        </w:rPr>
        <w:t>) as:</w:t>
      </w:r>
    </w:p>
    <w:p w14:paraId="33240990" w14:textId="49AC61C2" w:rsidR="00BA3C60" w:rsidRDefault="00B25C69" w:rsidP="008C46CF">
      <w:pPr>
        <w:spacing w:after="0" w:line="480" w:lineRule="auto"/>
        <w:ind w:left="720"/>
        <w:jc w:val="both"/>
        <w:rPr>
          <w:rFonts w:ascii="Times New Roman" w:hAnsi="Times New Roman" w:cs="Times New Roman"/>
          <w:sz w:val="24"/>
          <w:szCs w:val="24"/>
          <w:lang w:val="en-NZ"/>
        </w:rPr>
      </w:pP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AR</m:t>
            </m:r>
          </m:e>
          <m:sub>
            <m:r>
              <w:rPr>
                <w:rFonts w:ascii="Cambria Math" w:hAnsi="Cambria Math" w:cs="Times New Roman"/>
                <w:sz w:val="24"/>
                <w:szCs w:val="24"/>
                <w:lang w:val="en-NZ"/>
              </w:rPr>
              <m:t>i,  t</m:t>
            </m:r>
          </m:sub>
        </m:sSub>
        <m:r>
          <w:rPr>
            <w:rFonts w:ascii="Cambria Math" w:hAnsi="Cambria Math" w:cs="Times New Roman"/>
            <w:sz w:val="24"/>
            <w:szCs w:val="24"/>
            <w:lang w:val="en-NZ"/>
          </w:rPr>
          <m:t>=ln</m:t>
        </m:r>
        <m:d>
          <m:dPr>
            <m:begChr m:val="["/>
            <m:endChr m:val="]"/>
            <m:ctrlPr>
              <w:rPr>
                <w:rFonts w:ascii="Cambria Math" w:hAnsi="Cambria Math" w:cs="Times New Roman"/>
                <w:i/>
                <w:sz w:val="24"/>
                <w:szCs w:val="24"/>
                <w:lang w:val="en-NZ"/>
              </w:rPr>
            </m:ctrlPr>
          </m:dPr>
          <m:e>
            <m:f>
              <m:fPr>
                <m:ctrlPr>
                  <w:rPr>
                    <w:rFonts w:ascii="Cambria Math" w:hAnsi="Cambria Math" w:cs="Times New Roman"/>
                    <w:i/>
                    <w:sz w:val="24"/>
                    <w:szCs w:val="24"/>
                    <w:lang w:val="en-NZ"/>
                  </w:rPr>
                </m:ctrlPr>
              </m:fPr>
              <m:num>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i,t</m:t>
                    </m:r>
                  </m:sub>
                </m:sSub>
              </m:num>
              <m:den>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i,t-1</m:t>
                    </m:r>
                  </m:sub>
                </m:sSub>
              </m:den>
            </m:f>
          </m:e>
        </m:d>
        <m:r>
          <w:rPr>
            <w:rFonts w:ascii="Cambria Math" w:hAnsi="Cambria Math" w:cs="Times New Roman"/>
            <w:sz w:val="24"/>
            <w:szCs w:val="24"/>
            <w:lang w:val="en-NZ"/>
          </w:rPr>
          <m:t>-ln</m:t>
        </m:r>
        <m:d>
          <m:dPr>
            <m:begChr m:val="["/>
            <m:endChr m:val="]"/>
            <m:ctrlPr>
              <w:rPr>
                <w:rFonts w:ascii="Cambria Math" w:hAnsi="Cambria Math" w:cs="Times New Roman"/>
                <w:i/>
                <w:sz w:val="24"/>
                <w:szCs w:val="24"/>
                <w:lang w:val="en-NZ"/>
              </w:rPr>
            </m:ctrlPr>
          </m:dPr>
          <m:e>
            <m:f>
              <m:fPr>
                <m:ctrlPr>
                  <w:rPr>
                    <w:rFonts w:ascii="Cambria Math" w:hAnsi="Cambria Math" w:cs="Times New Roman"/>
                    <w:i/>
                    <w:sz w:val="24"/>
                    <w:szCs w:val="24"/>
                    <w:lang w:val="en-NZ"/>
                  </w:rPr>
                </m:ctrlPr>
              </m:fPr>
              <m:num>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scm,t</m:t>
                    </m:r>
                  </m:sub>
                </m:sSub>
              </m:num>
              <m:den>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scm,t-1</m:t>
                    </m:r>
                  </m:sub>
                </m:sSub>
              </m:den>
            </m:f>
          </m:e>
        </m:d>
      </m:oMath>
      <w:r w:rsidR="00BA3C60">
        <w:rPr>
          <w:rFonts w:ascii="Times New Roman" w:hAnsi="Times New Roman" w:cs="Times New Roman"/>
          <w:sz w:val="24"/>
          <w:szCs w:val="24"/>
          <w:lang w:val="en-NZ"/>
        </w:rPr>
        <w:t xml:space="preserve"> </w:t>
      </w:r>
    </w:p>
    <w:p w14:paraId="088FB0C2" w14:textId="77777777" w:rsidR="00BA3C60" w:rsidRDefault="00BA3C60" w:rsidP="0039685B">
      <w:pPr>
        <w:spacing w:after="0" w:line="480" w:lineRule="auto"/>
        <w:ind w:firstLine="720"/>
        <w:jc w:val="both"/>
        <w:rPr>
          <w:rFonts w:ascii="Times New Roman" w:hAnsi="Times New Roman" w:cs="Times New Roman"/>
          <w:sz w:val="24"/>
          <w:szCs w:val="24"/>
          <w:lang w:val="en-NZ"/>
        </w:rPr>
      </w:pPr>
    </w:p>
    <w:p w14:paraId="0B7CB4FB" w14:textId="77777777" w:rsidR="00BA3C60" w:rsidRDefault="00BA3C60" w:rsidP="0039685B">
      <w:pPr>
        <w:spacing w:after="0" w:line="480" w:lineRule="auto"/>
        <w:ind w:firstLine="720"/>
        <w:jc w:val="both"/>
        <w:rPr>
          <w:rFonts w:ascii="Times New Roman" w:hAnsi="Times New Roman" w:cs="Times New Roman"/>
          <w:sz w:val="24"/>
          <w:szCs w:val="24"/>
          <w:lang w:val="en-NZ"/>
        </w:rPr>
      </w:pPr>
      <w:r>
        <w:rPr>
          <w:rFonts w:ascii="Times New Roman" w:hAnsi="Times New Roman" w:cs="Times New Roman"/>
          <w:sz w:val="24"/>
          <w:szCs w:val="24"/>
          <w:lang w:val="en-NZ"/>
        </w:rPr>
        <w:lastRenderedPageBreak/>
        <w:t xml:space="preserve">Where </w:t>
      </w: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AR</m:t>
            </m:r>
          </m:e>
          <m:sub>
            <m:r>
              <w:rPr>
                <w:rFonts w:ascii="Cambria Math" w:hAnsi="Cambria Math" w:cs="Times New Roman"/>
                <w:sz w:val="24"/>
                <w:szCs w:val="24"/>
                <w:lang w:val="en-NZ"/>
              </w:rPr>
              <m:t>i,t</m:t>
            </m:r>
          </m:sub>
        </m:sSub>
      </m:oMath>
      <w:proofErr w:type="gramStart"/>
      <w:r>
        <w:rPr>
          <w:rFonts w:ascii="Times New Roman" w:hAnsi="Times New Roman" w:cs="Times New Roman"/>
          <w:sz w:val="24"/>
          <w:szCs w:val="24"/>
          <w:lang w:val="en-NZ"/>
        </w:rPr>
        <w:t xml:space="preserve"> is the abnormal</w:t>
      </w:r>
      <w:proofErr w:type="gramEnd"/>
      <w:r>
        <w:rPr>
          <w:rFonts w:ascii="Times New Roman" w:hAnsi="Times New Roman" w:cs="Times New Roman"/>
          <w:sz w:val="24"/>
          <w:szCs w:val="24"/>
          <w:lang w:val="en-NZ"/>
        </w:rPr>
        <w:t xml:space="preserve"> return of firm </w:t>
      </w:r>
      <w:proofErr w:type="spellStart"/>
      <w:r>
        <w:rPr>
          <w:rFonts w:ascii="Times New Roman" w:hAnsi="Times New Roman" w:cs="Times New Roman"/>
          <w:i/>
          <w:sz w:val="24"/>
          <w:szCs w:val="24"/>
          <w:lang w:val="en-NZ"/>
        </w:rPr>
        <w:t>i</w:t>
      </w:r>
      <w:proofErr w:type="spellEnd"/>
      <w:r>
        <w:rPr>
          <w:rFonts w:ascii="Times New Roman" w:hAnsi="Times New Roman" w:cs="Times New Roman"/>
          <w:sz w:val="24"/>
          <w:szCs w:val="24"/>
          <w:lang w:val="en-NZ"/>
        </w:rPr>
        <w:t xml:space="preserve"> at time </w:t>
      </w:r>
      <w:r>
        <w:rPr>
          <w:rFonts w:ascii="Times New Roman" w:hAnsi="Times New Roman" w:cs="Times New Roman"/>
          <w:i/>
          <w:sz w:val="24"/>
          <w:szCs w:val="24"/>
          <w:lang w:val="en-NZ"/>
        </w:rPr>
        <w:t>t</w:t>
      </w:r>
      <w:r>
        <w:rPr>
          <w:rFonts w:ascii="Times New Roman" w:hAnsi="Times New Roman" w:cs="Times New Roman"/>
          <w:sz w:val="24"/>
          <w:szCs w:val="24"/>
          <w:lang w:val="en-NZ"/>
        </w:rPr>
        <w:t xml:space="preserve">, </w:t>
      </w: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i,t</m:t>
            </m:r>
          </m:sub>
        </m:sSub>
      </m:oMath>
      <w:r>
        <w:rPr>
          <w:rFonts w:ascii="Times New Roman" w:hAnsi="Times New Roman" w:cs="Times New Roman"/>
          <w:sz w:val="24"/>
          <w:szCs w:val="24"/>
          <w:lang w:val="en-NZ"/>
        </w:rPr>
        <w:t xml:space="preserve"> is the share price of firm </w:t>
      </w:r>
      <w:proofErr w:type="spellStart"/>
      <w:r>
        <w:rPr>
          <w:rFonts w:ascii="Times New Roman" w:hAnsi="Times New Roman" w:cs="Times New Roman"/>
          <w:i/>
          <w:sz w:val="24"/>
          <w:szCs w:val="24"/>
          <w:lang w:val="en-NZ"/>
        </w:rPr>
        <w:t>i</w:t>
      </w:r>
      <w:proofErr w:type="spellEnd"/>
      <w:r>
        <w:rPr>
          <w:rFonts w:ascii="Times New Roman" w:hAnsi="Times New Roman" w:cs="Times New Roman"/>
          <w:sz w:val="24"/>
          <w:szCs w:val="24"/>
          <w:lang w:val="en-NZ"/>
        </w:rPr>
        <w:t xml:space="preserve"> at time </w:t>
      </w:r>
      <w:r>
        <w:rPr>
          <w:rFonts w:ascii="Times New Roman" w:hAnsi="Times New Roman" w:cs="Times New Roman"/>
          <w:i/>
          <w:sz w:val="24"/>
          <w:szCs w:val="24"/>
          <w:lang w:val="en-NZ"/>
        </w:rPr>
        <w:t>t</w:t>
      </w:r>
      <w:r>
        <w:rPr>
          <w:rFonts w:ascii="Times New Roman" w:hAnsi="Times New Roman" w:cs="Times New Roman"/>
          <w:sz w:val="24"/>
          <w:szCs w:val="24"/>
          <w:lang w:val="en-NZ"/>
        </w:rPr>
        <w:t xml:space="preserve"> and </w:t>
      </w: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P</m:t>
            </m:r>
          </m:e>
          <m:sub>
            <m:r>
              <w:rPr>
                <w:rFonts w:ascii="Cambria Math" w:hAnsi="Cambria Math" w:cs="Times New Roman"/>
                <w:sz w:val="24"/>
                <w:szCs w:val="24"/>
                <w:lang w:val="en-NZ"/>
              </w:rPr>
              <m:t>scm,t</m:t>
            </m:r>
          </m:sub>
        </m:sSub>
      </m:oMath>
      <w:r>
        <w:rPr>
          <w:rFonts w:ascii="Times New Roman" w:hAnsi="Times New Roman" w:cs="Times New Roman"/>
          <w:sz w:val="24"/>
          <w:szCs w:val="24"/>
          <w:lang w:val="en-NZ"/>
        </w:rPr>
        <w:t xml:space="preserve"> is the price of the small cap mining index at time </w:t>
      </w:r>
      <w:r>
        <w:rPr>
          <w:rFonts w:ascii="Times New Roman" w:hAnsi="Times New Roman" w:cs="Times New Roman"/>
          <w:i/>
          <w:sz w:val="24"/>
          <w:szCs w:val="24"/>
          <w:lang w:val="en-NZ"/>
        </w:rPr>
        <w:t>t</w:t>
      </w:r>
      <w:r>
        <w:rPr>
          <w:rFonts w:ascii="Times New Roman" w:hAnsi="Times New Roman" w:cs="Times New Roman"/>
          <w:sz w:val="24"/>
          <w:szCs w:val="24"/>
          <w:lang w:val="en-NZ"/>
        </w:rPr>
        <w:t>.</w:t>
      </w:r>
    </w:p>
    <w:p w14:paraId="3C51757F" w14:textId="58B2674F" w:rsidR="00034881" w:rsidRPr="004C14F0" w:rsidRDefault="00BA3C60" w:rsidP="004C14F0">
      <w:pPr>
        <w:spacing w:after="0" w:line="480" w:lineRule="auto"/>
        <w:ind w:firstLine="720"/>
        <w:jc w:val="both"/>
        <w:rPr>
          <w:rFonts w:ascii="Times New Roman" w:hAnsi="Times New Roman" w:cs="Times New Roman"/>
          <w:sz w:val="24"/>
          <w:szCs w:val="24"/>
          <w:lang w:val="en-NZ"/>
        </w:rPr>
      </w:pPr>
      <w:r w:rsidRPr="00CF0CD6">
        <w:rPr>
          <w:rFonts w:ascii="Times New Roman" w:hAnsi="Times New Roman" w:cs="Times New Roman"/>
          <w:sz w:val="24"/>
          <w:szCs w:val="24"/>
          <w:lang w:val="en-NZ"/>
        </w:rPr>
        <w:t xml:space="preserve">We then test whether </w:t>
      </w:r>
      <w:r>
        <w:rPr>
          <w:rFonts w:ascii="Times New Roman" w:hAnsi="Times New Roman" w:cs="Times New Roman"/>
          <w:sz w:val="24"/>
          <w:szCs w:val="24"/>
          <w:lang w:val="en-NZ"/>
        </w:rPr>
        <w:t xml:space="preserve">the </w:t>
      </w:r>
      <w:r w:rsidR="00A548AD">
        <w:rPr>
          <w:rFonts w:ascii="Times New Roman" w:hAnsi="Times New Roman" w:cs="Times New Roman"/>
          <w:sz w:val="24"/>
          <w:szCs w:val="24"/>
          <w:lang w:val="en-NZ"/>
        </w:rPr>
        <w:t>abnormal return</w:t>
      </w:r>
      <w:r>
        <w:rPr>
          <w:rFonts w:ascii="Times New Roman" w:hAnsi="Times New Roman" w:cs="Times New Roman"/>
          <w:sz w:val="24"/>
          <w:szCs w:val="24"/>
          <w:lang w:val="en-NZ"/>
        </w:rPr>
        <w:t xml:space="preserve"> around each disclosure outlet is significantly different</w:t>
      </w:r>
      <w:r w:rsidR="008C69D2">
        <w:rPr>
          <w:rFonts w:ascii="Times New Roman" w:hAnsi="Times New Roman" w:cs="Times New Roman"/>
          <w:sz w:val="24"/>
          <w:szCs w:val="24"/>
        </w:rPr>
        <w:t xml:space="preserve"> </w:t>
      </w:r>
      <w:r>
        <w:rPr>
          <w:rFonts w:ascii="Times New Roman" w:hAnsi="Times New Roman" w:cs="Times New Roman"/>
          <w:sz w:val="24"/>
          <w:szCs w:val="24"/>
        </w:rPr>
        <w:t xml:space="preserve">using both Student </w:t>
      </w:r>
      <w:r w:rsidRPr="0082156B">
        <w:rPr>
          <w:rFonts w:ascii="Times New Roman" w:hAnsi="Times New Roman" w:cs="Times New Roman"/>
          <w:i/>
          <w:sz w:val="24"/>
          <w:szCs w:val="24"/>
        </w:rPr>
        <w:t>t</w:t>
      </w:r>
      <w:r>
        <w:rPr>
          <w:rFonts w:ascii="Times New Roman" w:hAnsi="Times New Roman" w:cs="Times New Roman"/>
          <w:sz w:val="24"/>
          <w:szCs w:val="24"/>
        </w:rPr>
        <w:t xml:space="preserve">-tests and Mann-Whitney </w:t>
      </w:r>
      <w:r w:rsidRPr="00561DAB">
        <w:rPr>
          <w:rFonts w:ascii="Times New Roman" w:hAnsi="Times New Roman" w:cs="Times New Roman"/>
          <w:i/>
          <w:sz w:val="24"/>
          <w:szCs w:val="24"/>
        </w:rPr>
        <w:t>U</w:t>
      </w:r>
      <w:r>
        <w:rPr>
          <w:rFonts w:ascii="Times New Roman" w:hAnsi="Times New Roman" w:cs="Times New Roman"/>
          <w:sz w:val="24"/>
          <w:szCs w:val="24"/>
        </w:rPr>
        <w:t xml:space="preserve"> rank tests.</w:t>
      </w:r>
    </w:p>
    <w:p w14:paraId="3D21B27C" w14:textId="77777777" w:rsidR="00F2021D" w:rsidRDefault="00F2021D" w:rsidP="00AB34C7">
      <w:pPr>
        <w:spacing w:after="0" w:line="480" w:lineRule="auto"/>
        <w:jc w:val="both"/>
        <w:rPr>
          <w:rFonts w:ascii="Times New Roman" w:hAnsi="Times New Roman" w:cs="Times New Roman"/>
          <w:b/>
          <w:sz w:val="24"/>
          <w:szCs w:val="24"/>
        </w:rPr>
      </w:pPr>
    </w:p>
    <w:p w14:paraId="1C154AB4" w14:textId="77777777" w:rsidR="00BA3C60" w:rsidRDefault="00BA3C60" w:rsidP="00AB34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 Results</w:t>
      </w:r>
    </w:p>
    <w:p w14:paraId="77DF8C64" w14:textId="6EE000D6" w:rsidR="00BA3C60" w:rsidRPr="00561DAB" w:rsidRDefault="00BA3C60" w:rsidP="006029F5">
      <w:pPr>
        <w:spacing w:after="0" w:line="480" w:lineRule="auto"/>
        <w:jc w:val="both"/>
        <w:rPr>
          <w:rFonts w:ascii="Times New Roman" w:hAnsi="Times New Roman"/>
          <w:i/>
          <w:sz w:val="24"/>
          <w:szCs w:val="24"/>
        </w:rPr>
      </w:pPr>
      <w:r w:rsidRPr="00561DAB">
        <w:rPr>
          <w:rFonts w:ascii="Times New Roman" w:hAnsi="Times New Roman"/>
          <w:i/>
          <w:sz w:val="24"/>
          <w:szCs w:val="24"/>
        </w:rPr>
        <w:t xml:space="preserve">4.1 </w:t>
      </w:r>
      <w:r>
        <w:rPr>
          <w:rFonts w:ascii="Times New Roman" w:hAnsi="Times New Roman"/>
          <w:i/>
          <w:sz w:val="24"/>
          <w:szCs w:val="24"/>
        </w:rPr>
        <w:t xml:space="preserve">Descriptive </w:t>
      </w:r>
      <w:r w:rsidR="00F00AAE">
        <w:rPr>
          <w:rFonts w:ascii="Times New Roman" w:hAnsi="Times New Roman"/>
          <w:i/>
          <w:sz w:val="24"/>
          <w:szCs w:val="24"/>
        </w:rPr>
        <w:t xml:space="preserve">and univariate </w:t>
      </w:r>
      <w:r>
        <w:rPr>
          <w:rFonts w:ascii="Times New Roman" w:hAnsi="Times New Roman"/>
          <w:i/>
          <w:sz w:val="24"/>
          <w:szCs w:val="24"/>
        </w:rPr>
        <w:t>statistics</w:t>
      </w:r>
    </w:p>
    <w:p w14:paraId="5619D096" w14:textId="24B53F16" w:rsidR="00BA3C60" w:rsidRDefault="00BA3C60" w:rsidP="002E4DDA">
      <w:pPr>
        <w:spacing w:after="0" w:line="480" w:lineRule="auto"/>
        <w:ind w:firstLine="720"/>
        <w:jc w:val="both"/>
        <w:rPr>
          <w:rFonts w:ascii="Times New Roman" w:hAnsi="Times New Roman"/>
          <w:sz w:val="24"/>
          <w:szCs w:val="24"/>
        </w:rPr>
      </w:pPr>
      <w:r>
        <w:rPr>
          <w:rFonts w:ascii="Times New Roman" w:hAnsi="Times New Roman"/>
          <w:sz w:val="24"/>
          <w:szCs w:val="24"/>
        </w:rPr>
        <w:t>Table 1 presents sample descriptive statistics</w:t>
      </w:r>
      <w:r w:rsidR="00A47024">
        <w:rPr>
          <w:rFonts w:ascii="Times New Roman" w:hAnsi="Times New Roman"/>
          <w:sz w:val="24"/>
          <w:szCs w:val="24"/>
        </w:rPr>
        <w:t xml:space="preserve"> for the disclosure subsample</w:t>
      </w:r>
      <w:r>
        <w:rPr>
          <w:rFonts w:ascii="Times New Roman" w:hAnsi="Times New Roman"/>
          <w:sz w:val="24"/>
          <w:szCs w:val="24"/>
        </w:rPr>
        <w:t xml:space="preserve">. Panel </w:t>
      </w:r>
      <w:proofErr w:type="gramStart"/>
      <w:r>
        <w:rPr>
          <w:rFonts w:ascii="Times New Roman" w:hAnsi="Times New Roman"/>
          <w:sz w:val="24"/>
          <w:szCs w:val="24"/>
        </w:rPr>
        <w:t>A</w:t>
      </w:r>
      <w:proofErr w:type="gramEnd"/>
      <w:r>
        <w:rPr>
          <w:rFonts w:ascii="Times New Roman" w:hAnsi="Times New Roman"/>
          <w:sz w:val="24"/>
          <w:szCs w:val="24"/>
        </w:rPr>
        <w:t xml:space="preserve"> shows the distribution of observations is skewed slightly towards the later years. Panel B and C show firm descriptive statistics. The firms have a mean size of $</w:t>
      </w:r>
      <w:r w:rsidRPr="009A585D">
        <w:rPr>
          <w:rFonts w:ascii="Times New Roman" w:hAnsi="Times New Roman"/>
          <w:sz w:val="24"/>
          <w:szCs w:val="24"/>
        </w:rPr>
        <w:t>29</w:t>
      </w:r>
      <w:r w:rsidR="00017844">
        <w:rPr>
          <w:rFonts w:ascii="Times New Roman" w:hAnsi="Times New Roman"/>
          <w:sz w:val="24"/>
          <w:szCs w:val="24"/>
        </w:rPr>
        <w:t>1</w:t>
      </w:r>
      <w:r w:rsidRPr="009A585D">
        <w:rPr>
          <w:rFonts w:ascii="Times New Roman" w:hAnsi="Times New Roman"/>
          <w:sz w:val="24"/>
          <w:szCs w:val="24"/>
        </w:rPr>
        <w:t>.</w:t>
      </w:r>
      <w:r w:rsidR="00017844">
        <w:rPr>
          <w:rFonts w:ascii="Times New Roman" w:hAnsi="Times New Roman"/>
          <w:sz w:val="24"/>
          <w:szCs w:val="24"/>
        </w:rPr>
        <w:t>3</w:t>
      </w:r>
      <w:r>
        <w:rPr>
          <w:rFonts w:ascii="Times New Roman" w:hAnsi="Times New Roman"/>
          <w:sz w:val="24"/>
          <w:szCs w:val="24"/>
        </w:rPr>
        <w:t>m (median = $14</w:t>
      </w:r>
      <w:r w:rsidR="00017844">
        <w:rPr>
          <w:rFonts w:ascii="Times New Roman" w:hAnsi="Times New Roman"/>
          <w:sz w:val="24"/>
          <w:szCs w:val="24"/>
        </w:rPr>
        <w:t>3</w:t>
      </w:r>
      <w:r>
        <w:rPr>
          <w:rFonts w:ascii="Times New Roman" w:hAnsi="Times New Roman"/>
          <w:sz w:val="24"/>
          <w:szCs w:val="24"/>
        </w:rPr>
        <w:t xml:space="preserve">.1m) and there is a large range in the </w:t>
      </w:r>
      <w:r w:rsidR="00017844">
        <w:rPr>
          <w:rFonts w:ascii="Times New Roman" w:hAnsi="Times New Roman"/>
          <w:sz w:val="24"/>
          <w:szCs w:val="24"/>
        </w:rPr>
        <w:t>total liabilities to total assets</w:t>
      </w:r>
      <w:r>
        <w:rPr>
          <w:rFonts w:ascii="Times New Roman" w:hAnsi="Times New Roman"/>
          <w:sz w:val="24"/>
          <w:szCs w:val="24"/>
        </w:rPr>
        <w:t xml:space="preserve"> ratio. Approximately half our firm observations have positive net cash flow from operations (</w:t>
      </w:r>
      <w:r w:rsidR="00017844">
        <w:rPr>
          <w:rFonts w:ascii="Times New Roman" w:hAnsi="Times New Roman"/>
          <w:sz w:val="24"/>
          <w:szCs w:val="24"/>
        </w:rPr>
        <w:t>49.4</w:t>
      </w:r>
      <w:r>
        <w:rPr>
          <w:rFonts w:ascii="Times New Roman" w:hAnsi="Times New Roman"/>
          <w:sz w:val="24"/>
          <w:szCs w:val="24"/>
        </w:rPr>
        <w:t xml:space="preserve">%), and </w:t>
      </w:r>
      <w:r w:rsidR="00017844">
        <w:rPr>
          <w:rFonts w:ascii="Times New Roman" w:hAnsi="Times New Roman"/>
          <w:sz w:val="24"/>
          <w:szCs w:val="24"/>
        </w:rPr>
        <w:t>three quarters</w:t>
      </w:r>
      <w:r>
        <w:rPr>
          <w:rFonts w:ascii="Times New Roman" w:hAnsi="Times New Roman"/>
          <w:sz w:val="24"/>
          <w:szCs w:val="24"/>
        </w:rPr>
        <w:t xml:space="preserve"> are covered by IBES analysts (</w:t>
      </w:r>
      <w:r w:rsidR="00017844">
        <w:rPr>
          <w:rFonts w:ascii="Times New Roman" w:hAnsi="Times New Roman"/>
          <w:sz w:val="24"/>
          <w:szCs w:val="24"/>
        </w:rPr>
        <w:t>77.3%).</w:t>
      </w:r>
      <w:r w:rsidR="00A47024">
        <w:rPr>
          <w:rFonts w:ascii="Times New Roman" w:hAnsi="Times New Roman"/>
          <w:sz w:val="24"/>
          <w:szCs w:val="24"/>
        </w:rPr>
        <w:t xml:space="preserve"> </w:t>
      </w:r>
      <w:r w:rsidR="008A7653" w:rsidRPr="008A7653">
        <w:rPr>
          <w:rFonts w:ascii="Times New Roman" w:hAnsi="Times New Roman"/>
          <w:sz w:val="24"/>
          <w:szCs w:val="24"/>
        </w:rPr>
        <w:t>We also note that 28.7% of observations follow another price-sensitive announcement made on the same or previous day (</w:t>
      </w:r>
      <w:proofErr w:type="spellStart"/>
      <w:r w:rsidR="008A7653" w:rsidRPr="008A7653">
        <w:rPr>
          <w:rFonts w:ascii="Times New Roman" w:hAnsi="Times New Roman"/>
          <w:i/>
          <w:sz w:val="24"/>
          <w:szCs w:val="24"/>
        </w:rPr>
        <w:t>PSDisc</w:t>
      </w:r>
      <w:proofErr w:type="spellEnd"/>
      <w:r w:rsidR="008A7653" w:rsidRPr="008A7653">
        <w:rPr>
          <w:rFonts w:ascii="Times New Roman" w:hAnsi="Times New Roman"/>
          <w:sz w:val="24"/>
          <w:szCs w:val="24"/>
        </w:rPr>
        <w:t>).</w:t>
      </w:r>
      <w:r w:rsidR="00CC3836">
        <w:rPr>
          <w:rFonts w:ascii="Times New Roman" w:hAnsi="Times New Roman"/>
          <w:sz w:val="24"/>
          <w:szCs w:val="24"/>
        </w:rPr>
        <w:t xml:space="preserve"> </w:t>
      </w:r>
      <w:proofErr w:type="spellStart"/>
      <w:r w:rsidR="008A7653" w:rsidRPr="008A7653">
        <w:rPr>
          <w:rFonts w:ascii="Times New Roman" w:hAnsi="Times New Roman"/>
          <w:sz w:val="24"/>
          <w:szCs w:val="24"/>
        </w:rPr>
        <w:t>Untabu</w:t>
      </w:r>
      <w:r w:rsidR="002D6FA3">
        <w:rPr>
          <w:rFonts w:ascii="Times New Roman" w:hAnsi="Times New Roman"/>
          <w:sz w:val="24"/>
          <w:szCs w:val="24"/>
        </w:rPr>
        <w:t>l</w:t>
      </w:r>
      <w:r w:rsidR="008A7653" w:rsidRPr="008A7653">
        <w:rPr>
          <w:rFonts w:ascii="Times New Roman" w:hAnsi="Times New Roman"/>
          <w:sz w:val="24"/>
          <w:szCs w:val="24"/>
        </w:rPr>
        <w:t>ated</w:t>
      </w:r>
      <w:proofErr w:type="spellEnd"/>
      <w:r w:rsidR="008A7653" w:rsidRPr="008A7653">
        <w:rPr>
          <w:rFonts w:ascii="Times New Roman" w:hAnsi="Times New Roman"/>
          <w:sz w:val="24"/>
          <w:szCs w:val="24"/>
        </w:rPr>
        <w:t xml:space="preserve"> results show that investor presentations are more likely to follow another announcement (33.3%), then purchased analyst research (29.0%) and Open Briefings (25.3%). 32 announcements are made on the same day and 20 on the previous day as the disclosure outlet, with three firms having another announcement on both days. All three disclosure outlets have more announcements made on the same day as opposed to the previous day, ranging from 55.6% of other announcements around purchased analyst researc</w:t>
      </w:r>
      <w:r w:rsidR="008A7653">
        <w:rPr>
          <w:rFonts w:ascii="Times New Roman" w:hAnsi="Times New Roman"/>
          <w:sz w:val="24"/>
          <w:szCs w:val="24"/>
        </w:rPr>
        <w:t>h, to 63.6% for Open Briefings.</w:t>
      </w:r>
    </w:p>
    <w:p w14:paraId="1E9DEAA8" w14:textId="43F702B1" w:rsidR="00BA3C60" w:rsidRDefault="00BA3C60" w:rsidP="00AF418D">
      <w:pPr>
        <w:spacing w:after="0" w:line="480" w:lineRule="auto"/>
        <w:jc w:val="both"/>
        <w:rPr>
          <w:rFonts w:ascii="Times New Roman" w:hAnsi="Times New Roman"/>
          <w:sz w:val="24"/>
          <w:szCs w:val="24"/>
        </w:rPr>
      </w:pPr>
      <w:r>
        <w:rPr>
          <w:rFonts w:ascii="Times New Roman" w:hAnsi="Times New Roman"/>
          <w:sz w:val="24"/>
          <w:szCs w:val="24"/>
        </w:rPr>
        <w:tab/>
        <w:t>In Table 2</w:t>
      </w:r>
      <w:r w:rsidR="00B809CB">
        <w:rPr>
          <w:rFonts w:ascii="Times New Roman" w:hAnsi="Times New Roman"/>
          <w:sz w:val="24"/>
          <w:szCs w:val="24"/>
        </w:rPr>
        <w:t>,</w:t>
      </w:r>
      <w:r w:rsidR="00AF418D">
        <w:rPr>
          <w:rFonts w:ascii="Times New Roman" w:hAnsi="Times New Roman"/>
          <w:sz w:val="24"/>
          <w:szCs w:val="24"/>
        </w:rPr>
        <w:t xml:space="preserve"> Panel A</w:t>
      </w:r>
      <w:r w:rsidR="00CC3836">
        <w:rPr>
          <w:rFonts w:ascii="Times New Roman" w:hAnsi="Times New Roman"/>
          <w:sz w:val="24"/>
          <w:szCs w:val="24"/>
        </w:rPr>
        <w:t>,</w:t>
      </w:r>
      <w:r>
        <w:rPr>
          <w:rFonts w:ascii="Times New Roman" w:hAnsi="Times New Roman"/>
          <w:sz w:val="24"/>
          <w:szCs w:val="24"/>
        </w:rPr>
        <w:t xml:space="preserve"> we use univariate tests to compare the characteristics of the users of one disclosure outlet to users of the other two. </w:t>
      </w:r>
      <w:r w:rsidR="00AF418D">
        <w:rPr>
          <w:rFonts w:ascii="Times New Roman" w:hAnsi="Times New Roman"/>
          <w:sz w:val="24"/>
          <w:szCs w:val="24"/>
        </w:rPr>
        <w:t xml:space="preserve">Panel </w:t>
      </w:r>
      <w:proofErr w:type="gramStart"/>
      <w:r w:rsidR="00AF418D">
        <w:rPr>
          <w:rFonts w:ascii="Times New Roman" w:hAnsi="Times New Roman"/>
          <w:sz w:val="24"/>
          <w:szCs w:val="24"/>
        </w:rPr>
        <w:t>A</w:t>
      </w:r>
      <w:proofErr w:type="gramEnd"/>
      <w:r w:rsidR="00AF418D">
        <w:rPr>
          <w:rFonts w:ascii="Times New Roman" w:hAnsi="Times New Roman"/>
          <w:sz w:val="24"/>
          <w:szCs w:val="24"/>
        </w:rPr>
        <w:t xml:space="preserve"> shows </w:t>
      </w:r>
      <w:r>
        <w:rPr>
          <w:rFonts w:ascii="Times New Roman" w:hAnsi="Times New Roman"/>
          <w:sz w:val="24"/>
          <w:szCs w:val="24"/>
        </w:rPr>
        <w:t>that firms purchasing analyst research are younger, have more concentrated ownership (</w:t>
      </w:r>
      <w:r>
        <w:rPr>
          <w:rFonts w:ascii="Times New Roman" w:hAnsi="Times New Roman"/>
          <w:i/>
          <w:sz w:val="24"/>
          <w:szCs w:val="24"/>
        </w:rPr>
        <w:t>Top20</w:t>
      </w:r>
      <w:r>
        <w:rPr>
          <w:rFonts w:ascii="Times New Roman" w:hAnsi="Times New Roman"/>
          <w:sz w:val="24"/>
          <w:szCs w:val="24"/>
        </w:rPr>
        <w:t xml:space="preserve">), </w:t>
      </w:r>
      <w:r w:rsidR="00385E6F">
        <w:rPr>
          <w:rFonts w:ascii="Times New Roman" w:hAnsi="Times New Roman"/>
          <w:sz w:val="24"/>
          <w:szCs w:val="24"/>
        </w:rPr>
        <w:t xml:space="preserve">are </w:t>
      </w:r>
      <w:r>
        <w:rPr>
          <w:rFonts w:ascii="Times New Roman" w:hAnsi="Times New Roman"/>
          <w:sz w:val="24"/>
          <w:szCs w:val="24"/>
        </w:rPr>
        <w:t xml:space="preserve">smaller and are less likely to have analyst coverage. Broadly, these results are consistent with firms purchasing </w:t>
      </w:r>
      <w:r>
        <w:rPr>
          <w:rFonts w:ascii="Times New Roman" w:hAnsi="Times New Roman"/>
          <w:sz w:val="24"/>
          <w:szCs w:val="24"/>
        </w:rPr>
        <w:lastRenderedPageBreak/>
        <w:t>analyst research as a way to attract analyst or investor following. This supports H1a that firms are more likely to disclose via purchased analyst research when they have greater incentives to reduce users’ information acquisitions costs.</w:t>
      </w:r>
      <w:r w:rsidR="002B316C">
        <w:rPr>
          <w:rFonts w:ascii="Times New Roman" w:hAnsi="Times New Roman"/>
          <w:sz w:val="24"/>
          <w:szCs w:val="24"/>
        </w:rPr>
        <w:t xml:space="preserve"> The significant </w:t>
      </w:r>
      <w:proofErr w:type="spellStart"/>
      <w:r w:rsidR="002B316C" w:rsidRPr="002B316C">
        <w:rPr>
          <w:rFonts w:ascii="Times New Roman" w:hAnsi="Times New Roman"/>
          <w:i/>
          <w:sz w:val="24"/>
          <w:szCs w:val="24"/>
        </w:rPr>
        <w:t>LnAge</w:t>
      </w:r>
      <w:proofErr w:type="spellEnd"/>
      <w:r w:rsidR="002B316C">
        <w:rPr>
          <w:rFonts w:ascii="Times New Roman" w:hAnsi="Times New Roman"/>
          <w:sz w:val="24"/>
          <w:szCs w:val="24"/>
        </w:rPr>
        <w:t xml:space="preserve"> result, also suggests that firms disclose via purchased analyst research before the other two disclosure outlets.</w:t>
      </w:r>
      <w:r w:rsidR="00AF418D">
        <w:rPr>
          <w:rFonts w:ascii="Times New Roman" w:hAnsi="Times New Roman"/>
          <w:sz w:val="24"/>
          <w:szCs w:val="24"/>
        </w:rPr>
        <w:t xml:space="preserve"> </w:t>
      </w:r>
      <w:r>
        <w:rPr>
          <w:rFonts w:ascii="Times New Roman" w:hAnsi="Times New Roman"/>
          <w:sz w:val="24"/>
          <w:szCs w:val="24"/>
        </w:rPr>
        <w:t>Next, we find that firms holding investor presentation</w:t>
      </w:r>
      <w:r w:rsidR="00180FAC">
        <w:rPr>
          <w:rFonts w:ascii="Times New Roman" w:hAnsi="Times New Roman"/>
          <w:sz w:val="24"/>
          <w:szCs w:val="24"/>
        </w:rPr>
        <w:t>s</w:t>
      </w:r>
      <w:r>
        <w:rPr>
          <w:rFonts w:ascii="Times New Roman" w:hAnsi="Times New Roman"/>
          <w:sz w:val="24"/>
          <w:szCs w:val="24"/>
        </w:rPr>
        <w:t xml:space="preserve"> are more likely to have positive net cash flow from operations</w:t>
      </w:r>
      <w:r w:rsidR="00AF418D">
        <w:rPr>
          <w:rFonts w:ascii="Times New Roman" w:hAnsi="Times New Roman"/>
          <w:sz w:val="24"/>
          <w:szCs w:val="24"/>
        </w:rPr>
        <w:t xml:space="preserve"> and</w:t>
      </w:r>
      <w:r w:rsidR="00385E6F">
        <w:rPr>
          <w:rFonts w:ascii="Times New Roman" w:hAnsi="Times New Roman"/>
          <w:sz w:val="24"/>
          <w:szCs w:val="24"/>
        </w:rPr>
        <w:t xml:space="preserve"> higher</w:t>
      </w:r>
      <w:r w:rsidR="00AF418D">
        <w:rPr>
          <w:rFonts w:ascii="Times New Roman" w:hAnsi="Times New Roman"/>
          <w:sz w:val="24"/>
          <w:szCs w:val="24"/>
        </w:rPr>
        <w:t xml:space="preserve"> leverage (</w:t>
      </w:r>
      <w:r w:rsidR="00AF418D" w:rsidRPr="00AF418D">
        <w:rPr>
          <w:rFonts w:ascii="Times New Roman" w:hAnsi="Times New Roman"/>
          <w:i/>
          <w:sz w:val="24"/>
          <w:szCs w:val="24"/>
        </w:rPr>
        <w:t>TLTA</w:t>
      </w:r>
      <w:r w:rsidR="00AF418D">
        <w:rPr>
          <w:rFonts w:ascii="Times New Roman" w:hAnsi="Times New Roman"/>
          <w:sz w:val="24"/>
          <w:szCs w:val="24"/>
        </w:rPr>
        <w:t>)</w:t>
      </w:r>
      <w:r>
        <w:rPr>
          <w:rFonts w:ascii="Times New Roman" w:hAnsi="Times New Roman"/>
          <w:sz w:val="24"/>
          <w:szCs w:val="24"/>
        </w:rPr>
        <w:t xml:space="preserve">. This could be </w:t>
      </w:r>
      <w:r w:rsidR="00385E6F">
        <w:rPr>
          <w:rFonts w:ascii="Times New Roman" w:hAnsi="Times New Roman"/>
          <w:sz w:val="24"/>
          <w:szCs w:val="24"/>
        </w:rPr>
        <w:t>firms</w:t>
      </w:r>
      <w:r>
        <w:rPr>
          <w:rFonts w:ascii="Times New Roman" w:hAnsi="Times New Roman"/>
          <w:sz w:val="24"/>
          <w:szCs w:val="24"/>
        </w:rPr>
        <w:t xml:space="preserve"> </w:t>
      </w:r>
      <w:r w:rsidR="00385E6F">
        <w:rPr>
          <w:rFonts w:ascii="Times New Roman" w:hAnsi="Times New Roman"/>
          <w:sz w:val="24"/>
          <w:szCs w:val="24"/>
        </w:rPr>
        <w:t>having</w:t>
      </w:r>
      <w:r>
        <w:rPr>
          <w:rFonts w:ascii="Times New Roman" w:hAnsi="Times New Roman"/>
          <w:sz w:val="24"/>
          <w:szCs w:val="24"/>
        </w:rPr>
        <w:t xml:space="preserve"> good news (the positive cash flow) and drawing attention to a growth story.</w:t>
      </w:r>
      <w:r w:rsidR="00AF418D">
        <w:rPr>
          <w:rFonts w:ascii="Times New Roman" w:hAnsi="Times New Roman"/>
          <w:sz w:val="24"/>
          <w:szCs w:val="24"/>
        </w:rPr>
        <w:t xml:space="preserve"> </w:t>
      </w:r>
      <w:r w:rsidR="004C4FF5">
        <w:rPr>
          <w:rFonts w:ascii="Times New Roman" w:hAnsi="Times New Roman"/>
          <w:sz w:val="24"/>
          <w:szCs w:val="24"/>
        </w:rPr>
        <w:t xml:space="preserve">The leverage result may be driven by firms presenting to investors when they are in greater need of future funding. </w:t>
      </w:r>
      <w:r>
        <w:rPr>
          <w:rFonts w:ascii="Times New Roman" w:hAnsi="Times New Roman"/>
          <w:sz w:val="24"/>
          <w:szCs w:val="24"/>
        </w:rPr>
        <w:t>Thus we find support that investor presentations are the preferred disclosure outlet for talent signalling.</w:t>
      </w:r>
      <w:r w:rsidR="00AF418D">
        <w:rPr>
          <w:rFonts w:ascii="Times New Roman" w:hAnsi="Times New Roman"/>
          <w:sz w:val="24"/>
          <w:szCs w:val="24"/>
        </w:rPr>
        <w:t xml:space="preserve"> L</w:t>
      </w:r>
      <w:r>
        <w:rPr>
          <w:rFonts w:ascii="Times New Roman" w:hAnsi="Times New Roman"/>
          <w:sz w:val="24"/>
          <w:szCs w:val="24"/>
        </w:rPr>
        <w:t xml:space="preserve">ast, Open Briefings are more likely to be used by firms that are larger, with </w:t>
      </w:r>
      <w:r w:rsidR="00AF418D">
        <w:rPr>
          <w:rFonts w:ascii="Times New Roman" w:hAnsi="Times New Roman"/>
          <w:sz w:val="24"/>
          <w:szCs w:val="24"/>
        </w:rPr>
        <w:t>more distributed ownership (</w:t>
      </w:r>
      <w:r w:rsidR="00AF418D" w:rsidRPr="00AF418D">
        <w:rPr>
          <w:rFonts w:ascii="Times New Roman" w:hAnsi="Times New Roman"/>
          <w:i/>
          <w:sz w:val="24"/>
          <w:szCs w:val="24"/>
        </w:rPr>
        <w:t>Top20</w:t>
      </w:r>
      <w:r w:rsidR="00AF418D">
        <w:rPr>
          <w:rFonts w:ascii="Times New Roman" w:hAnsi="Times New Roman"/>
          <w:sz w:val="24"/>
          <w:szCs w:val="24"/>
        </w:rPr>
        <w:t>)</w:t>
      </w:r>
      <w:r>
        <w:rPr>
          <w:rFonts w:ascii="Times New Roman" w:hAnsi="Times New Roman"/>
          <w:sz w:val="24"/>
          <w:szCs w:val="24"/>
        </w:rPr>
        <w:t xml:space="preserve"> and are more likely to have analyst coverage and</w:t>
      </w:r>
      <w:r w:rsidR="00BB4844">
        <w:rPr>
          <w:rFonts w:ascii="Times New Roman" w:hAnsi="Times New Roman"/>
          <w:sz w:val="24"/>
          <w:szCs w:val="24"/>
        </w:rPr>
        <w:t xml:space="preserve"> negative</w:t>
      </w:r>
      <w:r>
        <w:rPr>
          <w:rFonts w:ascii="Times New Roman" w:hAnsi="Times New Roman"/>
          <w:sz w:val="24"/>
          <w:szCs w:val="24"/>
        </w:rPr>
        <w:t xml:space="preserve"> net cash flows from operations. The results for Open Briefings provide broad support for H1c, as firms that are larger, with negative cash flows may prefer to communicate through the controlled format of Open Briefings to mitigate risk without the independent questioning possible in the </w:t>
      </w:r>
      <w:r w:rsidRPr="002004A3">
        <w:rPr>
          <w:rFonts w:ascii="Times New Roman" w:hAnsi="Times New Roman"/>
          <w:sz w:val="24"/>
          <w:szCs w:val="24"/>
        </w:rPr>
        <w:t xml:space="preserve">other two outlets we examine. </w:t>
      </w:r>
      <w:r>
        <w:rPr>
          <w:rFonts w:ascii="Times New Roman" w:hAnsi="Times New Roman"/>
          <w:sz w:val="24"/>
          <w:szCs w:val="24"/>
        </w:rPr>
        <w:t>A</w:t>
      </w:r>
      <w:r w:rsidRPr="002004A3">
        <w:rPr>
          <w:rFonts w:ascii="Times New Roman" w:hAnsi="Times New Roman"/>
          <w:sz w:val="24"/>
          <w:szCs w:val="24"/>
        </w:rPr>
        <w:t xml:space="preserve">nalyst coverage can also proxy for </w:t>
      </w:r>
      <w:r w:rsidR="002D6FA3">
        <w:rPr>
          <w:rFonts w:ascii="Times New Roman" w:hAnsi="Times New Roman"/>
          <w:sz w:val="24"/>
          <w:szCs w:val="24"/>
        </w:rPr>
        <w:t xml:space="preserve">a </w:t>
      </w:r>
      <w:r w:rsidRPr="002004A3">
        <w:rPr>
          <w:rFonts w:ascii="Times New Roman" w:hAnsi="Times New Roman"/>
          <w:sz w:val="24"/>
          <w:szCs w:val="24"/>
        </w:rPr>
        <w:t>firm</w:t>
      </w:r>
      <w:r w:rsidR="002D6FA3">
        <w:rPr>
          <w:rFonts w:ascii="Times New Roman" w:hAnsi="Times New Roman"/>
          <w:sz w:val="24"/>
          <w:szCs w:val="24"/>
        </w:rPr>
        <w:t>’s</w:t>
      </w:r>
      <w:r w:rsidRPr="002004A3">
        <w:rPr>
          <w:rFonts w:ascii="Times New Roman" w:hAnsi="Times New Roman"/>
          <w:sz w:val="24"/>
          <w:szCs w:val="24"/>
        </w:rPr>
        <w:t xml:space="preserve"> information environment, which is associated with firm maturity (Lang and </w:t>
      </w:r>
      <w:proofErr w:type="spellStart"/>
      <w:r w:rsidRPr="002004A3">
        <w:rPr>
          <w:rFonts w:ascii="Times New Roman" w:hAnsi="Times New Roman"/>
          <w:sz w:val="24"/>
          <w:szCs w:val="24"/>
        </w:rPr>
        <w:t>Lundholm</w:t>
      </w:r>
      <w:proofErr w:type="spellEnd"/>
      <w:r w:rsidRPr="002004A3">
        <w:rPr>
          <w:rFonts w:ascii="Times New Roman" w:hAnsi="Times New Roman"/>
          <w:sz w:val="24"/>
          <w:szCs w:val="24"/>
        </w:rPr>
        <w:t xml:space="preserve">, 1993). Furthermore, </w:t>
      </w:r>
      <w:r w:rsidRPr="002004A3">
        <w:rPr>
          <w:rFonts w:ascii="Times New Roman" w:hAnsi="Times New Roman" w:cs="Times New Roman"/>
          <w:sz w:val="24"/>
          <w:szCs w:val="24"/>
          <w:lang w:val="en-NZ"/>
        </w:rPr>
        <w:t xml:space="preserve">considering the nature of Open Briefings, in so much they mimic an analyst briefing, firms with greater analyst coverage may prefer to disclose </w:t>
      </w:r>
      <w:r>
        <w:rPr>
          <w:rFonts w:ascii="Times New Roman" w:hAnsi="Times New Roman" w:cs="Times New Roman"/>
          <w:sz w:val="24"/>
          <w:szCs w:val="24"/>
          <w:lang w:val="en-NZ"/>
        </w:rPr>
        <w:t>via an Open Briefing to</w:t>
      </w:r>
      <w:r w:rsidRPr="002004A3">
        <w:rPr>
          <w:rFonts w:ascii="Times New Roman" w:hAnsi="Times New Roman" w:cs="Times New Roman"/>
          <w:sz w:val="24"/>
          <w:szCs w:val="24"/>
          <w:lang w:val="en-NZ"/>
        </w:rPr>
        <w:t xml:space="preserve"> supply information without making a selective disclosure.</w:t>
      </w:r>
      <w:r w:rsidRPr="002004A3">
        <w:rPr>
          <w:rFonts w:ascii="Times New Roman" w:hAnsi="Times New Roman"/>
          <w:sz w:val="24"/>
          <w:szCs w:val="24"/>
        </w:rPr>
        <w:t xml:space="preserve"> </w:t>
      </w:r>
      <w:r w:rsidR="00AF418D">
        <w:rPr>
          <w:rFonts w:ascii="Times New Roman" w:hAnsi="Times New Roman"/>
          <w:sz w:val="24"/>
          <w:szCs w:val="24"/>
        </w:rPr>
        <w:t>This is further supported by Open Briefings being used by firms with more diverse ownership</w:t>
      </w:r>
      <w:r w:rsidR="00262F10">
        <w:rPr>
          <w:rFonts w:ascii="Times New Roman" w:hAnsi="Times New Roman"/>
          <w:sz w:val="24"/>
          <w:szCs w:val="24"/>
        </w:rPr>
        <w:t>, which would suggest they have greater reasons to avoid selective disclosure</w:t>
      </w:r>
      <w:r w:rsidR="00385E6F">
        <w:rPr>
          <w:rFonts w:ascii="Times New Roman" w:hAnsi="Times New Roman"/>
          <w:sz w:val="24"/>
          <w:szCs w:val="24"/>
        </w:rPr>
        <w:t>s</w:t>
      </w:r>
      <w:r w:rsidR="00262F10">
        <w:rPr>
          <w:rFonts w:ascii="Times New Roman" w:hAnsi="Times New Roman"/>
          <w:sz w:val="24"/>
          <w:szCs w:val="24"/>
        </w:rPr>
        <w:t>.</w:t>
      </w:r>
    </w:p>
    <w:p w14:paraId="28DB738A" w14:textId="4077E434" w:rsidR="00AF418D" w:rsidRDefault="00262F10" w:rsidP="00AF418D">
      <w:pPr>
        <w:spacing w:after="0" w:line="480" w:lineRule="auto"/>
        <w:jc w:val="both"/>
        <w:rPr>
          <w:rFonts w:ascii="Times New Roman" w:hAnsi="Times New Roman"/>
          <w:sz w:val="24"/>
          <w:szCs w:val="24"/>
        </w:rPr>
      </w:pPr>
      <w:r>
        <w:rPr>
          <w:rFonts w:ascii="Times New Roman" w:hAnsi="Times New Roman"/>
          <w:sz w:val="24"/>
          <w:szCs w:val="24"/>
        </w:rPr>
        <w:tab/>
        <w:t>Panel B reruns the univariate tests on the full sample of 1</w:t>
      </w:r>
      <w:r w:rsidR="00526CD2">
        <w:rPr>
          <w:rFonts w:ascii="Times New Roman" w:hAnsi="Times New Roman"/>
          <w:sz w:val="24"/>
          <w:szCs w:val="24"/>
        </w:rPr>
        <w:t>,</w:t>
      </w:r>
      <w:r>
        <w:rPr>
          <w:rFonts w:ascii="Times New Roman" w:hAnsi="Times New Roman"/>
          <w:sz w:val="24"/>
          <w:szCs w:val="24"/>
        </w:rPr>
        <w:t>316 observations</w:t>
      </w:r>
      <w:r w:rsidR="00385E6F">
        <w:rPr>
          <w:rFonts w:ascii="Times New Roman" w:hAnsi="Times New Roman"/>
          <w:sz w:val="24"/>
          <w:szCs w:val="24"/>
        </w:rPr>
        <w:t xml:space="preserve"> from resource firm</w:t>
      </w:r>
      <w:r w:rsidR="00CC3836">
        <w:rPr>
          <w:rFonts w:ascii="Times New Roman" w:hAnsi="Times New Roman"/>
          <w:sz w:val="24"/>
          <w:szCs w:val="24"/>
        </w:rPr>
        <w:t>s</w:t>
      </w:r>
      <w:r w:rsidR="00385E6F">
        <w:rPr>
          <w:rFonts w:ascii="Times New Roman" w:hAnsi="Times New Roman"/>
          <w:sz w:val="24"/>
          <w:szCs w:val="24"/>
        </w:rPr>
        <w:t xml:space="preserve"> that use</w:t>
      </w:r>
      <w:r w:rsidR="00CC3836">
        <w:rPr>
          <w:rFonts w:ascii="Times New Roman" w:hAnsi="Times New Roman"/>
          <w:sz w:val="24"/>
          <w:szCs w:val="24"/>
        </w:rPr>
        <w:t xml:space="preserve"> any of</w:t>
      </w:r>
      <w:r w:rsidR="00385E6F">
        <w:rPr>
          <w:rFonts w:ascii="Times New Roman" w:hAnsi="Times New Roman"/>
          <w:sz w:val="24"/>
          <w:szCs w:val="24"/>
        </w:rPr>
        <w:t xml:space="preserve"> the disclosure outlets over our sample period</w:t>
      </w:r>
      <w:r>
        <w:rPr>
          <w:rFonts w:ascii="Times New Roman" w:hAnsi="Times New Roman"/>
          <w:sz w:val="24"/>
          <w:szCs w:val="24"/>
        </w:rPr>
        <w:t xml:space="preserve">. We find consistent results for purchased analyst research, apart from </w:t>
      </w:r>
      <w:r w:rsidRPr="00385E6F">
        <w:rPr>
          <w:rFonts w:ascii="Times New Roman" w:hAnsi="Times New Roman"/>
          <w:i/>
          <w:sz w:val="24"/>
          <w:szCs w:val="24"/>
        </w:rPr>
        <w:t>Top20</w:t>
      </w:r>
      <w:r>
        <w:rPr>
          <w:rFonts w:ascii="Times New Roman" w:hAnsi="Times New Roman"/>
          <w:sz w:val="24"/>
          <w:szCs w:val="24"/>
        </w:rPr>
        <w:t xml:space="preserve"> no longer being significant and that they are significantly less likely to have positive cash flows. As cash </w:t>
      </w:r>
      <w:r>
        <w:rPr>
          <w:rFonts w:ascii="Times New Roman" w:hAnsi="Times New Roman"/>
          <w:sz w:val="24"/>
          <w:szCs w:val="24"/>
        </w:rPr>
        <w:lastRenderedPageBreak/>
        <w:t xml:space="preserve">flows can also measure firm maturity, we find consistent evidence that firms using purchased analyst research are likely smaller than users of the other disclosure outlets. </w:t>
      </w:r>
      <w:r w:rsidR="005B0F32">
        <w:rPr>
          <w:rFonts w:ascii="Times New Roman" w:hAnsi="Times New Roman"/>
          <w:sz w:val="24"/>
          <w:szCs w:val="24"/>
        </w:rPr>
        <w:t>R</w:t>
      </w:r>
      <w:r w:rsidR="00630A6E">
        <w:rPr>
          <w:rFonts w:ascii="Times New Roman" w:hAnsi="Times New Roman"/>
          <w:sz w:val="24"/>
          <w:szCs w:val="24"/>
        </w:rPr>
        <w:t xml:space="preserve">esults show </w:t>
      </w:r>
      <w:r w:rsidR="005B0F32">
        <w:rPr>
          <w:rFonts w:ascii="Times New Roman" w:hAnsi="Times New Roman"/>
          <w:sz w:val="24"/>
          <w:szCs w:val="24"/>
        </w:rPr>
        <w:t>firms using investor presentations</w:t>
      </w:r>
      <w:r w:rsidR="00630A6E">
        <w:rPr>
          <w:rFonts w:ascii="Times New Roman" w:hAnsi="Times New Roman"/>
          <w:sz w:val="24"/>
          <w:szCs w:val="24"/>
        </w:rPr>
        <w:t xml:space="preserve"> are younger,</w:t>
      </w:r>
      <w:r w:rsidR="005B0F32">
        <w:rPr>
          <w:rFonts w:ascii="Times New Roman" w:hAnsi="Times New Roman"/>
          <w:sz w:val="24"/>
          <w:szCs w:val="24"/>
        </w:rPr>
        <w:t xml:space="preserve"> smaller,</w:t>
      </w:r>
      <w:r w:rsidR="00630A6E">
        <w:rPr>
          <w:rFonts w:ascii="Times New Roman" w:hAnsi="Times New Roman"/>
          <w:sz w:val="24"/>
          <w:szCs w:val="24"/>
        </w:rPr>
        <w:t xml:space="preserve"> have more concentrated ownership,</w:t>
      </w:r>
      <w:r w:rsidR="008A53F4">
        <w:rPr>
          <w:rFonts w:ascii="Times New Roman" w:hAnsi="Times New Roman"/>
          <w:sz w:val="24"/>
          <w:szCs w:val="24"/>
        </w:rPr>
        <w:t xml:space="preserve"> </w:t>
      </w:r>
      <w:r w:rsidR="00630A6E">
        <w:rPr>
          <w:rFonts w:ascii="Times New Roman" w:hAnsi="Times New Roman"/>
          <w:sz w:val="24"/>
          <w:szCs w:val="24"/>
        </w:rPr>
        <w:t>and are less likely to have analyst coverage and positive cash flows. The cash flow results contradict the results in Panel A. One reason for this could be the wide range of resource firms that make investor presentation</w:t>
      </w:r>
      <w:r w:rsidR="00655D98">
        <w:rPr>
          <w:rFonts w:ascii="Times New Roman" w:hAnsi="Times New Roman"/>
          <w:sz w:val="24"/>
          <w:szCs w:val="24"/>
        </w:rPr>
        <w:t>s</w:t>
      </w:r>
      <w:r w:rsidR="00630A6E">
        <w:rPr>
          <w:rFonts w:ascii="Times New Roman" w:hAnsi="Times New Roman"/>
          <w:sz w:val="24"/>
          <w:szCs w:val="24"/>
        </w:rPr>
        <w:t>, ranging very small junior explorers to giant multinational</w:t>
      </w:r>
      <w:r w:rsidR="00BB4844">
        <w:rPr>
          <w:rFonts w:ascii="Times New Roman" w:hAnsi="Times New Roman"/>
          <w:sz w:val="24"/>
          <w:szCs w:val="24"/>
        </w:rPr>
        <w:t>s</w:t>
      </w:r>
      <w:r w:rsidR="00630A6E">
        <w:rPr>
          <w:rFonts w:ascii="Times New Roman" w:hAnsi="Times New Roman"/>
          <w:sz w:val="24"/>
          <w:szCs w:val="24"/>
        </w:rPr>
        <w:t xml:space="preserve"> (i.e.</w:t>
      </w:r>
      <w:r w:rsidR="00655D98">
        <w:rPr>
          <w:rFonts w:ascii="Times New Roman" w:hAnsi="Times New Roman"/>
          <w:sz w:val="24"/>
          <w:szCs w:val="24"/>
        </w:rPr>
        <w:t>,</w:t>
      </w:r>
      <w:r w:rsidR="00630A6E">
        <w:rPr>
          <w:rFonts w:ascii="Times New Roman" w:hAnsi="Times New Roman"/>
          <w:sz w:val="24"/>
          <w:szCs w:val="24"/>
        </w:rPr>
        <w:t xml:space="preserve"> BHP and Rio Tinto). Very small firms may be drawn to disclosing only via investor presentations</w:t>
      </w:r>
      <w:r w:rsidR="005B0F32">
        <w:rPr>
          <w:rFonts w:ascii="Times New Roman" w:hAnsi="Times New Roman"/>
          <w:sz w:val="24"/>
          <w:szCs w:val="24"/>
        </w:rPr>
        <w:t>,</w:t>
      </w:r>
      <w:r w:rsidR="00630A6E">
        <w:rPr>
          <w:rFonts w:ascii="Times New Roman" w:hAnsi="Times New Roman"/>
          <w:sz w:val="24"/>
          <w:szCs w:val="24"/>
        </w:rPr>
        <w:t xml:space="preserve"> as they </w:t>
      </w:r>
      <w:r w:rsidR="005B0F32">
        <w:rPr>
          <w:rFonts w:ascii="Times New Roman" w:hAnsi="Times New Roman"/>
          <w:sz w:val="24"/>
          <w:szCs w:val="24"/>
        </w:rPr>
        <w:t xml:space="preserve">have a lower cost than </w:t>
      </w:r>
      <w:r w:rsidR="00630A6E">
        <w:rPr>
          <w:rFonts w:ascii="Times New Roman" w:hAnsi="Times New Roman"/>
          <w:sz w:val="24"/>
          <w:szCs w:val="24"/>
        </w:rPr>
        <w:t>purchasing analyst research or an Open Briefing</w:t>
      </w:r>
      <w:r w:rsidR="005B0F32">
        <w:rPr>
          <w:rFonts w:ascii="Times New Roman" w:hAnsi="Times New Roman"/>
          <w:sz w:val="24"/>
          <w:szCs w:val="24"/>
        </w:rPr>
        <w:t xml:space="preserve">. </w:t>
      </w:r>
      <w:r w:rsidR="004A748D">
        <w:rPr>
          <w:rFonts w:ascii="Times New Roman" w:hAnsi="Times New Roman"/>
          <w:sz w:val="24"/>
          <w:szCs w:val="24"/>
        </w:rPr>
        <w:t xml:space="preserve">Thus we do not find support for </w:t>
      </w:r>
      <w:r w:rsidR="004A748D">
        <w:rPr>
          <w:rFonts w:ascii="Times New Roman" w:hAnsi="Times New Roman" w:cs="Times New Roman"/>
          <w:sz w:val="24"/>
          <w:szCs w:val="24"/>
        </w:rPr>
        <w:t xml:space="preserve">talent signalling, but rather </w:t>
      </w:r>
      <w:r w:rsidR="008A53F4">
        <w:rPr>
          <w:rFonts w:ascii="Times New Roman" w:hAnsi="Times New Roman" w:cs="Times New Roman"/>
          <w:sz w:val="24"/>
          <w:szCs w:val="24"/>
        </w:rPr>
        <w:t xml:space="preserve">that </w:t>
      </w:r>
      <w:r w:rsidR="004A748D">
        <w:rPr>
          <w:rFonts w:ascii="Times New Roman" w:hAnsi="Times New Roman" w:cs="Times New Roman"/>
          <w:sz w:val="24"/>
          <w:szCs w:val="24"/>
        </w:rPr>
        <w:t xml:space="preserve">cost </w:t>
      </w:r>
      <w:r w:rsidR="008A53F4">
        <w:rPr>
          <w:rFonts w:ascii="Times New Roman" w:hAnsi="Times New Roman" w:cs="Times New Roman"/>
          <w:sz w:val="24"/>
          <w:szCs w:val="24"/>
        </w:rPr>
        <w:t xml:space="preserve">(in addition to the cost of disclosing </w:t>
      </w:r>
      <w:r w:rsidR="008A53F4" w:rsidRPr="008A53F4">
        <w:rPr>
          <w:rFonts w:ascii="Times New Roman" w:hAnsi="Times New Roman" w:cs="Times New Roman"/>
          <w:i/>
          <w:sz w:val="24"/>
          <w:szCs w:val="24"/>
        </w:rPr>
        <w:t>per se</w:t>
      </w:r>
      <w:r w:rsidR="008A53F4">
        <w:rPr>
          <w:rFonts w:ascii="Times New Roman" w:hAnsi="Times New Roman" w:cs="Times New Roman"/>
          <w:sz w:val="24"/>
          <w:szCs w:val="24"/>
        </w:rPr>
        <w:t xml:space="preserve">) </w:t>
      </w:r>
      <w:r w:rsidR="004A748D">
        <w:rPr>
          <w:rFonts w:ascii="Times New Roman" w:hAnsi="Times New Roman" w:cs="Times New Roman"/>
          <w:sz w:val="24"/>
          <w:szCs w:val="24"/>
        </w:rPr>
        <w:t xml:space="preserve">can impact disclosure </w:t>
      </w:r>
      <w:r w:rsidR="00CC3836">
        <w:rPr>
          <w:rFonts w:ascii="Times New Roman" w:hAnsi="Times New Roman" w:cs="Times New Roman"/>
          <w:sz w:val="24"/>
          <w:szCs w:val="24"/>
        </w:rPr>
        <w:t>outlet choice</w:t>
      </w:r>
      <w:r w:rsidR="004A748D">
        <w:rPr>
          <w:rFonts w:ascii="Times New Roman" w:hAnsi="Times New Roman" w:cs="Times New Roman"/>
          <w:sz w:val="24"/>
          <w:szCs w:val="24"/>
        </w:rPr>
        <w:t xml:space="preserve">. </w:t>
      </w:r>
      <w:r w:rsidR="00655D98">
        <w:rPr>
          <w:rFonts w:ascii="Times New Roman" w:hAnsi="Times New Roman" w:cs="Times New Roman"/>
          <w:sz w:val="24"/>
          <w:szCs w:val="24"/>
        </w:rPr>
        <w:t xml:space="preserve">Further, </w:t>
      </w:r>
      <w:r w:rsidR="00230AAD">
        <w:rPr>
          <w:rFonts w:ascii="Times New Roman" w:hAnsi="Times New Roman" w:cs="Times New Roman"/>
          <w:sz w:val="24"/>
          <w:szCs w:val="24"/>
        </w:rPr>
        <w:t>Panel</w:t>
      </w:r>
      <w:r w:rsidR="004A748D">
        <w:rPr>
          <w:rFonts w:ascii="Times New Roman" w:hAnsi="Times New Roman" w:cs="Times New Roman"/>
          <w:sz w:val="24"/>
          <w:szCs w:val="24"/>
        </w:rPr>
        <w:t xml:space="preserve"> B </w:t>
      </w:r>
      <w:r w:rsidR="00655D98">
        <w:rPr>
          <w:rFonts w:ascii="Times New Roman" w:hAnsi="Times New Roman" w:cs="Times New Roman"/>
          <w:sz w:val="24"/>
          <w:szCs w:val="24"/>
        </w:rPr>
        <w:t>s</w:t>
      </w:r>
      <w:r w:rsidR="004A748D">
        <w:rPr>
          <w:rFonts w:ascii="Times New Roman" w:hAnsi="Times New Roman" w:cs="Times New Roman"/>
          <w:sz w:val="24"/>
          <w:szCs w:val="24"/>
        </w:rPr>
        <w:t xml:space="preserve">hows that Open </w:t>
      </w:r>
      <w:r w:rsidR="004C4FF5">
        <w:rPr>
          <w:rFonts w:ascii="Times New Roman" w:hAnsi="Times New Roman" w:cs="Times New Roman"/>
          <w:sz w:val="24"/>
          <w:szCs w:val="24"/>
        </w:rPr>
        <w:t>Briefing firms</w:t>
      </w:r>
      <w:r w:rsidR="004A748D">
        <w:rPr>
          <w:rFonts w:ascii="Times New Roman" w:hAnsi="Times New Roman" w:cs="Times New Roman"/>
          <w:sz w:val="24"/>
          <w:szCs w:val="24"/>
        </w:rPr>
        <w:t xml:space="preserve"> are older, have more distributed ownership, larger, </w:t>
      </w:r>
      <w:r w:rsidR="00CC3836">
        <w:rPr>
          <w:rFonts w:ascii="Times New Roman" w:hAnsi="Times New Roman" w:cs="Times New Roman"/>
          <w:sz w:val="24"/>
          <w:szCs w:val="24"/>
        </w:rPr>
        <w:t>higher</w:t>
      </w:r>
      <w:r w:rsidR="004A748D">
        <w:rPr>
          <w:rFonts w:ascii="Times New Roman" w:hAnsi="Times New Roman" w:cs="Times New Roman"/>
          <w:sz w:val="24"/>
          <w:szCs w:val="24"/>
        </w:rPr>
        <w:t xml:space="preserve"> leverage, and are more likely to have </w:t>
      </w:r>
      <w:r w:rsidR="004A748D">
        <w:rPr>
          <w:rFonts w:ascii="Times New Roman" w:hAnsi="Times New Roman"/>
          <w:sz w:val="24"/>
          <w:szCs w:val="24"/>
        </w:rPr>
        <w:t xml:space="preserve">analyst coverage and positive cash flows. This is </w:t>
      </w:r>
      <w:r w:rsidR="00230AAD">
        <w:rPr>
          <w:rFonts w:ascii="Times New Roman" w:hAnsi="Times New Roman"/>
          <w:sz w:val="24"/>
          <w:szCs w:val="24"/>
        </w:rPr>
        <w:t xml:space="preserve">broadly </w:t>
      </w:r>
      <w:r w:rsidR="004A748D">
        <w:rPr>
          <w:rFonts w:ascii="Times New Roman" w:hAnsi="Times New Roman"/>
          <w:sz w:val="24"/>
          <w:szCs w:val="24"/>
        </w:rPr>
        <w:t xml:space="preserve">consistent with </w:t>
      </w:r>
      <w:r w:rsidR="00655D98">
        <w:rPr>
          <w:rFonts w:ascii="Times New Roman" w:hAnsi="Times New Roman"/>
          <w:sz w:val="24"/>
          <w:szCs w:val="24"/>
        </w:rPr>
        <w:t>H</w:t>
      </w:r>
      <w:r w:rsidR="004A748D">
        <w:rPr>
          <w:rFonts w:ascii="Times New Roman" w:hAnsi="Times New Roman"/>
          <w:sz w:val="24"/>
          <w:szCs w:val="24"/>
        </w:rPr>
        <w:t xml:space="preserve">ypothesis 1c. </w:t>
      </w:r>
      <w:r w:rsidR="00630A6E">
        <w:rPr>
          <w:rFonts w:ascii="Times New Roman" w:hAnsi="Times New Roman"/>
          <w:sz w:val="24"/>
          <w:szCs w:val="24"/>
        </w:rPr>
        <w:t>The overall results also suggest firm lifecycle effects disclosure outlet choice, as firms are younger (older) when they purchase analyst research (Open Briefings).</w:t>
      </w:r>
    </w:p>
    <w:p w14:paraId="2B3FF0D2" w14:textId="77777777" w:rsidR="00BA3C60" w:rsidRDefault="00BA3C60" w:rsidP="00190959">
      <w:pPr>
        <w:spacing w:after="0" w:line="480" w:lineRule="auto"/>
        <w:jc w:val="both"/>
        <w:rPr>
          <w:rFonts w:ascii="Times New Roman" w:hAnsi="Times New Roman"/>
          <w:sz w:val="24"/>
          <w:szCs w:val="24"/>
        </w:rPr>
      </w:pPr>
    </w:p>
    <w:p w14:paraId="4F066E32" w14:textId="14BF0256" w:rsidR="00BA3C60" w:rsidRPr="00561DAB" w:rsidRDefault="00BA3C60" w:rsidP="00C1335F">
      <w:pPr>
        <w:spacing w:after="0" w:line="480" w:lineRule="auto"/>
        <w:jc w:val="both"/>
        <w:rPr>
          <w:rFonts w:ascii="Times New Roman" w:hAnsi="Times New Roman"/>
          <w:i/>
          <w:sz w:val="24"/>
          <w:szCs w:val="24"/>
        </w:rPr>
      </w:pPr>
      <w:r w:rsidRPr="00561DAB">
        <w:rPr>
          <w:rFonts w:ascii="Times New Roman" w:hAnsi="Times New Roman"/>
          <w:i/>
          <w:sz w:val="24"/>
          <w:szCs w:val="24"/>
        </w:rPr>
        <w:t>4.</w:t>
      </w:r>
      <w:r>
        <w:rPr>
          <w:rFonts w:ascii="Times New Roman" w:hAnsi="Times New Roman"/>
          <w:i/>
          <w:sz w:val="24"/>
          <w:szCs w:val="24"/>
        </w:rPr>
        <w:t xml:space="preserve">2 </w:t>
      </w:r>
      <w:r w:rsidR="00FA2F3D">
        <w:rPr>
          <w:rFonts w:ascii="Times New Roman" w:hAnsi="Times New Roman"/>
          <w:i/>
          <w:sz w:val="24"/>
          <w:szCs w:val="24"/>
        </w:rPr>
        <w:t>Logistic r</w:t>
      </w:r>
      <w:r>
        <w:rPr>
          <w:rFonts w:ascii="Times New Roman" w:hAnsi="Times New Roman"/>
          <w:i/>
          <w:sz w:val="24"/>
          <w:szCs w:val="24"/>
        </w:rPr>
        <w:t xml:space="preserve">egression </w:t>
      </w:r>
      <w:r w:rsidR="00F00AAE">
        <w:rPr>
          <w:rFonts w:ascii="Times New Roman" w:hAnsi="Times New Roman"/>
          <w:i/>
          <w:sz w:val="24"/>
          <w:szCs w:val="24"/>
        </w:rPr>
        <w:t>results</w:t>
      </w:r>
    </w:p>
    <w:p w14:paraId="44BE6010" w14:textId="5ABCB9AF" w:rsidR="008E094B" w:rsidRDefault="00BA3C60" w:rsidP="008E094B">
      <w:pPr>
        <w:spacing w:after="0" w:line="480" w:lineRule="auto"/>
        <w:jc w:val="both"/>
        <w:rPr>
          <w:rFonts w:ascii="Times New Roman" w:hAnsi="Times New Roman"/>
          <w:sz w:val="24"/>
          <w:szCs w:val="24"/>
        </w:rPr>
      </w:pPr>
      <w:r>
        <w:rPr>
          <w:rFonts w:ascii="Times New Roman" w:hAnsi="Times New Roman"/>
          <w:sz w:val="24"/>
          <w:szCs w:val="24"/>
        </w:rPr>
        <w:tab/>
        <w:t xml:space="preserve">Table 3 shows results for when we regress firm characteristics on the choice </w:t>
      </w:r>
      <w:r w:rsidR="00EE78BA">
        <w:rPr>
          <w:rFonts w:ascii="Times New Roman" w:hAnsi="Times New Roman"/>
          <w:sz w:val="24"/>
          <w:szCs w:val="24"/>
        </w:rPr>
        <w:t>of</w:t>
      </w:r>
      <w:r>
        <w:rPr>
          <w:rFonts w:ascii="Times New Roman" w:hAnsi="Times New Roman"/>
          <w:sz w:val="24"/>
          <w:szCs w:val="24"/>
        </w:rPr>
        <w:t xml:space="preserve"> disclosure outlet, with purchased analyst research, investor presentations and Open Briefings as the dependent variable in Models I, II and III, respectively. All regression models </w:t>
      </w:r>
      <w:r w:rsidR="00F37CF2">
        <w:rPr>
          <w:rFonts w:ascii="Times New Roman" w:hAnsi="Times New Roman"/>
          <w:sz w:val="24"/>
          <w:szCs w:val="24"/>
        </w:rPr>
        <w:t>are significant</w:t>
      </w:r>
      <w:r>
        <w:rPr>
          <w:rFonts w:ascii="Times New Roman" w:hAnsi="Times New Roman"/>
          <w:sz w:val="24"/>
          <w:szCs w:val="24"/>
        </w:rPr>
        <w:t xml:space="preserve"> </w:t>
      </w:r>
      <w:r w:rsidR="00655D98">
        <w:rPr>
          <w:rFonts w:ascii="Times New Roman" w:hAnsi="Times New Roman"/>
          <w:sz w:val="24"/>
          <w:szCs w:val="24"/>
        </w:rPr>
        <w:t xml:space="preserve">with correct </w:t>
      </w:r>
      <w:r>
        <w:rPr>
          <w:rFonts w:ascii="Times New Roman" w:hAnsi="Times New Roman"/>
          <w:sz w:val="24"/>
          <w:szCs w:val="24"/>
        </w:rPr>
        <w:t xml:space="preserve">classification percentages </w:t>
      </w:r>
      <w:r w:rsidR="00655D98">
        <w:rPr>
          <w:rFonts w:ascii="Times New Roman" w:hAnsi="Times New Roman"/>
          <w:sz w:val="24"/>
          <w:szCs w:val="24"/>
        </w:rPr>
        <w:t>ranging</w:t>
      </w:r>
      <w:r>
        <w:rPr>
          <w:rFonts w:ascii="Times New Roman" w:hAnsi="Times New Roman"/>
          <w:sz w:val="24"/>
          <w:szCs w:val="24"/>
        </w:rPr>
        <w:t xml:space="preserve"> between 6</w:t>
      </w:r>
      <w:r w:rsidR="00F37CF2">
        <w:rPr>
          <w:rFonts w:ascii="Times New Roman" w:hAnsi="Times New Roman"/>
          <w:sz w:val="24"/>
          <w:szCs w:val="24"/>
        </w:rPr>
        <w:t>1</w:t>
      </w:r>
      <w:r>
        <w:rPr>
          <w:rFonts w:ascii="Times New Roman" w:hAnsi="Times New Roman"/>
          <w:sz w:val="24"/>
          <w:szCs w:val="24"/>
        </w:rPr>
        <w:t>.</w:t>
      </w:r>
      <w:r w:rsidR="00F37CF2">
        <w:rPr>
          <w:rFonts w:ascii="Times New Roman" w:hAnsi="Times New Roman"/>
          <w:sz w:val="24"/>
          <w:szCs w:val="24"/>
        </w:rPr>
        <w:t>3</w:t>
      </w:r>
      <w:r>
        <w:rPr>
          <w:rFonts w:ascii="Times New Roman" w:hAnsi="Times New Roman"/>
          <w:sz w:val="24"/>
          <w:szCs w:val="24"/>
        </w:rPr>
        <w:t>%-</w:t>
      </w:r>
      <w:r w:rsidR="00F37CF2">
        <w:rPr>
          <w:rFonts w:ascii="Times New Roman" w:hAnsi="Times New Roman"/>
          <w:sz w:val="24"/>
          <w:szCs w:val="24"/>
        </w:rPr>
        <w:t>9</w:t>
      </w:r>
      <w:r>
        <w:rPr>
          <w:rFonts w:ascii="Times New Roman" w:hAnsi="Times New Roman"/>
          <w:sz w:val="24"/>
          <w:szCs w:val="24"/>
        </w:rPr>
        <w:t>3.</w:t>
      </w:r>
      <w:r w:rsidR="00F37CF2">
        <w:rPr>
          <w:rFonts w:ascii="Times New Roman" w:hAnsi="Times New Roman"/>
          <w:sz w:val="24"/>
          <w:szCs w:val="24"/>
        </w:rPr>
        <w:t>2</w:t>
      </w:r>
      <w:r>
        <w:rPr>
          <w:rFonts w:ascii="Times New Roman" w:hAnsi="Times New Roman"/>
          <w:sz w:val="24"/>
          <w:szCs w:val="24"/>
        </w:rPr>
        <w:t>%</w:t>
      </w:r>
      <w:r w:rsidR="00917724">
        <w:rPr>
          <w:rFonts w:ascii="Times New Roman" w:hAnsi="Times New Roman"/>
          <w:sz w:val="24"/>
          <w:szCs w:val="24"/>
        </w:rPr>
        <w:t>.</w:t>
      </w:r>
      <w:r w:rsidR="00917724">
        <w:rPr>
          <w:rStyle w:val="FootnoteReference"/>
          <w:rFonts w:ascii="Times New Roman" w:hAnsi="Times New Roman"/>
          <w:sz w:val="24"/>
          <w:szCs w:val="24"/>
        </w:rPr>
        <w:footnoteReference w:id="12"/>
      </w:r>
    </w:p>
    <w:p w14:paraId="2AD0DC8D" w14:textId="152C500F" w:rsidR="004C4FF5" w:rsidRDefault="00BA3C60" w:rsidP="00F37CF2">
      <w:pPr>
        <w:spacing w:after="0" w:line="480" w:lineRule="auto"/>
        <w:ind w:firstLine="720"/>
        <w:jc w:val="both"/>
        <w:rPr>
          <w:rFonts w:ascii="Times New Roman" w:hAnsi="Times New Roman"/>
          <w:sz w:val="24"/>
          <w:szCs w:val="24"/>
        </w:rPr>
      </w:pPr>
      <w:r>
        <w:rPr>
          <w:rFonts w:ascii="Times New Roman" w:hAnsi="Times New Roman"/>
          <w:sz w:val="24"/>
          <w:szCs w:val="24"/>
        </w:rPr>
        <w:t xml:space="preserve">First, H1a proposes that firms are more likely to use purchased analyst research to lower users’ information gathering costs. A significant positive coefficient on </w:t>
      </w:r>
      <w:r w:rsidRPr="00A72572">
        <w:rPr>
          <w:rFonts w:ascii="Times New Roman" w:hAnsi="Times New Roman"/>
          <w:i/>
          <w:sz w:val="24"/>
          <w:szCs w:val="24"/>
        </w:rPr>
        <w:t>Top20</w:t>
      </w:r>
      <w:r>
        <w:rPr>
          <w:rFonts w:ascii="Times New Roman" w:hAnsi="Times New Roman"/>
          <w:sz w:val="24"/>
          <w:szCs w:val="24"/>
        </w:rPr>
        <w:t xml:space="preserve"> shows that users of purchased analyst research are motivated to disclose through this outlet to attract </w:t>
      </w:r>
      <w:r>
        <w:rPr>
          <w:rFonts w:ascii="Times New Roman" w:hAnsi="Times New Roman"/>
          <w:sz w:val="24"/>
          <w:szCs w:val="24"/>
        </w:rPr>
        <w:lastRenderedPageBreak/>
        <w:t xml:space="preserve">a more diverse investor base. </w:t>
      </w:r>
      <w:r w:rsidR="004C4FF5">
        <w:rPr>
          <w:rFonts w:ascii="Times New Roman" w:hAnsi="Times New Roman"/>
          <w:sz w:val="24"/>
          <w:szCs w:val="24"/>
        </w:rPr>
        <w:t>The result of such firms being more likely to have positive cash flows after controlling for other factors, could suggest that firms are more likely to try and low</w:t>
      </w:r>
      <w:r w:rsidR="00C87D29">
        <w:rPr>
          <w:rFonts w:ascii="Times New Roman" w:hAnsi="Times New Roman"/>
          <w:sz w:val="24"/>
          <w:szCs w:val="24"/>
        </w:rPr>
        <w:t>er</w:t>
      </w:r>
      <w:r w:rsidR="004C4FF5">
        <w:rPr>
          <w:rFonts w:ascii="Times New Roman" w:hAnsi="Times New Roman"/>
          <w:sz w:val="24"/>
          <w:szCs w:val="24"/>
        </w:rPr>
        <w:t xml:space="preserve"> information gathering costs when they have good news to disclose. In the full sample (Panel B) we find that firms purchasing analyst research are younger, which is also consistent with H1a.</w:t>
      </w:r>
    </w:p>
    <w:p w14:paraId="479E054C" w14:textId="762F2BE5" w:rsidR="004C4FF5" w:rsidRDefault="00BA3C60" w:rsidP="007B1620">
      <w:pPr>
        <w:spacing w:after="0" w:line="480" w:lineRule="auto"/>
        <w:ind w:firstLine="720"/>
        <w:jc w:val="both"/>
        <w:rPr>
          <w:rFonts w:ascii="Times New Roman" w:hAnsi="Times New Roman"/>
          <w:sz w:val="24"/>
          <w:szCs w:val="24"/>
        </w:rPr>
      </w:pPr>
      <w:r>
        <w:rPr>
          <w:rFonts w:ascii="Times New Roman" w:hAnsi="Times New Roman"/>
          <w:sz w:val="24"/>
          <w:szCs w:val="24"/>
        </w:rPr>
        <w:t xml:space="preserve">Second, </w:t>
      </w:r>
      <w:r w:rsidR="004C4FF5">
        <w:rPr>
          <w:rFonts w:ascii="Times New Roman" w:hAnsi="Times New Roman"/>
          <w:sz w:val="24"/>
          <w:szCs w:val="24"/>
        </w:rPr>
        <w:t>we find no support for H1b when we run our regressions on the disclosure subsample (Panel A). However, we find different results</w:t>
      </w:r>
      <w:r w:rsidR="002E3062">
        <w:rPr>
          <w:rFonts w:ascii="Times New Roman" w:hAnsi="Times New Roman"/>
          <w:sz w:val="24"/>
          <w:szCs w:val="24"/>
        </w:rPr>
        <w:t xml:space="preserve"> for</w:t>
      </w:r>
      <w:r w:rsidR="004C4FF5">
        <w:rPr>
          <w:rFonts w:ascii="Times New Roman" w:hAnsi="Times New Roman"/>
          <w:sz w:val="24"/>
          <w:szCs w:val="24"/>
        </w:rPr>
        <w:t xml:space="preserve"> </w:t>
      </w:r>
      <w:r w:rsidR="002E3062">
        <w:rPr>
          <w:rFonts w:ascii="Times New Roman" w:hAnsi="Times New Roman"/>
          <w:sz w:val="24"/>
          <w:szCs w:val="24"/>
        </w:rPr>
        <w:t xml:space="preserve">investor presentation </w:t>
      </w:r>
      <w:r w:rsidR="006C2129">
        <w:rPr>
          <w:rFonts w:ascii="Times New Roman" w:hAnsi="Times New Roman"/>
          <w:sz w:val="24"/>
          <w:szCs w:val="24"/>
        </w:rPr>
        <w:t xml:space="preserve">in </w:t>
      </w:r>
      <w:r w:rsidR="004C4FF5">
        <w:rPr>
          <w:rFonts w:ascii="Times New Roman" w:hAnsi="Times New Roman"/>
          <w:sz w:val="24"/>
          <w:szCs w:val="24"/>
        </w:rPr>
        <w:t xml:space="preserve">tests </w:t>
      </w:r>
      <w:r w:rsidR="006C2129">
        <w:rPr>
          <w:rFonts w:ascii="Times New Roman" w:hAnsi="Times New Roman"/>
          <w:sz w:val="24"/>
          <w:szCs w:val="24"/>
        </w:rPr>
        <w:t xml:space="preserve">based </w:t>
      </w:r>
      <w:r w:rsidR="004C4FF5">
        <w:rPr>
          <w:rFonts w:ascii="Times New Roman" w:hAnsi="Times New Roman"/>
          <w:sz w:val="24"/>
          <w:szCs w:val="24"/>
        </w:rPr>
        <w:t xml:space="preserve">on the full sample, with Panel B showing that they are younger, have more concentrated ownership, are larger, and less likely to have analyst coverage and positive cash flow. </w:t>
      </w:r>
      <w:r w:rsidR="006C2129">
        <w:rPr>
          <w:rFonts w:ascii="Times New Roman" w:hAnsi="Times New Roman"/>
          <w:sz w:val="24"/>
          <w:szCs w:val="24"/>
        </w:rPr>
        <w:t>Accordingly, we</w:t>
      </w:r>
      <w:r w:rsidR="007B1620">
        <w:rPr>
          <w:rFonts w:ascii="Times New Roman" w:hAnsi="Times New Roman"/>
          <w:sz w:val="24"/>
          <w:szCs w:val="24"/>
        </w:rPr>
        <w:t xml:space="preserve"> find mixed support for H1b, that firms are more likely to use investor presentation to signal talent, and instead find they may be used by firms that</w:t>
      </w:r>
      <w:r w:rsidR="00B27D57">
        <w:rPr>
          <w:rFonts w:ascii="Times New Roman" w:hAnsi="Times New Roman"/>
          <w:sz w:val="24"/>
          <w:szCs w:val="24"/>
        </w:rPr>
        <w:t xml:space="preserve"> are cash constrained.</w:t>
      </w:r>
    </w:p>
    <w:p w14:paraId="7DD5CD9D" w14:textId="36C5BE09" w:rsidR="00230AAD" w:rsidRDefault="00BA3C60" w:rsidP="00385E6F">
      <w:pPr>
        <w:spacing w:after="0" w:line="480" w:lineRule="auto"/>
        <w:ind w:firstLine="720"/>
        <w:jc w:val="both"/>
        <w:rPr>
          <w:rFonts w:ascii="Times New Roman" w:hAnsi="Times New Roman"/>
          <w:sz w:val="24"/>
          <w:szCs w:val="24"/>
        </w:rPr>
      </w:pPr>
      <w:r>
        <w:rPr>
          <w:rFonts w:ascii="Times New Roman" w:hAnsi="Times New Roman"/>
          <w:sz w:val="24"/>
          <w:szCs w:val="24"/>
        </w:rPr>
        <w:t xml:space="preserve">Third, firms disclosing via an Open Briefing </w:t>
      </w:r>
      <w:r w:rsidR="007B1620">
        <w:rPr>
          <w:rFonts w:ascii="Times New Roman" w:hAnsi="Times New Roman"/>
          <w:sz w:val="24"/>
          <w:szCs w:val="24"/>
        </w:rPr>
        <w:t>have more disperse ownership, are</w:t>
      </w:r>
      <w:r>
        <w:rPr>
          <w:rFonts w:ascii="Times New Roman" w:hAnsi="Times New Roman"/>
          <w:sz w:val="24"/>
          <w:szCs w:val="24"/>
        </w:rPr>
        <w:t xml:space="preserve"> larger and more likely to have a negative net cash flow from operations. Although size can measure many attributes, when combined with the negative cash flow dummy, it suggests that users of Open Briefings are large firms without good performance. This is presumably a firm type with incentives to disclose in a controlled environment to minimise disclosure risk which supports H1c.</w:t>
      </w:r>
      <w:r w:rsidR="007B1620">
        <w:rPr>
          <w:rFonts w:ascii="Times New Roman" w:hAnsi="Times New Roman"/>
          <w:sz w:val="24"/>
          <w:szCs w:val="24"/>
        </w:rPr>
        <w:t xml:space="preserve"> Furthermore an Open Briefing may more effectively communicate to a disperse investor base than the other two disclosure outlets. Panel B finds results consistent with H1c for the full sample, apart from cash flow no</w:t>
      </w:r>
      <w:r w:rsidR="00385E6F">
        <w:rPr>
          <w:rFonts w:ascii="Times New Roman" w:hAnsi="Times New Roman"/>
          <w:sz w:val="24"/>
          <w:szCs w:val="24"/>
        </w:rPr>
        <w:t>w being significantly positive.</w:t>
      </w:r>
    </w:p>
    <w:p w14:paraId="1B57E375" w14:textId="77777777" w:rsidR="007B1620" w:rsidRDefault="007B1620">
      <w:pPr>
        <w:spacing w:after="0" w:line="480" w:lineRule="auto"/>
        <w:jc w:val="both"/>
        <w:rPr>
          <w:rFonts w:ascii="Times New Roman" w:hAnsi="Times New Roman"/>
          <w:i/>
          <w:sz w:val="24"/>
          <w:szCs w:val="24"/>
        </w:rPr>
      </w:pPr>
    </w:p>
    <w:p w14:paraId="30C5E462" w14:textId="7FEF5C01" w:rsidR="00BA3C60" w:rsidRPr="00561DAB" w:rsidRDefault="00BA3C60">
      <w:pPr>
        <w:spacing w:after="0" w:line="480" w:lineRule="auto"/>
        <w:jc w:val="both"/>
        <w:rPr>
          <w:rFonts w:ascii="Times New Roman" w:hAnsi="Times New Roman"/>
          <w:i/>
          <w:sz w:val="24"/>
          <w:szCs w:val="24"/>
        </w:rPr>
      </w:pPr>
      <w:r w:rsidRPr="00561DAB">
        <w:rPr>
          <w:rFonts w:ascii="Times New Roman" w:hAnsi="Times New Roman"/>
          <w:i/>
          <w:sz w:val="24"/>
          <w:szCs w:val="24"/>
        </w:rPr>
        <w:t>4.</w:t>
      </w:r>
      <w:r>
        <w:rPr>
          <w:rFonts w:ascii="Times New Roman" w:hAnsi="Times New Roman"/>
          <w:i/>
          <w:sz w:val="24"/>
          <w:szCs w:val="24"/>
        </w:rPr>
        <w:t xml:space="preserve">3 </w:t>
      </w:r>
      <w:r w:rsidR="00F00AAE">
        <w:rPr>
          <w:rFonts w:ascii="Times New Roman" w:hAnsi="Times New Roman"/>
          <w:i/>
          <w:sz w:val="24"/>
          <w:szCs w:val="24"/>
        </w:rPr>
        <w:t>Market reactions</w:t>
      </w:r>
    </w:p>
    <w:p w14:paraId="0AE0ACF6" w14:textId="3328AF4D" w:rsidR="00BA3C60" w:rsidRDefault="00305B45" w:rsidP="002E2CD6">
      <w:pPr>
        <w:spacing w:after="0" w:line="480" w:lineRule="auto"/>
        <w:ind w:firstLine="720"/>
        <w:jc w:val="both"/>
        <w:rPr>
          <w:rFonts w:ascii="Times New Roman" w:hAnsi="Times New Roman"/>
          <w:sz w:val="24"/>
          <w:szCs w:val="24"/>
        </w:rPr>
      </w:pPr>
      <w:r>
        <w:rPr>
          <w:rFonts w:ascii="Times New Roman" w:hAnsi="Times New Roman"/>
          <w:sz w:val="24"/>
          <w:szCs w:val="24"/>
        </w:rPr>
        <w:t xml:space="preserve">Building on prior literature that shows </w:t>
      </w:r>
      <w:r w:rsidR="00BA3C60">
        <w:rPr>
          <w:rFonts w:ascii="Times New Roman" w:hAnsi="Times New Roman"/>
          <w:sz w:val="24"/>
          <w:szCs w:val="24"/>
        </w:rPr>
        <w:t>that all three disclosure outlets are significant market events</w:t>
      </w:r>
      <w:r>
        <w:rPr>
          <w:rFonts w:ascii="Times New Roman" w:hAnsi="Times New Roman"/>
          <w:sz w:val="24"/>
          <w:szCs w:val="24"/>
        </w:rPr>
        <w:t xml:space="preserve"> (Ferguson and Scott, 2011; Brown </w:t>
      </w:r>
      <w:r w:rsidRPr="00305B45">
        <w:rPr>
          <w:rFonts w:ascii="Times New Roman" w:hAnsi="Times New Roman"/>
          <w:i/>
          <w:sz w:val="24"/>
          <w:szCs w:val="24"/>
        </w:rPr>
        <w:t>et al</w:t>
      </w:r>
      <w:r>
        <w:rPr>
          <w:rFonts w:ascii="Times New Roman" w:hAnsi="Times New Roman"/>
          <w:sz w:val="24"/>
          <w:szCs w:val="24"/>
        </w:rPr>
        <w:t>., 2014; Ferguson and Scott, 2014)</w:t>
      </w:r>
      <w:r w:rsidR="00BA3C60">
        <w:rPr>
          <w:rFonts w:ascii="Times New Roman" w:hAnsi="Times New Roman"/>
          <w:sz w:val="24"/>
          <w:szCs w:val="24"/>
        </w:rPr>
        <w:t xml:space="preserve">, we </w:t>
      </w:r>
      <w:r>
        <w:rPr>
          <w:rFonts w:ascii="Times New Roman" w:hAnsi="Times New Roman"/>
          <w:sz w:val="24"/>
          <w:szCs w:val="24"/>
        </w:rPr>
        <w:lastRenderedPageBreak/>
        <w:t xml:space="preserve">first </w:t>
      </w:r>
      <w:r w:rsidR="00BA3C60">
        <w:rPr>
          <w:rFonts w:ascii="Times New Roman" w:hAnsi="Times New Roman"/>
          <w:sz w:val="24"/>
          <w:szCs w:val="24"/>
        </w:rPr>
        <w:t>test whether there are differences in the market reaction.</w:t>
      </w:r>
      <w:r>
        <w:rPr>
          <w:rStyle w:val="FootnoteReference"/>
          <w:rFonts w:ascii="Times New Roman" w:hAnsi="Times New Roman"/>
          <w:sz w:val="24"/>
          <w:szCs w:val="24"/>
        </w:rPr>
        <w:footnoteReference w:id="13"/>
      </w:r>
      <w:r w:rsidR="00BA3C60">
        <w:rPr>
          <w:rFonts w:ascii="Times New Roman" w:hAnsi="Times New Roman"/>
          <w:sz w:val="24"/>
          <w:szCs w:val="24"/>
        </w:rPr>
        <w:t xml:space="preserve"> Table </w:t>
      </w:r>
      <w:r>
        <w:rPr>
          <w:rFonts w:ascii="Times New Roman" w:hAnsi="Times New Roman"/>
          <w:sz w:val="24"/>
          <w:szCs w:val="24"/>
        </w:rPr>
        <w:t>4</w:t>
      </w:r>
      <w:r w:rsidR="006C2129">
        <w:rPr>
          <w:rFonts w:ascii="Times New Roman" w:hAnsi="Times New Roman"/>
          <w:sz w:val="24"/>
          <w:szCs w:val="24"/>
        </w:rPr>
        <w:t>,</w:t>
      </w:r>
      <w:r>
        <w:rPr>
          <w:rFonts w:ascii="Times New Roman" w:hAnsi="Times New Roman"/>
          <w:sz w:val="24"/>
          <w:szCs w:val="24"/>
        </w:rPr>
        <w:t xml:space="preserve"> </w:t>
      </w:r>
      <w:r w:rsidR="00BA3C60">
        <w:rPr>
          <w:rFonts w:ascii="Times New Roman" w:hAnsi="Times New Roman"/>
          <w:sz w:val="24"/>
          <w:szCs w:val="24"/>
        </w:rPr>
        <w:t xml:space="preserve">Panels A to C show that Open Briefings have a lower absolute abnormal return on day </w:t>
      </w:r>
      <w:r w:rsidR="00BA3C60">
        <w:rPr>
          <w:rFonts w:ascii="Times New Roman" w:hAnsi="Times New Roman"/>
          <w:i/>
          <w:sz w:val="24"/>
          <w:szCs w:val="24"/>
        </w:rPr>
        <w:t>t</w:t>
      </w:r>
      <w:r w:rsidR="00BA3C60" w:rsidRPr="00112A9A">
        <w:rPr>
          <w:rFonts w:ascii="Times New Roman" w:hAnsi="Times New Roman"/>
          <w:sz w:val="24"/>
          <w:szCs w:val="24"/>
        </w:rPr>
        <w:t>,</w:t>
      </w:r>
      <w:r w:rsidR="00BA3C60">
        <w:rPr>
          <w:rFonts w:ascii="Times New Roman" w:hAnsi="Times New Roman"/>
          <w:i/>
          <w:sz w:val="24"/>
          <w:szCs w:val="24"/>
        </w:rPr>
        <w:t xml:space="preserve"> t</w:t>
      </w:r>
      <w:r w:rsidR="00BA3C60">
        <w:rPr>
          <w:rFonts w:ascii="Times New Roman" w:hAnsi="Times New Roman"/>
          <w:sz w:val="24"/>
          <w:szCs w:val="24"/>
        </w:rPr>
        <w:t>-1 and over the 3 day window.</w:t>
      </w:r>
      <w:r w:rsidR="000C4C13">
        <w:rPr>
          <w:rStyle w:val="FootnoteReference"/>
          <w:rFonts w:ascii="Times New Roman" w:hAnsi="Times New Roman"/>
          <w:sz w:val="24"/>
          <w:szCs w:val="24"/>
        </w:rPr>
        <w:footnoteReference w:id="14"/>
      </w:r>
      <w:r w:rsidR="00BA3C60">
        <w:rPr>
          <w:rFonts w:ascii="Times New Roman" w:hAnsi="Times New Roman"/>
          <w:sz w:val="24"/>
          <w:szCs w:val="24"/>
        </w:rPr>
        <w:t xml:space="preserve"> In contrast, investor presentations have a higher absolute abnormal return on day’s </w:t>
      </w:r>
      <w:r w:rsidR="00BA3C60">
        <w:rPr>
          <w:rFonts w:ascii="Times New Roman" w:hAnsi="Times New Roman"/>
          <w:i/>
          <w:sz w:val="24"/>
          <w:szCs w:val="24"/>
        </w:rPr>
        <w:t>t</w:t>
      </w:r>
      <w:r w:rsidR="00BA3C60">
        <w:rPr>
          <w:rFonts w:ascii="Times New Roman" w:hAnsi="Times New Roman"/>
          <w:sz w:val="24"/>
          <w:szCs w:val="24"/>
        </w:rPr>
        <w:t>-3,</w:t>
      </w:r>
      <w:r w:rsidR="00BA3C60" w:rsidRPr="00112A9A">
        <w:rPr>
          <w:rFonts w:ascii="Times New Roman" w:hAnsi="Times New Roman"/>
          <w:i/>
          <w:sz w:val="24"/>
          <w:szCs w:val="24"/>
        </w:rPr>
        <w:t xml:space="preserve"> </w:t>
      </w:r>
      <w:r w:rsidR="00BA3C60">
        <w:rPr>
          <w:rFonts w:ascii="Times New Roman" w:hAnsi="Times New Roman"/>
          <w:i/>
          <w:sz w:val="24"/>
          <w:szCs w:val="24"/>
        </w:rPr>
        <w:t>t</w:t>
      </w:r>
      <w:r w:rsidR="00BA3C60">
        <w:rPr>
          <w:rFonts w:ascii="Times New Roman" w:hAnsi="Times New Roman"/>
          <w:sz w:val="24"/>
          <w:szCs w:val="24"/>
        </w:rPr>
        <w:t>-2</w:t>
      </w:r>
      <w:r w:rsidR="00BA3C60" w:rsidRPr="001015CD">
        <w:rPr>
          <w:rFonts w:ascii="Times New Roman" w:hAnsi="Times New Roman"/>
          <w:sz w:val="24"/>
          <w:szCs w:val="24"/>
        </w:rPr>
        <w:t xml:space="preserve">, </w:t>
      </w:r>
      <w:r w:rsidR="00BA3C60">
        <w:rPr>
          <w:rFonts w:ascii="Times New Roman" w:hAnsi="Times New Roman"/>
          <w:i/>
          <w:sz w:val="24"/>
          <w:szCs w:val="24"/>
        </w:rPr>
        <w:t>t</w:t>
      </w:r>
      <w:r w:rsidR="00BA3C60">
        <w:rPr>
          <w:rFonts w:ascii="Times New Roman" w:hAnsi="Times New Roman"/>
          <w:sz w:val="24"/>
          <w:szCs w:val="24"/>
        </w:rPr>
        <w:t xml:space="preserve">+1 and over the 21 day window. There is no consistent evidence from parametric and non-parametric </w:t>
      </w:r>
      <w:r w:rsidR="006C2129">
        <w:rPr>
          <w:rFonts w:ascii="Times New Roman" w:hAnsi="Times New Roman"/>
          <w:sz w:val="24"/>
          <w:szCs w:val="24"/>
        </w:rPr>
        <w:t>tests</w:t>
      </w:r>
      <w:r w:rsidR="00BA3C60">
        <w:rPr>
          <w:rFonts w:ascii="Times New Roman" w:hAnsi="Times New Roman"/>
          <w:sz w:val="24"/>
          <w:szCs w:val="24"/>
        </w:rPr>
        <w:t xml:space="preserve"> </w:t>
      </w:r>
      <w:r w:rsidR="006C2129">
        <w:rPr>
          <w:rFonts w:ascii="Times New Roman" w:hAnsi="Times New Roman"/>
          <w:sz w:val="24"/>
          <w:szCs w:val="24"/>
        </w:rPr>
        <w:t>of</w:t>
      </w:r>
      <w:r w:rsidR="00BA3C60">
        <w:rPr>
          <w:rFonts w:ascii="Times New Roman" w:hAnsi="Times New Roman"/>
          <w:sz w:val="24"/>
          <w:szCs w:val="24"/>
        </w:rPr>
        <w:t xml:space="preserve"> difference in absolute abnormal return for purchased analyst research apart from a lower absolute</w:t>
      </w:r>
      <w:r w:rsidR="00BA3C60" w:rsidRPr="00A741E7">
        <w:rPr>
          <w:rFonts w:ascii="Times New Roman" w:hAnsi="Times New Roman"/>
          <w:sz w:val="24"/>
          <w:szCs w:val="24"/>
        </w:rPr>
        <w:t xml:space="preserve"> </w:t>
      </w:r>
      <w:r w:rsidR="00BA3C60">
        <w:rPr>
          <w:rFonts w:ascii="Times New Roman" w:hAnsi="Times New Roman"/>
          <w:sz w:val="24"/>
          <w:szCs w:val="24"/>
        </w:rPr>
        <w:t>abnormal return</w:t>
      </w:r>
      <w:r w:rsidR="00BA3C60" w:rsidRPr="00A741E7">
        <w:rPr>
          <w:rFonts w:ascii="Times New Roman" w:hAnsi="Times New Roman"/>
          <w:sz w:val="24"/>
          <w:szCs w:val="24"/>
        </w:rPr>
        <w:t xml:space="preserve"> </w:t>
      </w:r>
      <w:r w:rsidR="00BA3C60">
        <w:rPr>
          <w:rFonts w:ascii="Times New Roman" w:hAnsi="Times New Roman"/>
          <w:sz w:val="24"/>
          <w:szCs w:val="24"/>
        </w:rPr>
        <w:t>in the pre-period (</w:t>
      </w:r>
      <w:r w:rsidR="00BA3C60">
        <w:rPr>
          <w:rFonts w:ascii="Times New Roman" w:hAnsi="Times New Roman"/>
          <w:i/>
          <w:sz w:val="24"/>
          <w:szCs w:val="24"/>
        </w:rPr>
        <w:t>t</w:t>
      </w:r>
      <w:r w:rsidR="00BA3C60" w:rsidRPr="00112A9A">
        <w:rPr>
          <w:rFonts w:ascii="Times New Roman" w:hAnsi="Times New Roman"/>
          <w:sz w:val="24"/>
          <w:szCs w:val="24"/>
        </w:rPr>
        <w:t xml:space="preserve">-10 to </w:t>
      </w:r>
      <w:r w:rsidR="00BA3C60">
        <w:rPr>
          <w:rFonts w:ascii="Times New Roman" w:hAnsi="Times New Roman"/>
          <w:i/>
          <w:sz w:val="24"/>
          <w:szCs w:val="24"/>
        </w:rPr>
        <w:t>t</w:t>
      </w:r>
      <w:r w:rsidR="00BA3C60" w:rsidRPr="00112A9A">
        <w:rPr>
          <w:rFonts w:ascii="Times New Roman" w:hAnsi="Times New Roman"/>
          <w:sz w:val="24"/>
          <w:szCs w:val="24"/>
        </w:rPr>
        <w:t>-2)</w:t>
      </w:r>
      <w:r w:rsidR="006C2129">
        <w:rPr>
          <w:rFonts w:ascii="Times New Roman" w:hAnsi="Times New Roman"/>
          <w:sz w:val="24"/>
          <w:szCs w:val="24"/>
        </w:rPr>
        <w:t>.</w:t>
      </w:r>
      <w:r w:rsidR="00BA3C60">
        <w:rPr>
          <w:rFonts w:ascii="Times New Roman" w:hAnsi="Times New Roman"/>
          <w:sz w:val="24"/>
          <w:szCs w:val="24"/>
        </w:rPr>
        <w:t xml:space="preserve"> </w:t>
      </w:r>
      <w:r w:rsidR="006C2129">
        <w:rPr>
          <w:rFonts w:ascii="Times New Roman" w:hAnsi="Times New Roman"/>
          <w:sz w:val="24"/>
          <w:szCs w:val="24"/>
        </w:rPr>
        <w:t xml:space="preserve">This </w:t>
      </w:r>
      <w:r w:rsidR="00BA3C60">
        <w:rPr>
          <w:rFonts w:ascii="Times New Roman" w:hAnsi="Times New Roman"/>
          <w:sz w:val="24"/>
          <w:szCs w:val="24"/>
        </w:rPr>
        <w:t xml:space="preserve">could suggest lower stock volatility before using this outlet. Overall, this shows that disclosure outlets have </w:t>
      </w:r>
      <w:r w:rsidR="00A832E1">
        <w:rPr>
          <w:rFonts w:ascii="Times New Roman" w:hAnsi="Times New Roman"/>
          <w:sz w:val="24"/>
          <w:szCs w:val="24"/>
        </w:rPr>
        <w:t xml:space="preserve">different </w:t>
      </w:r>
      <w:r w:rsidR="00BA3C60">
        <w:rPr>
          <w:rFonts w:ascii="Times New Roman" w:hAnsi="Times New Roman"/>
          <w:sz w:val="24"/>
          <w:szCs w:val="24"/>
        </w:rPr>
        <w:t>information content. In addition, a lower absolute abnormal return is consistent with the (comparative) incentive for firms to use Open Briefings to minimize risk</w:t>
      </w:r>
      <w:r w:rsidR="006C2129">
        <w:rPr>
          <w:rFonts w:ascii="Times New Roman" w:hAnsi="Times New Roman"/>
          <w:sz w:val="24"/>
          <w:szCs w:val="24"/>
        </w:rPr>
        <w:t xml:space="preserve"> </w:t>
      </w:r>
      <w:r w:rsidR="00BA3C60">
        <w:rPr>
          <w:rFonts w:ascii="Times New Roman" w:hAnsi="Times New Roman"/>
          <w:sz w:val="24"/>
          <w:szCs w:val="24"/>
        </w:rPr>
        <w:t>(H1c). Disclosure outlet choice motivated by minimising risk would likely have less information content than disclosures motivated by talent signalling or lowering the information acquisition costs of users.</w:t>
      </w:r>
    </w:p>
    <w:p w14:paraId="68580054" w14:textId="09AD3411" w:rsidR="00BA3C60" w:rsidRDefault="00BA3C60" w:rsidP="002E2CD6">
      <w:pPr>
        <w:spacing w:after="0" w:line="480" w:lineRule="auto"/>
        <w:ind w:firstLine="720"/>
        <w:jc w:val="both"/>
        <w:rPr>
          <w:rFonts w:ascii="Times New Roman" w:hAnsi="Times New Roman"/>
          <w:sz w:val="24"/>
          <w:szCs w:val="24"/>
        </w:rPr>
      </w:pPr>
      <w:r>
        <w:rPr>
          <w:rFonts w:ascii="Times New Roman" w:hAnsi="Times New Roman"/>
          <w:sz w:val="24"/>
          <w:szCs w:val="24"/>
        </w:rPr>
        <w:t>Panels D-F test differences in signed abnormal return and show that purchased analyst research has a significantly higher abnormal return over the 3 day window of 2.39%. This suggests that the market does not consider all disclosure outlets equal and purchased analyst research is more informative, or contains more unexpected good news, over a 3 day window than investor presentations or Open Briefings.</w:t>
      </w:r>
      <w:r w:rsidRPr="002E2CD6">
        <w:rPr>
          <w:rFonts w:ascii="Times New Roman" w:hAnsi="Times New Roman"/>
          <w:sz w:val="24"/>
          <w:szCs w:val="24"/>
        </w:rPr>
        <w:t xml:space="preserve"> </w:t>
      </w:r>
      <w:r>
        <w:rPr>
          <w:rFonts w:ascii="Times New Roman" w:hAnsi="Times New Roman"/>
          <w:sz w:val="24"/>
          <w:szCs w:val="24"/>
        </w:rPr>
        <w:t xml:space="preserve">A more positive abnormal return around purchased analyst research is also consistent with H1a, as firms motivated to decrease the information acquisition costs of users are likely to disclose more information content for users (or more unexpected good news), resulting in a stronger positive reaction. However, Table 2 shows that the mean market capitalization when firms purchase analyst research, hold investor presentations and Open Briefings is significantly different. Therefore, the economic effect for holding an Open Briefing/investor presentation may be higher than purchased analyst research despite having a smaller reaction in percentage terms. Based on mean </w:t>
      </w:r>
      <w:r>
        <w:rPr>
          <w:rFonts w:ascii="Times New Roman" w:hAnsi="Times New Roman"/>
          <w:sz w:val="24"/>
          <w:szCs w:val="24"/>
        </w:rPr>
        <w:lastRenderedPageBreak/>
        <w:t xml:space="preserve">abnormal returns on day </w:t>
      </w:r>
      <w:r>
        <w:rPr>
          <w:rFonts w:ascii="Times New Roman" w:hAnsi="Times New Roman"/>
          <w:i/>
          <w:sz w:val="24"/>
          <w:szCs w:val="24"/>
        </w:rPr>
        <w:t xml:space="preserve">t </w:t>
      </w:r>
      <w:r>
        <w:rPr>
          <w:rFonts w:ascii="Times New Roman" w:hAnsi="Times New Roman"/>
          <w:sz w:val="24"/>
          <w:szCs w:val="24"/>
        </w:rPr>
        <w:t xml:space="preserve">of </w:t>
      </w:r>
      <w:r w:rsidRPr="00A079AF">
        <w:rPr>
          <w:rFonts w:ascii="Times New Roman" w:hAnsi="Times New Roman"/>
          <w:sz w:val="24"/>
          <w:szCs w:val="24"/>
        </w:rPr>
        <w:t>2.15%</w:t>
      </w:r>
      <w:r>
        <w:rPr>
          <w:rFonts w:ascii="Times New Roman" w:hAnsi="Times New Roman"/>
          <w:sz w:val="24"/>
          <w:szCs w:val="24"/>
        </w:rPr>
        <w:t xml:space="preserve">, </w:t>
      </w:r>
      <w:r w:rsidRPr="00A079AF">
        <w:rPr>
          <w:rFonts w:ascii="Times New Roman" w:hAnsi="Times New Roman"/>
          <w:sz w:val="24"/>
          <w:szCs w:val="24"/>
        </w:rPr>
        <w:t>1.17%</w:t>
      </w:r>
      <w:r>
        <w:rPr>
          <w:rFonts w:ascii="Times New Roman" w:hAnsi="Times New Roman"/>
          <w:sz w:val="24"/>
          <w:szCs w:val="24"/>
        </w:rPr>
        <w:t xml:space="preserve"> and </w:t>
      </w:r>
      <w:r w:rsidRPr="00A079AF">
        <w:rPr>
          <w:rFonts w:ascii="Times New Roman" w:hAnsi="Times New Roman"/>
          <w:sz w:val="24"/>
          <w:szCs w:val="24"/>
        </w:rPr>
        <w:t>0.74%</w:t>
      </w:r>
      <w:r>
        <w:rPr>
          <w:rFonts w:ascii="Times New Roman" w:hAnsi="Times New Roman"/>
          <w:sz w:val="24"/>
          <w:szCs w:val="24"/>
        </w:rPr>
        <w:t xml:space="preserve"> and market capitalizations of $</w:t>
      </w:r>
      <w:r w:rsidRPr="009929D1">
        <w:rPr>
          <w:rFonts w:ascii="Times New Roman" w:hAnsi="Times New Roman"/>
          <w:sz w:val="24"/>
          <w:szCs w:val="24"/>
        </w:rPr>
        <w:t>228.9</w:t>
      </w:r>
      <w:r>
        <w:rPr>
          <w:rFonts w:ascii="Times New Roman" w:hAnsi="Times New Roman"/>
          <w:sz w:val="24"/>
          <w:szCs w:val="24"/>
        </w:rPr>
        <w:t>m, $</w:t>
      </w:r>
      <w:r w:rsidRPr="009929D1">
        <w:rPr>
          <w:rFonts w:ascii="Times New Roman" w:hAnsi="Times New Roman"/>
          <w:sz w:val="24"/>
          <w:szCs w:val="24"/>
        </w:rPr>
        <w:t>299.9</w:t>
      </w:r>
      <w:r>
        <w:rPr>
          <w:rFonts w:ascii="Times New Roman" w:hAnsi="Times New Roman"/>
          <w:sz w:val="24"/>
          <w:szCs w:val="24"/>
        </w:rPr>
        <w:t>m and $</w:t>
      </w:r>
      <w:r w:rsidRPr="009929D1">
        <w:rPr>
          <w:rFonts w:ascii="Times New Roman" w:hAnsi="Times New Roman"/>
          <w:sz w:val="24"/>
          <w:szCs w:val="24"/>
        </w:rPr>
        <w:t>307.1</w:t>
      </w:r>
      <w:r>
        <w:rPr>
          <w:rFonts w:ascii="Times New Roman" w:hAnsi="Times New Roman"/>
          <w:sz w:val="24"/>
          <w:szCs w:val="24"/>
        </w:rPr>
        <w:t>m, there are economic effects of $4.9m, $3.5m and $2.3 for purchased analyst research, investor presentations and Open Briefings, respectively.</w:t>
      </w:r>
      <w:r>
        <w:rPr>
          <w:rStyle w:val="FootnoteReference"/>
          <w:rFonts w:ascii="Times New Roman" w:hAnsi="Times New Roman"/>
          <w:sz w:val="24"/>
          <w:szCs w:val="24"/>
        </w:rPr>
        <w:footnoteReference w:id="15"/>
      </w:r>
      <w:r>
        <w:rPr>
          <w:rFonts w:ascii="Times New Roman" w:hAnsi="Times New Roman"/>
          <w:sz w:val="24"/>
          <w:szCs w:val="24"/>
        </w:rPr>
        <w:t xml:space="preserve"> Thus, purchased analyst research reports have a larger economic effect despite being used when the firms are smaller. Purchased analyst research may be followed by a more positive market reaction because it is a disclosure outlet that contains an expert opinion, </w:t>
      </w:r>
      <w:r>
        <w:rPr>
          <w:rFonts w:ascii="Times New Roman" w:hAnsi="Times New Roman" w:cs="Times New Roman"/>
          <w:sz w:val="24"/>
          <w:szCs w:val="24"/>
          <w:lang w:val="en-NZ"/>
        </w:rPr>
        <w:t>similar</w:t>
      </w:r>
      <w:r w:rsidRPr="002E62A0">
        <w:rPr>
          <w:rFonts w:ascii="Times New Roman" w:hAnsi="Times New Roman" w:cs="Times New Roman"/>
          <w:sz w:val="24"/>
          <w:szCs w:val="24"/>
        </w:rPr>
        <w:t xml:space="preserve"> to the ‘</w:t>
      </w:r>
      <w:r>
        <w:rPr>
          <w:rFonts w:ascii="Times New Roman" w:hAnsi="Times New Roman" w:cs="Times New Roman"/>
          <w:sz w:val="24"/>
          <w:szCs w:val="24"/>
        </w:rPr>
        <w:t>expert’ advice contained in</w:t>
      </w:r>
      <w:r w:rsidRPr="002E62A0">
        <w:rPr>
          <w:rFonts w:ascii="Times New Roman" w:hAnsi="Times New Roman" w:cs="Times New Roman"/>
          <w:sz w:val="24"/>
          <w:szCs w:val="24"/>
        </w:rPr>
        <w:t xml:space="preserve"> investor advice columns (Foster, 1979</w:t>
      </w:r>
      <w:r w:rsidR="00FC0592">
        <w:rPr>
          <w:rFonts w:ascii="Times New Roman" w:hAnsi="Times New Roman" w:cs="Times New Roman"/>
          <w:sz w:val="24"/>
          <w:szCs w:val="24"/>
        </w:rPr>
        <w:t xml:space="preserve">; </w:t>
      </w:r>
      <w:r w:rsidRPr="002E62A0">
        <w:rPr>
          <w:rFonts w:ascii="Times New Roman" w:hAnsi="Times New Roman" w:cs="Times New Roman"/>
          <w:sz w:val="24"/>
          <w:szCs w:val="24"/>
        </w:rPr>
        <w:t xml:space="preserve">Brown </w:t>
      </w:r>
      <w:r w:rsidRPr="005140D7">
        <w:rPr>
          <w:rFonts w:ascii="Times New Roman" w:hAnsi="Times New Roman" w:cs="Times New Roman"/>
          <w:i/>
          <w:sz w:val="24"/>
          <w:szCs w:val="24"/>
        </w:rPr>
        <w:t>et al</w:t>
      </w:r>
      <w:r w:rsidRPr="00BA3C60">
        <w:rPr>
          <w:rFonts w:ascii="Times New Roman" w:hAnsi="Times New Roman" w:cs="Times New Roman"/>
          <w:sz w:val="24"/>
          <w:szCs w:val="24"/>
        </w:rPr>
        <w:t>.,</w:t>
      </w:r>
      <w:r w:rsidRPr="002E62A0">
        <w:rPr>
          <w:rFonts w:ascii="Times New Roman" w:hAnsi="Times New Roman" w:cs="Times New Roman"/>
          <w:sz w:val="24"/>
          <w:szCs w:val="24"/>
        </w:rPr>
        <w:t xml:space="preserve"> 2009)</w:t>
      </w:r>
      <w:r>
        <w:rPr>
          <w:rFonts w:ascii="Times New Roman" w:hAnsi="Times New Roman" w:cs="Times New Roman"/>
          <w:sz w:val="24"/>
          <w:szCs w:val="24"/>
        </w:rPr>
        <w:t>.</w:t>
      </w:r>
    </w:p>
    <w:p w14:paraId="12C4EFC6" w14:textId="7B52134D" w:rsidR="00B631B3" w:rsidRDefault="00B631B3" w:rsidP="009C0182">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untabulated</w:t>
      </w:r>
      <w:proofErr w:type="spellEnd"/>
      <w:r>
        <w:rPr>
          <w:rFonts w:ascii="Times New Roman" w:hAnsi="Times New Roman"/>
          <w:sz w:val="24"/>
          <w:szCs w:val="24"/>
        </w:rPr>
        <w:t xml:space="preserve"> tests we also conduct regressions </w:t>
      </w:r>
      <w:r w:rsidR="00BA3C60">
        <w:rPr>
          <w:rFonts w:ascii="Times New Roman" w:hAnsi="Times New Roman"/>
          <w:sz w:val="24"/>
          <w:szCs w:val="24"/>
        </w:rPr>
        <w:t xml:space="preserve">on abnormal market returns with a dummy variable equal to one for each disclosure outlet. </w:t>
      </w:r>
      <w:r>
        <w:rPr>
          <w:rFonts w:ascii="Times New Roman" w:hAnsi="Times New Roman"/>
          <w:sz w:val="24"/>
          <w:szCs w:val="24"/>
        </w:rPr>
        <w:t>We find consistent results of Open Briefings hav</w:t>
      </w:r>
      <w:r w:rsidR="00FC0592">
        <w:rPr>
          <w:rFonts w:ascii="Times New Roman" w:hAnsi="Times New Roman"/>
          <w:sz w:val="24"/>
          <w:szCs w:val="24"/>
        </w:rPr>
        <w:t>ing</w:t>
      </w:r>
      <w:r>
        <w:rPr>
          <w:rFonts w:ascii="Times New Roman" w:hAnsi="Times New Roman"/>
          <w:sz w:val="24"/>
          <w:szCs w:val="24"/>
        </w:rPr>
        <w:t xml:space="preserve"> a lower absolute abnormal return and investor presentations having a higher signed abnormal return, even </w:t>
      </w:r>
      <w:r w:rsidRPr="00A47024">
        <w:rPr>
          <w:rFonts w:ascii="Times New Roman" w:hAnsi="Times New Roman"/>
          <w:sz w:val="24"/>
          <w:szCs w:val="24"/>
        </w:rPr>
        <w:t xml:space="preserve">after controlling for firm </w:t>
      </w:r>
      <w:r w:rsidR="009C0182" w:rsidRPr="00A47024">
        <w:rPr>
          <w:rFonts w:ascii="Times New Roman" w:hAnsi="Times New Roman"/>
          <w:sz w:val="24"/>
          <w:szCs w:val="24"/>
        </w:rPr>
        <w:t>characteristics</w:t>
      </w:r>
      <w:r w:rsidRPr="00A47024">
        <w:rPr>
          <w:rFonts w:ascii="Times New Roman" w:hAnsi="Times New Roman"/>
          <w:sz w:val="24"/>
          <w:szCs w:val="24"/>
        </w:rPr>
        <w:t xml:space="preserve"> (</w:t>
      </w:r>
      <w:proofErr w:type="spellStart"/>
      <w:r w:rsidR="009C0182" w:rsidRPr="00A47024">
        <w:rPr>
          <w:rFonts w:ascii="Times New Roman" w:hAnsi="Times New Roman"/>
          <w:i/>
          <w:sz w:val="24"/>
          <w:szCs w:val="24"/>
        </w:rPr>
        <w:t>LnAge</w:t>
      </w:r>
      <w:proofErr w:type="spellEnd"/>
      <w:r w:rsidR="009C0182" w:rsidRPr="00A47024">
        <w:rPr>
          <w:rFonts w:ascii="Times New Roman" w:hAnsi="Times New Roman"/>
          <w:sz w:val="24"/>
          <w:szCs w:val="24"/>
        </w:rPr>
        <w:t xml:space="preserve">, </w:t>
      </w:r>
      <w:r w:rsidR="009C0182" w:rsidRPr="00A47024">
        <w:rPr>
          <w:rFonts w:ascii="Times New Roman" w:hAnsi="Times New Roman"/>
          <w:i/>
          <w:sz w:val="24"/>
          <w:szCs w:val="24"/>
        </w:rPr>
        <w:t>Top20</w:t>
      </w:r>
      <w:r w:rsidR="009C0182" w:rsidRPr="00A47024">
        <w:rPr>
          <w:rFonts w:ascii="Times New Roman" w:hAnsi="Times New Roman"/>
          <w:sz w:val="24"/>
          <w:szCs w:val="24"/>
        </w:rPr>
        <w:t xml:space="preserve">, </w:t>
      </w:r>
      <w:proofErr w:type="spellStart"/>
      <w:r w:rsidR="009C0182" w:rsidRPr="00A47024">
        <w:rPr>
          <w:rFonts w:ascii="Times New Roman" w:hAnsi="Times New Roman"/>
          <w:i/>
          <w:sz w:val="24"/>
          <w:szCs w:val="24"/>
        </w:rPr>
        <w:t>LnMCap</w:t>
      </w:r>
      <w:proofErr w:type="spellEnd"/>
      <w:r w:rsidR="009C0182" w:rsidRPr="00A47024">
        <w:rPr>
          <w:rFonts w:ascii="Times New Roman" w:hAnsi="Times New Roman"/>
          <w:sz w:val="24"/>
          <w:szCs w:val="24"/>
        </w:rPr>
        <w:t xml:space="preserve">, </w:t>
      </w:r>
      <w:proofErr w:type="spellStart"/>
      <w:r w:rsidR="009C0182" w:rsidRPr="00A47024">
        <w:rPr>
          <w:rFonts w:ascii="Times New Roman" w:hAnsi="Times New Roman"/>
          <w:i/>
          <w:sz w:val="24"/>
          <w:szCs w:val="24"/>
        </w:rPr>
        <w:t>AnlCov</w:t>
      </w:r>
      <w:proofErr w:type="spellEnd"/>
      <w:r w:rsidR="009C0182" w:rsidRPr="00A47024">
        <w:rPr>
          <w:rFonts w:ascii="Times New Roman" w:hAnsi="Times New Roman"/>
          <w:sz w:val="24"/>
          <w:szCs w:val="24"/>
        </w:rPr>
        <w:t xml:space="preserve">, </w:t>
      </w:r>
      <w:proofErr w:type="spellStart"/>
      <w:r w:rsidR="009C0182" w:rsidRPr="00A47024">
        <w:rPr>
          <w:rFonts w:ascii="Times New Roman" w:hAnsi="Times New Roman"/>
          <w:i/>
          <w:sz w:val="24"/>
          <w:szCs w:val="24"/>
        </w:rPr>
        <w:t>CFO_Dum</w:t>
      </w:r>
      <w:proofErr w:type="spellEnd"/>
      <w:r w:rsidR="009C0182" w:rsidRPr="00A47024">
        <w:rPr>
          <w:rFonts w:ascii="Times New Roman" w:hAnsi="Times New Roman"/>
          <w:sz w:val="24"/>
          <w:szCs w:val="24"/>
        </w:rPr>
        <w:t xml:space="preserve"> and </w:t>
      </w:r>
      <w:r w:rsidR="00EE78BA">
        <w:rPr>
          <w:rFonts w:ascii="Times New Roman" w:hAnsi="Times New Roman"/>
          <w:i/>
          <w:sz w:val="24"/>
          <w:szCs w:val="24"/>
        </w:rPr>
        <w:t>TLTA</w:t>
      </w:r>
      <w:r w:rsidR="009C0182" w:rsidRPr="00A47024">
        <w:rPr>
          <w:rFonts w:ascii="Times New Roman" w:hAnsi="Times New Roman"/>
          <w:sz w:val="24"/>
          <w:szCs w:val="24"/>
        </w:rPr>
        <w:t>), whether it is the first time the firm used that disclosure outlet, if another price-sensitive announcement was made by the firm and year fixed-effects.</w:t>
      </w:r>
      <w:r w:rsidR="000D2B38" w:rsidRPr="00A47024">
        <w:rPr>
          <w:rFonts w:ascii="Times New Roman" w:hAnsi="Times New Roman"/>
          <w:sz w:val="24"/>
          <w:szCs w:val="24"/>
        </w:rPr>
        <w:t xml:space="preserve"> </w:t>
      </w:r>
      <w:r w:rsidR="00623242" w:rsidRPr="00A47024">
        <w:rPr>
          <w:rFonts w:ascii="Times New Roman" w:hAnsi="Times New Roman"/>
          <w:sz w:val="24"/>
          <w:szCs w:val="24"/>
        </w:rPr>
        <w:t>Results are robust to removing observations</w:t>
      </w:r>
      <w:r w:rsidR="00623242" w:rsidRPr="006F3FE8">
        <w:rPr>
          <w:rFonts w:ascii="Times New Roman" w:hAnsi="Times New Roman"/>
          <w:sz w:val="24"/>
          <w:szCs w:val="24"/>
        </w:rPr>
        <w:t xml:space="preserve"> where there was another market announcement on the same or previous day</w:t>
      </w:r>
      <w:r w:rsidR="00623242">
        <w:rPr>
          <w:rFonts w:ascii="Times New Roman" w:hAnsi="Times New Roman"/>
          <w:sz w:val="24"/>
          <w:szCs w:val="24"/>
        </w:rPr>
        <w:t>.</w:t>
      </w:r>
    </w:p>
    <w:p w14:paraId="1CA993C4" w14:textId="77777777" w:rsidR="00F00AAE" w:rsidRPr="009C0182" w:rsidRDefault="00F00AAE" w:rsidP="009C0182">
      <w:pPr>
        <w:spacing w:after="0" w:line="480" w:lineRule="auto"/>
        <w:ind w:firstLine="720"/>
        <w:jc w:val="both"/>
        <w:rPr>
          <w:rFonts w:ascii="Times New Roman" w:hAnsi="Times New Roman"/>
          <w:sz w:val="24"/>
          <w:szCs w:val="24"/>
        </w:rPr>
      </w:pPr>
    </w:p>
    <w:p w14:paraId="51852623" w14:textId="554BFA4B" w:rsidR="00BA3C60" w:rsidRPr="00561DAB" w:rsidRDefault="00BA3C60" w:rsidP="00AB34C7">
      <w:pPr>
        <w:spacing w:after="0" w:line="480" w:lineRule="auto"/>
        <w:jc w:val="both"/>
        <w:rPr>
          <w:rFonts w:ascii="Times New Roman" w:hAnsi="Times New Roman"/>
          <w:i/>
          <w:sz w:val="24"/>
          <w:szCs w:val="24"/>
        </w:rPr>
      </w:pPr>
      <w:r>
        <w:rPr>
          <w:rFonts w:ascii="Times New Roman" w:hAnsi="Times New Roman"/>
          <w:i/>
          <w:sz w:val="24"/>
          <w:szCs w:val="24"/>
        </w:rPr>
        <w:t>4.</w:t>
      </w:r>
      <w:r w:rsidR="009C0182">
        <w:rPr>
          <w:rFonts w:ascii="Times New Roman" w:hAnsi="Times New Roman"/>
          <w:i/>
          <w:sz w:val="24"/>
          <w:szCs w:val="24"/>
        </w:rPr>
        <w:t>4</w:t>
      </w:r>
      <w:r w:rsidR="009C0182" w:rsidRPr="00561DAB">
        <w:rPr>
          <w:rFonts w:ascii="Times New Roman" w:hAnsi="Times New Roman"/>
          <w:i/>
          <w:sz w:val="24"/>
          <w:szCs w:val="24"/>
        </w:rPr>
        <w:t xml:space="preserve"> </w:t>
      </w:r>
      <w:r w:rsidRPr="00561DAB">
        <w:rPr>
          <w:rFonts w:ascii="Times New Roman" w:hAnsi="Times New Roman"/>
          <w:i/>
          <w:sz w:val="24"/>
          <w:szCs w:val="24"/>
        </w:rPr>
        <w:t>Robustness testing</w:t>
      </w:r>
    </w:p>
    <w:p w14:paraId="49D1BFF0" w14:textId="3A076B4E" w:rsidR="00D4489B" w:rsidRDefault="00D80433" w:rsidP="00D4489B">
      <w:pPr>
        <w:spacing w:after="0" w:line="480" w:lineRule="auto"/>
        <w:jc w:val="both"/>
        <w:rPr>
          <w:rFonts w:ascii="Times New Roman" w:hAnsi="Times New Roman"/>
          <w:sz w:val="24"/>
          <w:szCs w:val="24"/>
        </w:rPr>
      </w:pPr>
      <w:r w:rsidRPr="006F3FE8">
        <w:rPr>
          <w:rFonts w:ascii="Times New Roman" w:hAnsi="Times New Roman"/>
          <w:sz w:val="24"/>
          <w:szCs w:val="24"/>
        </w:rPr>
        <w:tab/>
      </w:r>
      <w:r w:rsidR="00C61A53">
        <w:rPr>
          <w:rFonts w:ascii="Times New Roman" w:hAnsi="Times New Roman"/>
          <w:sz w:val="24"/>
          <w:szCs w:val="24"/>
        </w:rPr>
        <w:t>To ensure the robustness of our results we rerun</w:t>
      </w:r>
      <w:r w:rsidR="00AF36C8">
        <w:rPr>
          <w:rFonts w:ascii="Times New Roman" w:hAnsi="Times New Roman"/>
          <w:sz w:val="24"/>
          <w:szCs w:val="24"/>
        </w:rPr>
        <w:t xml:space="preserve"> tests</w:t>
      </w:r>
      <w:r w:rsidR="00C61A53">
        <w:rPr>
          <w:rFonts w:ascii="Times New Roman" w:hAnsi="Times New Roman"/>
          <w:sz w:val="24"/>
          <w:szCs w:val="24"/>
        </w:rPr>
        <w:t xml:space="preserve"> with </w:t>
      </w:r>
      <w:r w:rsidR="0091169B">
        <w:rPr>
          <w:rFonts w:ascii="Times New Roman" w:hAnsi="Times New Roman"/>
          <w:sz w:val="24"/>
          <w:szCs w:val="24"/>
        </w:rPr>
        <w:t>alterative</w:t>
      </w:r>
      <w:r w:rsidR="00C61A53">
        <w:rPr>
          <w:rFonts w:ascii="Times New Roman" w:hAnsi="Times New Roman"/>
          <w:sz w:val="24"/>
          <w:szCs w:val="24"/>
        </w:rPr>
        <w:t xml:space="preserve"> variables (</w:t>
      </w:r>
      <w:r w:rsidR="0091169B">
        <w:rPr>
          <w:rFonts w:ascii="Times New Roman" w:hAnsi="Times New Roman"/>
          <w:sz w:val="24"/>
          <w:szCs w:val="24"/>
        </w:rPr>
        <w:t xml:space="preserve">natural logarithm of total assets, </w:t>
      </w:r>
      <w:r w:rsidR="00C61A53">
        <w:rPr>
          <w:rFonts w:ascii="Times New Roman" w:hAnsi="Times New Roman"/>
          <w:sz w:val="24"/>
          <w:szCs w:val="24"/>
        </w:rPr>
        <w:t xml:space="preserve">return on assets, </w:t>
      </w:r>
      <w:r w:rsidR="00C61A53" w:rsidRPr="0091169B">
        <w:rPr>
          <w:rFonts w:ascii="Times New Roman" w:hAnsi="Times New Roman"/>
          <w:sz w:val="24"/>
          <w:szCs w:val="24"/>
        </w:rPr>
        <w:t xml:space="preserve">whether the firm made a loss, debt-to-equity ratio, </w:t>
      </w:r>
      <w:r w:rsidR="0091169B">
        <w:rPr>
          <w:rFonts w:ascii="Times New Roman" w:hAnsi="Times New Roman"/>
          <w:sz w:val="24"/>
          <w:szCs w:val="24"/>
        </w:rPr>
        <w:t>current ratio and proportion of assets that are cash</w:t>
      </w:r>
      <w:r w:rsidR="0091169B" w:rsidRPr="0091169B">
        <w:rPr>
          <w:rFonts w:ascii="Times New Roman" w:hAnsi="Times New Roman"/>
          <w:sz w:val="24"/>
          <w:szCs w:val="24"/>
        </w:rPr>
        <w:t xml:space="preserve">) and find broadly consistent results. </w:t>
      </w:r>
      <w:r w:rsidR="0091169B">
        <w:rPr>
          <w:rFonts w:ascii="Times New Roman" w:hAnsi="Times New Roman"/>
          <w:sz w:val="24"/>
          <w:szCs w:val="24"/>
        </w:rPr>
        <w:t>We</w:t>
      </w:r>
      <w:r w:rsidR="0091169B" w:rsidRPr="0091169B">
        <w:rPr>
          <w:rFonts w:ascii="Times New Roman" w:hAnsi="Times New Roman"/>
          <w:sz w:val="24"/>
          <w:szCs w:val="24"/>
        </w:rPr>
        <w:t xml:space="preserve"> also compare differences in the abnormal turnover around each disclosure outlet (calculated relative to average turnover over the </w:t>
      </w:r>
      <w:r w:rsidR="0091169B" w:rsidRPr="0091169B">
        <w:rPr>
          <w:rFonts w:ascii="Times New Roman" w:hAnsi="Times New Roman"/>
          <w:i/>
          <w:sz w:val="24"/>
          <w:szCs w:val="24"/>
        </w:rPr>
        <w:t>t</w:t>
      </w:r>
      <w:r w:rsidR="0091169B" w:rsidRPr="0091169B">
        <w:rPr>
          <w:rFonts w:ascii="Times New Roman" w:hAnsi="Times New Roman"/>
          <w:sz w:val="24"/>
          <w:szCs w:val="24"/>
        </w:rPr>
        <w:t xml:space="preserve">-100 to </w:t>
      </w:r>
      <w:r w:rsidR="0091169B" w:rsidRPr="0091169B">
        <w:rPr>
          <w:rFonts w:ascii="Times New Roman" w:hAnsi="Times New Roman"/>
          <w:i/>
          <w:sz w:val="24"/>
          <w:szCs w:val="24"/>
        </w:rPr>
        <w:t>t</w:t>
      </w:r>
      <w:r w:rsidR="0091169B" w:rsidRPr="0091169B">
        <w:rPr>
          <w:rFonts w:ascii="Times New Roman" w:hAnsi="Times New Roman"/>
          <w:sz w:val="24"/>
          <w:szCs w:val="24"/>
        </w:rPr>
        <w:t xml:space="preserve">-15 period). We find that each disclosure outlet has abnormal turnover on day </w:t>
      </w:r>
      <w:r w:rsidR="0091169B" w:rsidRPr="0091169B">
        <w:rPr>
          <w:rFonts w:ascii="Times New Roman" w:hAnsi="Times New Roman"/>
          <w:i/>
          <w:sz w:val="24"/>
          <w:szCs w:val="24"/>
        </w:rPr>
        <w:t>t</w:t>
      </w:r>
      <w:r w:rsidR="00AF36C8">
        <w:rPr>
          <w:rFonts w:ascii="Times New Roman" w:hAnsi="Times New Roman"/>
          <w:i/>
          <w:sz w:val="24"/>
          <w:szCs w:val="24"/>
        </w:rPr>
        <w:t xml:space="preserve">, </w:t>
      </w:r>
      <w:r w:rsidR="00AF36C8">
        <w:rPr>
          <w:rFonts w:ascii="Times New Roman" w:hAnsi="Times New Roman"/>
          <w:sz w:val="24"/>
          <w:szCs w:val="24"/>
        </w:rPr>
        <w:t xml:space="preserve">although </w:t>
      </w:r>
      <w:r w:rsidR="0091169B" w:rsidRPr="0091169B">
        <w:rPr>
          <w:rFonts w:ascii="Times New Roman" w:hAnsi="Times New Roman"/>
          <w:sz w:val="24"/>
          <w:szCs w:val="24"/>
        </w:rPr>
        <w:t xml:space="preserve">the only significant difference is a lower abnormal turnover on day </w:t>
      </w:r>
      <w:r w:rsidR="0091169B" w:rsidRPr="0091169B">
        <w:rPr>
          <w:rFonts w:ascii="Times New Roman" w:hAnsi="Times New Roman"/>
          <w:i/>
          <w:sz w:val="24"/>
          <w:szCs w:val="24"/>
        </w:rPr>
        <w:t>t</w:t>
      </w:r>
      <w:r w:rsidR="0091169B" w:rsidRPr="0091169B">
        <w:rPr>
          <w:rFonts w:ascii="Times New Roman" w:hAnsi="Times New Roman"/>
          <w:sz w:val="24"/>
          <w:szCs w:val="24"/>
        </w:rPr>
        <w:t xml:space="preserve">-1 for Open Briefings. This is consistent with Open Briefings having a lower </w:t>
      </w:r>
      <w:r w:rsidR="0091169B" w:rsidRPr="0091169B">
        <w:rPr>
          <w:rFonts w:ascii="Times New Roman" w:hAnsi="Times New Roman"/>
          <w:sz w:val="24"/>
          <w:szCs w:val="24"/>
        </w:rPr>
        <w:lastRenderedPageBreak/>
        <w:t xml:space="preserve">absolute abnormal return on day </w:t>
      </w:r>
      <w:r w:rsidR="0091169B" w:rsidRPr="0091169B">
        <w:rPr>
          <w:rFonts w:ascii="Times New Roman" w:hAnsi="Times New Roman"/>
          <w:i/>
          <w:sz w:val="24"/>
          <w:szCs w:val="24"/>
        </w:rPr>
        <w:t>t</w:t>
      </w:r>
      <w:r w:rsidR="0091169B" w:rsidRPr="0091169B">
        <w:rPr>
          <w:rFonts w:ascii="Times New Roman" w:hAnsi="Times New Roman"/>
          <w:sz w:val="24"/>
          <w:szCs w:val="24"/>
        </w:rPr>
        <w:t>-1, and provides further, albeit weaker, evidence that Open Briefings have lower information content.</w:t>
      </w:r>
      <w:r w:rsidR="0091169B">
        <w:rPr>
          <w:rFonts w:ascii="Times New Roman" w:hAnsi="Times New Roman"/>
          <w:sz w:val="24"/>
          <w:szCs w:val="24"/>
        </w:rPr>
        <w:t xml:space="preserve"> </w:t>
      </w:r>
      <w:r w:rsidR="00C4343A" w:rsidRPr="006F3FE8">
        <w:rPr>
          <w:rFonts w:ascii="Times New Roman" w:hAnsi="Times New Roman"/>
          <w:sz w:val="24"/>
          <w:szCs w:val="24"/>
        </w:rPr>
        <w:t>D</w:t>
      </w:r>
      <w:r w:rsidRPr="006F3FE8">
        <w:rPr>
          <w:rFonts w:ascii="Times New Roman" w:hAnsi="Times New Roman"/>
          <w:sz w:val="24"/>
          <w:szCs w:val="24"/>
        </w:rPr>
        <w:t>ifferent regression</w:t>
      </w:r>
      <w:r w:rsidR="00C72A7E" w:rsidRPr="006F3FE8">
        <w:rPr>
          <w:rFonts w:ascii="Times New Roman" w:hAnsi="Times New Roman"/>
          <w:sz w:val="24"/>
          <w:szCs w:val="24"/>
        </w:rPr>
        <w:t xml:space="preserve"> specifications</w:t>
      </w:r>
      <w:r w:rsidR="00B245B6" w:rsidRPr="006F3FE8">
        <w:rPr>
          <w:rFonts w:ascii="Times New Roman" w:hAnsi="Times New Roman"/>
          <w:sz w:val="24"/>
          <w:szCs w:val="24"/>
        </w:rPr>
        <w:t xml:space="preserve"> </w:t>
      </w:r>
      <w:r w:rsidR="006F3FE8" w:rsidRPr="006F3FE8">
        <w:rPr>
          <w:rFonts w:ascii="Times New Roman" w:hAnsi="Times New Roman"/>
          <w:sz w:val="24"/>
          <w:szCs w:val="24"/>
        </w:rPr>
        <w:t>(e.g.</w:t>
      </w:r>
      <w:r w:rsidR="00060B4B">
        <w:rPr>
          <w:rFonts w:ascii="Times New Roman" w:hAnsi="Times New Roman"/>
          <w:sz w:val="24"/>
          <w:szCs w:val="24"/>
        </w:rPr>
        <w:t>,</w:t>
      </w:r>
      <w:r w:rsidR="006F3FE8" w:rsidRPr="006F3FE8">
        <w:rPr>
          <w:rFonts w:ascii="Times New Roman" w:hAnsi="Times New Roman"/>
          <w:sz w:val="24"/>
          <w:szCs w:val="24"/>
        </w:rPr>
        <w:t xml:space="preserve"> </w:t>
      </w:r>
      <w:r w:rsidR="00B245B6" w:rsidRPr="006F3FE8">
        <w:rPr>
          <w:rFonts w:ascii="Times New Roman" w:hAnsi="Times New Roman"/>
          <w:sz w:val="24"/>
          <w:szCs w:val="24"/>
        </w:rPr>
        <w:t xml:space="preserve">clustering </w:t>
      </w:r>
      <w:r w:rsidR="00C4343A" w:rsidRPr="006F3FE8">
        <w:rPr>
          <w:rFonts w:ascii="Times New Roman" w:hAnsi="Times New Roman"/>
          <w:sz w:val="24"/>
          <w:szCs w:val="24"/>
        </w:rPr>
        <w:t>standard errors</w:t>
      </w:r>
      <w:r w:rsidR="00B245B6" w:rsidRPr="006F3FE8">
        <w:rPr>
          <w:rFonts w:ascii="Times New Roman" w:hAnsi="Times New Roman"/>
          <w:sz w:val="24"/>
          <w:szCs w:val="24"/>
        </w:rPr>
        <w:t xml:space="preserve"> by year, firm</w:t>
      </w:r>
      <w:r w:rsidR="00C14816" w:rsidRPr="006F3FE8">
        <w:rPr>
          <w:rFonts w:ascii="Times New Roman" w:hAnsi="Times New Roman"/>
          <w:sz w:val="24"/>
          <w:szCs w:val="24"/>
        </w:rPr>
        <w:t>,</w:t>
      </w:r>
      <w:r w:rsidR="00B245B6" w:rsidRPr="006F3FE8">
        <w:rPr>
          <w:rFonts w:ascii="Times New Roman" w:hAnsi="Times New Roman"/>
          <w:sz w:val="24"/>
          <w:szCs w:val="24"/>
        </w:rPr>
        <w:t xml:space="preserve"> and</w:t>
      </w:r>
      <w:r w:rsidR="00C14816" w:rsidRPr="006F3FE8">
        <w:rPr>
          <w:rFonts w:ascii="Times New Roman" w:hAnsi="Times New Roman"/>
          <w:sz w:val="24"/>
          <w:szCs w:val="24"/>
        </w:rPr>
        <w:t xml:space="preserve"> </w:t>
      </w:r>
      <w:r w:rsidR="00B245B6" w:rsidRPr="006F3FE8">
        <w:rPr>
          <w:rFonts w:ascii="Times New Roman" w:hAnsi="Times New Roman"/>
          <w:sz w:val="24"/>
          <w:szCs w:val="24"/>
        </w:rPr>
        <w:t>disclosure outlet</w:t>
      </w:r>
      <w:r w:rsidR="006F3FE8" w:rsidRPr="006F3FE8">
        <w:rPr>
          <w:rFonts w:ascii="Times New Roman" w:hAnsi="Times New Roman"/>
          <w:sz w:val="24"/>
          <w:szCs w:val="24"/>
        </w:rPr>
        <w:t>)</w:t>
      </w:r>
      <w:r w:rsidR="00B245B6" w:rsidRPr="006F3FE8">
        <w:rPr>
          <w:rFonts w:ascii="Times New Roman" w:hAnsi="Times New Roman"/>
          <w:sz w:val="24"/>
          <w:szCs w:val="24"/>
        </w:rPr>
        <w:t xml:space="preserve"> and various market measures </w:t>
      </w:r>
      <w:r w:rsidR="006F3FE8" w:rsidRPr="006F3FE8">
        <w:rPr>
          <w:rFonts w:ascii="Times New Roman" w:hAnsi="Times New Roman"/>
          <w:sz w:val="24"/>
          <w:szCs w:val="24"/>
        </w:rPr>
        <w:t xml:space="preserve">for </w:t>
      </w:r>
      <w:r w:rsidR="00B245B6" w:rsidRPr="006F3FE8">
        <w:rPr>
          <w:rFonts w:ascii="Times New Roman" w:hAnsi="Times New Roman"/>
          <w:sz w:val="24"/>
          <w:szCs w:val="24"/>
        </w:rPr>
        <w:t>cal</w:t>
      </w:r>
      <w:r w:rsidR="006F3FE8" w:rsidRPr="006F3FE8">
        <w:rPr>
          <w:rFonts w:ascii="Times New Roman" w:hAnsi="Times New Roman"/>
          <w:sz w:val="24"/>
          <w:szCs w:val="24"/>
        </w:rPr>
        <w:t>culating abnormal return produce similar results</w:t>
      </w:r>
      <w:r w:rsidR="00B245B6" w:rsidRPr="006F3FE8">
        <w:rPr>
          <w:rFonts w:ascii="Times New Roman" w:hAnsi="Times New Roman"/>
          <w:sz w:val="24"/>
          <w:szCs w:val="24"/>
        </w:rPr>
        <w:t>.</w:t>
      </w:r>
      <w:r w:rsidR="005F69CF" w:rsidRPr="006F3FE8">
        <w:rPr>
          <w:rFonts w:ascii="Times New Roman" w:hAnsi="Times New Roman"/>
          <w:sz w:val="24"/>
          <w:szCs w:val="24"/>
        </w:rPr>
        <w:t xml:space="preserve"> To ensure that our findings are not driven by a single firm, we</w:t>
      </w:r>
      <w:r w:rsidR="00561DAB" w:rsidRPr="006F3FE8">
        <w:rPr>
          <w:rFonts w:ascii="Times New Roman" w:hAnsi="Times New Roman"/>
          <w:sz w:val="24"/>
          <w:szCs w:val="24"/>
        </w:rPr>
        <w:t xml:space="preserve"> </w:t>
      </w:r>
      <w:r w:rsidR="005F69CF" w:rsidRPr="006F3FE8">
        <w:rPr>
          <w:rFonts w:ascii="Times New Roman" w:hAnsi="Times New Roman"/>
          <w:sz w:val="24"/>
          <w:szCs w:val="24"/>
        </w:rPr>
        <w:t xml:space="preserve">rerun all tests excluding each firm one at a time and find qualitatively similar results. </w:t>
      </w:r>
    </w:p>
    <w:p w14:paraId="0D89773F" w14:textId="77777777" w:rsidR="006F3FE8" w:rsidRPr="006F3FE8" w:rsidRDefault="006F3FE8">
      <w:pPr>
        <w:spacing w:after="0" w:line="480" w:lineRule="auto"/>
        <w:jc w:val="both"/>
        <w:rPr>
          <w:rFonts w:ascii="Times New Roman" w:hAnsi="Times New Roman"/>
          <w:sz w:val="24"/>
          <w:szCs w:val="24"/>
        </w:rPr>
      </w:pPr>
    </w:p>
    <w:p w14:paraId="6DB07431" w14:textId="77777777" w:rsidR="00576B36" w:rsidRDefault="00576B36" w:rsidP="00576B36">
      <w:pPr>
        <w:spacing w:after="0" w:line="480" w:lineRule="auto"/>
        <w:jc w:val="both"/>
        <w:rPr>
          <w:rFonts w:ascii="Times New Roman" w:hAnsi="Times New Roman" w:cs="Times New Roman"/>
          <w:b/>
          <w:sz w:val="24"/>
          <w:szCs w:val="24"/>
        </w:rPr>
      </w:pPr>
      <w:r w:rsidRPr="006F3FE8">
        <w:rPr>
          <w:rFonts w:ascii="Times New Roman" w:hAnsi="Times New Roman" w:cs="Times New Roman"/>
          <w:b/>
          <w:sz w:val="24"/>
          <w:szCs w:val="24"/>
        </w:rPr>
        <w:t>5. Conclusions</w:t>
      </w:r>
    </w:p>
    <w:p w14:paraId="25666082" w14:textId="44AA5499" w:rsidR="00360EF7" w:rsidRDefault="006973B2" w:rsidP="00360EF7">
      <w:pPr>
        <w:spacing w:after="0" w:line="480" w:lineRule="auto"/>
        <w:ind w:firstLine="720"/>
        <w:jc w:val="both"/>
        <w:rPr>
          <w:rFonts w:ascii="Times New Roman" w:hAnsi="Times New Roman"/>
          <w:sz w:val="24"/>
          <w:szCs w:val="24"/>
        </w:rPr>
      </w:pPr>
      <w:r w:rsidRPr="006973B2">
        <w:rPr>
          <w:rFonts w:ascii="Times New Roman" w:hAnsi="Times New Roman"/>
          <w:sz w:val="24"/>
          <w:szCs w:val="24"/>
        </w:rPr>
        <w:t xml:space="preserve">This paper adds to the existing literature by </w:t>
      </w:r>
      <w:r w:rsidR="00D80433">
        <w:rPr>
          <w:rFonts w:ascii="Times New Roman" w:hAnsi="Times New Roman"/>
          <w:sz w:val="24"/>
          <w:szCs w:val="24"/>
        </w:rPr>
        <w:t xml:space="preserve">comparing the use of </w:t>
      </w:r>
      <w:r w:rsidR="00B245B6">
        <w:rPr>
          <w:rFonts w:ascii="Times New Roman" w:hAnsi="Times New Roman"/>
          <w:sz w:val="24"/>
          <w:szCs w:val="24"/>
        </w:rPr>
        <w:t xml:space="preserve">different </w:t>
      </w:r>
      <w:r w:rsidR="00D80433">
        <w:rPr>
          <w:rFonts w:ascii="Times New Roman" w:hAnsi="Times New Roman"/>
          <w:sz w:val="24"/>
          <w:szCs w:val="24"/>
        </w:rPr>
        <w:t>voluntary disclosure outlets</w:t>
      </w:r>
      <w:r>
        <w:rPr>
          <w:rFonts w:ascii="Times New Roman" w:hAnsi="Times New Roman"/>
          <w:sz w:val="24"/>
          <w:szCs w:val="24"/>
        </w:rPr>
        <w:t xml:space="preserve">. </w:t>
      </w:r>
      <w:r w:rsidR="00360EF7">
        <w:rPr>
          <w:rFonts w:ascii="Times New Roman" w:hAnsi="Times New Roman"/>
          <w:sz w:val="24"/>
          <w:szCs w:val="24"/>
        </w:rPr>
        <w:t xml:space="preserve">First, we draw on existing theories of voluntary disclosure </w:t>
      </w:r>
      <w:r w:rsidR="00C463DC">
        <w:rPr>
          <w:rFonts w:ascii="Times New Roman" w:hAnsi="Times New Roman"/>
          <w:sz w:val="24"/>
          <w:szCs w:val="24"/>
        </w:rPr>
        <w:t>to</w:t>
      </w:r>
      <w:r w:rsidR="00D62389">
        <w:rPr>
          <w:rFonts w:ascii="Times New Roman" w:hAnsi="Times New Roman"/>
          <w:sz w:val="24"/>
          <w:szCs w:val="24"/>
        </w:rPr>
        <w:t xml:space="preserve"> help predict </w:t>
      </w:r>
      <w:r w:rsidR="00360EF7">
        <w:rPr>
          <w:rFonts w:ascii="Times New Roman" w:hAnsi="Times New Roman"/>
          <w:sz w:val="24"/>
          <w:szCs w:val="24"/>
        </w:rPr>
        <w:t>disclosure outlet</w:t>
      </w:r>
      <w:r w:rsidR="00D62389">
        <w:rPr>
          <w:rFonts w:ascii="Times New Roman" w:hAnsi="Times New Roman"/>
          <w:sz w:val="24"/>
          <w:szCs w:val="24"/>
        </w:rPr>
        <w:t xml:space="preserve"> choice</w:t>
      </w:r>
      <w:r w:rsidR="00360EF7">
        <w:rPr>
          <w:rFonts w:ascii="Times New Roman" w:hAnsi="Times New Roman"/>
          <w:sz w:val="24"/>
          <w:szCs w:val="24"/>
        </w:rPr>
        <w:t>. We find that firms</w:t>
      </w:r>
      <w:r w:rsidR="00C817E4">
        <w:rPr>
          <w:rFonts w:ascii="Times New Roman" w:hAnsi="Times New Roman"/>
          <w:sz w:val="24"/>
          <w:szCs w:val="24"/>
        </w:rPr>
        <w:t xml:space="preserve"> are motivated by voluntary disclosure theories of lowering information acquisition costs, and </w:t>
      </w:r>
      <w:r w:rsidR="00C463DC">
        <w:rPr>
          <w:rFonts w:ascii="Times New Roman" w:hAnsi="Times New Roman"/>
          <w:sz w:val="24"/>
          <w:szCs w:val="24"/>
        </w:rPr>
        <w:t xml:space="preserve">disclosure </w:t>
      </w:r>
      <w:r w:rsidR="00B201A0">
        <w:rPr>
          <w:rFonts w:ascii="Times New Roman" w:hAnsi="Times New Roman"/>
          <w:sz w:val="24"/>
          <w:szCs w:val="24"/>
        </w:rPr>
        <w:t>risk</w:t>
      </w:r>
      <w:r w:rsidR="00C817E4">
        <w:rPr>
          <w:rFonts w:ascii="Times New Roman" w:hAnsi="Times New Roman"/>
          <w:sz w:val="24"/>
          <w:szCs w:val="24"/>
        </w:rPr>
        <w:t xml:space="preserve"> when</w:t>
      </w:r>
      <w:r w:rsidR="00360EF7">
        <w:rPr>
          <w:rFonts w:ascii="Times New Roman" w:hAnsi="Times New Roman"/>
          <w:sz w:val="24"/>
          <w:szCs w:val="24"/>
        </w:rPr>
        <w:t xml:space="preserve"> choos</w:t>
      </w:r>
      <w:r w:rsidR="00C817E4">
        <w:rPr>
          <w:rFonts w:ascii="Times New Roman" w:hAnsi="Times New Roman"/>
          <w:sz w:val="24"/>
          <w:szCs w:val="24"/>
        </w:rPr>
        <w:t>ing</w:t>
      </w:r>
      <w:r w:rsidR="00360EF7">
        <w:rPr>
          <w:rFonts w:ascii="Times New Roman" w:hAnsi="Times New Roman"/>
          <w:sz w:val="24"/>
          <w:szCs w:val="24"/>
        </w:rPr>
        <w:t xml:space="preserve"> from amongst our limited set of disclosure ou</w:t>
      </w:r>
      <w:r w:rsidR="000C4C13">
        <w:rPr>
          <w:rFonts w:ascii="Times New Roman" w:hAnsi="Times New Roman"/>
          <w:sz w:val="24"/>
          <w:szCs w:val="24"/>
        </w:rPr>
        <w:t>tlets</w:t>
      </w:r>
      <w:r w:rsidR="00060B4B">
        <w:rPr>
          <w:rFonts w:ascii="Times New Roman" w:hAnsi="Times New Roman"/>
          <w:sz w:val="24"/>
          <w:szCs w:val="24"/>
        </w:rPr>
        <w:t>.</w:t>
      </w:r>
      <w:r w:rsidR="000C4C13">
        <w:rPr>
          <w:rFonts w:ascii="Times New Roman" w:hAnsi="Times New Roman"/>
          <w:sz w:val="24"/>
          <w:szCs w:val="24"/>
        </w:rPr>
        <w:t xml:space="preserve"> </w:t>
      </w:r>
      <w:r w:rsidR="00060B4B">
        <w:rPr>
          <w:rFonts w:ascii="Times New Roman" w:hAnsi="Times New Roman"/>
          <w:sz w:val="24"/>
          <w:szCs w:val="24"/>
        </w:rPr>
        <w:t>O</w:t>
      </w:r>
      <w:r w:rsidR="000C4C13">
        <w:rPr>
          <w:rFonts w:ascii="Times New Roman" w:hAnsi="Times New Roman"/>
          <w:sz w:val="24"/>
          <w:szCs w:val="24"/>
        </w:rPr>
        <w:t>nly mixed evidence in support of the talent signalling hypothesis</w:t>
      </w:r>
      <w:r w:rsidR="00060B4B">
        <w:rPr>
          <w:rFonts w:ascii="Times New Roman" w:hAnsi="Times New Roman"/>
          <w:sz w:val="24"/>
          <w:szCs w:val="24"/>
        </w:rPr>
        <w:t xml:space="preserve"> is found</w:t>
      </w:r>
      <w:r w:rsidR="000C4C13">
        <w:rPr>
          <w:rFonts w:ascii="Times New Roman" w:hAnsi="Times New Roman"/>
          <w:sz w:val="24"/>
          <w:szCs w:val="24"/>
        </w:rPr>
        <w:t xml:space="preserve">. </w:t>
      </w:r>
      <w:r w:rsidR="00BE248C">
        <w:rPr>
          <w:rFonts w:ascii="Times New Roman" w:hAnsi="Times New Roman"/>
          <w:sz w:val="24"/>
          <w:szCs w:val="24"/>
        </w:rPr>
        <w:t>Our</w:t>
      </w:r>
      <w:r w:rsidR="00360EF7">
        <w:rPr>
          <w:rFonts w:ascii="Times New Roman" w:hAnsi="Times New Roman"/>
          <w:sz w:val="24"/>
          <w:szCs w:val="24"/>
        </w:rPr>
        <w:t xml:space="preserve"> result</w:t>
      </w:r>
      <w:r w:rsidR="00BE248C">
        <w:rPr>
          <w:rFonts w:ascii="Times New Roman" w:hAnsi="Times New Roman"/>
          <w:sz w:val="24"/>
          <w:szCs w:val="24"/>
        </w:rPr>
        <w:t>s suggest</w:t>
      </w:r>
      <w:r w:rsidR="00360EF7">
        <w:rPr>
          <w:rFonts w:ascii="Times New Roman" w:hAnsi="Times New Roman"/>
          <w:sz w:val="24"/>
          <w:szCs w:val="24"/>
        </w:rPr>
        <w:t xml:space="preserve"> </w:t>
      </w:r>
      <w:r w:rsidR="0091241A">
        <w:rPr>
          <w:rFonts w:ascii="Times New Roman" w:hAnsi="Times New Roman"/>
          <w:sz w:val="24"/>
          <w:szCs w:val="24"/>
        </w:rPr>
        <w:t xml:space="preserve">that firms are aware that these </w:t>
      </w:r>
      <w:r w:rsidR="00155B9E">
        <w:rPr>
          <w:rFonts w:ascii="Times New Roman" w:hAnsi="Times New Roman"/>
          <w:sz w:val="24"/>
          <w:szCs w:val="24"/>
        </w:rPr>
        <w:t>disclosure outlets</w:t>
      </w:r>
      <w:r w:rsidR="0091241A">
        <w:rPr>
          <w:rFonts w:ascii="Times New Roman" w:hAnsi="Times New Roman"/>
          <w:sz w:val="24"/>
          <w:szCs w:val="24"/>
        </w:rPr>
        <w:t xml:space="preserve"> are </w:t>
      </w:r>
      <w:r w:rsidR="00A832E1">
        <w:rPr>
          <w:rFonts w:ascii="Times New Roman" w:hAnsi="Times New Roman"/>
          <w:sz w:val="24"/>
          <w:szCs w:val="24"/>
        </w:rPr>
        <w:t xml:space="preserve">different </w:t>
      </w:r>
      <w:r w:rsidR="0091241A">
        <w:rPr>
          <w:rFonts w:ascii="Times New Roman" w:hAnsi="Times New Roman"/>
          <w:sz w:val="24"/>
          <w:szCs w:val="24"/>
        </w:rPr>
        <w:t xml:space="preserve">and </w:t>
      </w:r>
      <w:r w:rsidR="0091241A" w:rsidRPr="00656AC9">
        <w:rPr>
          <w:rFonts w:ascii="3.1" w:hAnsi="3.1"/>
          <w:sz w:val="24"/>
          <w:szCs w:val="24"/>
        </w:rPr>
        <w:t>choose</w:t>
      </w:r>
      <w:r w:rsidR="0091241A">
        <w:rPr>
          <w:rFonts w:ascii="Times New Roman" w:hAnsi="Times New Roman"/>
          <w:sz w:val="24"/>
          <w:szCs w:val="24"/>
        </w:rPr>
        <w:t xml:space="preserve"> the </w:t>
      </w:r>
      <w:r w:rsidR="00BF317D">
        <w:rPr>
          <w:rFonts w:ascii="Times New Roman" w:hAnsi="Times New Roman"/>
          <w:sz w:val="24"/>
          <w:szCs w:val="24"/>
        </w:rPr>
        <w:t>most suitable</w:t>
      </w:r>
      <w:r w:rsidR="0091241A">
        <w:rPr>
          <w:rFonts w:ascii="Times New Roman" w:hAnsi="Times New Roman"/>
          <w:sz w:val="24"/>
          <w:szCs w:val="24"/>
        </w:rPr>
        <w:t xml:space="preserve"> </w:t>
      </w:r>
      <w:r w:rsidR="00155B9E">
        <w:rPr>
          <w:rFonts w:ascii="Times New Roman" w:hAnsi="Times New Roman"/>
          <w:sz w:val="24"/>
          <w:szCs w:val="24"/>
        </w:rPr>
        <w:t>outlet</w:t>
      </w:r>
      <w:r w:rsidR="0091241A">
        <w:rPr>
          <w:rFonts w:ascii="Times New Roman" w:hAnsi="Times New Roman"/>
          <w:sz w:val="24"/>
          <w:szCs w:val="24"/>
        </w:rPr>
        <w:t>.</w:t>
      </w:r>
      <w:r w:rsidR="00360EF7">
        <w:rPr>
          <w:rFonts w:ascii="Times New Roman" w:hAnsi="Times New Roman"/>
          <w:sz w:val="24"/>
          <w:szCs w:val="24"/>
        </w:rPr>
        <w:t xml:space="preserve"> </w:t>
      </w:r>
      <w:r w:rsidR="0091241A">
        <w:rPr>
          <w:rFonts w:ascii="Times New Roman" w:hAnsi="Times New Roman"/>
          <w:sz w:val="24"/>
          <w:szCs w:val="24"/>
        </w:rPr>
        <w:t xml:space="preserve">Furthermore, we find that the market does not consider </w:t>
      </w:r>
      <w:r w:rsidR="00155B9E">
        <w:rPr>
          <w:rFonts w:ascii="Times New Roman" w:hAnsi="Times New Roman"/>
          <w:sz w:val="24"/>
          <w:szCs w:val="24"/>
        </w:rPr>
        <w:t xml:space="preserve">all disclosure outlets </w:t>
      </w:r>
      <w:r w:rsidR="00A83E13">
        <w:rPr>
          <w:rFonts w:ascii="Times New Roman" w:hAnsi="Times New Roman"/>
          <w:sz w:val="24"/>
          <w:szCs w:val="24"/>
        </w:rPr>
        <w:t>homogenous, as Open Briefings have less information content and purchased analyst rese</w:t>
      </w:r>
      <w:r w:rsidR="003A71D3">
        <w:rPr>
          <w:rFonts w:ascii="Times New Roman" w:hAnsi="Times New Roman"/>
          <w:sz w:val="24"/>
          <w:szCs w:val="24"/>
        </w:rPr>
        <w:t>arch contain</w:t>
      </w:r>
      <w:r w:rsidR="00E863A0">
        <w:rPr>
          <w:rFonts w:ascii="Times New Roman" w:hAnsi="Times New Roman"/>
          <w:sz w:val="24"/>
          <w:szCs w:val="24"/>
        </w:rPr>
        <w:t>s</w:t>
      </w:r>
      <w:r w:rsidR="003A71D3">
        <w:rPr>
          <w:rFonts w:ascii="Times New Roman" w:hAnsi="Times New Roman"/>
          <w:sz w:val="24"/>
          <w:szCs w:val="24"/>
        </w:rPr>
        <w:t xml:space="preserve"> more</w:t>
      </w:r>
      <w:r w:rsidR="00E863A0">
        <w:rPr>
          <w:rFonts w:ascii="Times New Roman" w:hAnsi="Times New Roman"/>
          <w:sz w:val="24"/>
          <w:szCs w:val="24"/>
        </w:rPr>
        <w:t xml:space="preserve"> unexpected</w:t>
      </w:r>
      <w:r w:rsidR="003A71D3">
        <w:rPr>
          <w:rFonts w:ascii="Times New Roman" w:hAnsi="Times New Roman"/>
          <w:sz w:val="24"/>
          <w:szCs w:val="24"/>
        </w:rPr>
        <w:t xml:space="preserve"> positive news</w:t>
      </w:r>
      <w:r w:rsidR="00360EF7">
        <w:rPr>
          <w:rFonts w:ascii="Times New Roman" w:hAnsi="Times New Roman"/>
          <w:sz w:val="24"/>
          <w:szCs w:val="24"/>
        </w:rPr>
        <w:t>.</w:t>
      </w:r>
      <w:r w:rsidR="00D62389">
        <w:rPr>
          <w:rFonts w:ascii="Times New Roman" w:hAnsi="Times New Roman"/>
          <w:sz w:val="24"/>
          <w:szCs w:val="24"/>
        </w:rPr>
        <w:t xml:space="preserve"> These results provide further evidence that Open Briefings are chosen to (comparatively) minimise risk and purchased analyst research to lower information acquisition costs.</w:t>
      </w:r>
    </w:p>
    <w:p w14:paraId="0E012994" w14:textId="773AEA05" w:rsidR="004B2857" w:rsidRPr="00782CE3" w:rsidRDefault="0091241A" w:rsidP="004B2857">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Overall, </w:t>
      </w:r>
      <w:r w:rsidRPr="004D363F">
        <w:rPr>
          <w:rFonts w:ascii="Times New Roman" w:hAnsi="Times New Roman"/>
          <w:sz w:val="24"/>
          <w:szCs w:val="24"/>
        </w:rPr>
        <w:t xml:space="preserve">we </w:t>
      </w:r>
      <w:r w:rsidR="00BE248C" w:rsidRPr="004D363F">
        <w:rPr>
          <w:rFonts w:ascii="Times New Roman" w:hAnsi="Times New Roman"/>
          <w:sz w:val="24"/>
          <w:szCs w:val="24"/>
        </w:rPr>
        <w:t>demonstrate</w:t>
      </w:r>
      <w:r w:rsidRPr="004D363F">
        <w:rPr>
          <w:rFonts w:ascii="Times New Roman" w:hAnsi="Times New Roman"/>
          <w:sz w:val="24"/>
          <w:szCs w:val="24"/>
        </w:rPr>
        <w:t xml:space="preserve"> that </w:t>
      </w:r>
      <w:r w:rsidR="00155B9E" w:rsidRPr="004D363F">
        <w:rPr>
          <w:rFonts w:ascii="Times New Roman" w:hAnsi="Times New Roman"/>
          <w:sz w:val="24"/>
          <w:szCs w:val="24"/>
        </w:rPr>
        <w:t>disclosure outlets</w:t>
      </w:r>
      <w:r w:rsidRPr="004D363F">
        <w:rPr>
          <w:rFonts w:ascii="Times New Roman" w:hAnsi="Times New Roman"/>
          <w:sz w:val="24"/>
          <w:szCs w:val="24"/>
        </w:rPr>
        <w:t xml:space="preserve"> are </w:t>
      </w:r>
      <w:r w:rsidR="00A832E1">
        <w:rPr>
          <w:rFonts w:ascii="Times New Roman" w:hAnsi="Times New Roman"/>
          <w:sz w:val="24"/>
          <w:szCs w:val="24"/>
        </w:rPr>
        <w:t xml:space="preserve">different </w:t>
      </w:r>
      <w:r w:rsidRPr="004D363F">
        <w:rPr>
          <w:rFonts w:ascii="Times New Roman" w:hAnsi="Times New Roman"/>
          <w:sz w:val="24"/>
          <w:szCs w:val="24"/>
        </w:rPr>
        <w:t xml:space="preserve">and that it matters how </w:t>
      </w:r>
      <w:r w:rsidR="00B331E1" w:rsidRPr="004D363F">
        <w:rPr>
          <w:rFonts w:ascii="Times New Roman" w:hAnsi="Times New Roman"/>
          <w:sz w:val="24"/>
          <w:szCs w:val="24"/>
        </w:rPr>
        <w:t>firms</w:t>
      </w:r>
      <w:r w:rsidRPr="004D363F">
        <w:rPr>
          <w:rFonts w:ascii="Times New Roman" w:hAnsi="Times New Roman"/>
          <w:sz w:val="24"/>
          <w:szCs w:val="24"/>
        </w:rPr>
        <w:t xml:space="preserve"> </w:t>
      </w:r>
      <w:r w:rsidR="00360EF7" w:rsidRPr="004D363F">
        <w:rPr>
          <w:rFonts w:ascii="Times New Roman" w:hAnsi="Times New Roman"/>
          <w:sz w:val="24"/>
          <w:szCs w:val="24"/>
        </w:rPr>
        <w:t>disclose. Th</w:t>
      </w:r>
      <w:r w:rsidR="00BE248C" w:rsidRPr="004D363F">
        <w:rPr>
          <w:rFonts w:ascii="Times New Roman" w:hAnsi="Times New Roman"/>
          <w:sz w:val="24"/>
          <w:szCs w:val="24"/>
        </w:rPr>
        <w:t>us</w:t>
      </w:r>
      <w:r w:rsidR="00360EF7" w:rsidRPr="004D363F">
        <w:rPr>
          <w:rFonts w:ascii="Times New Roman" w:hAnsi="Times New Roman"/>
          <w:sz w:val="24"/>
          <w:szCs w:val="24"/>
        </w:rPr>
        <w:t xml:space="preserve"> </w:t>
      </w:r>
      <w:r w:rsidR="00BE248C" w:rsidRPr="004D363F">
        <w:rPr>
          <w:rFonts w:ascii="Times New Roman" w:hAnsi="Times New Roman"/>
          <w:sz w:val="24"/>
          <w:szCs w:val="24"/>
        </w:rPr>
        <w:t xml:space="preserve">we </w:t>
      </w:r>
      <w:r w:rsidR="00360EF7" w:rsidRPr="004D363F">
        <w:rPr>
          <w:rFonts w:ascii="Times New Roman" w:hAnsi="Times New Roman"/>
          <w:sz w:val="24"/>
          <w:szCs w:val="24"/>
        </w:rPr>
        <w:t>contribute to the broader voluntary disclosure literature</w:t>
      </w:r>
      <w:r w:rsidR="00BE248C" w:rsidRPr="004D363F">
        <w:rPr>
          <w:rFonts w:ascii="Times New Roman" w:hAnsi="Times New Roman"/>
          <w:sz w:val="24"/>
          <w:szCs w:val="24"/>
        </w:rPr>
        <w:t xml:space="preserve"> </w:t>
      </w:r>
      <w:r w:rsidR="00DD095E">
        <w:rPr>
          <w:rFonts w:ascii="Times New Roman" w:hAnsi="Times New Roman"/>
          <w:sz w:val="24"/>
          <w:szCs w:val="24"/>
        </w:rPr>
        <w:t>in two main ways</w:t>
      </w:r>
      <w:r w:rsidR="00360EF7" w:rsidRPr="004D363F">
        <w:rPr>
          <w:rFonts w:ascii="Times New Roman" w:hAnsi="Times New Roman"/>
          <w:sz w:val="24"/>
          <w:szCs w:val="24"/>
        </w:rPr>
        <w:t>. First</w:t>
      </w:r>
      <w:r w:rsidR="00BE248C" w:rsidRPr="004D363F">
        <w:rPr>
          <w:rFonts w:ascii="Times New Roman" w:hAnsi="Times New Roman"/>
          <w:sz w:val="24"/>
          <w:szCs w:val="24"/>
        </w:rPr>
        <w:t>ly</w:t>
      </w:r>
      <w:r w:rsidR="00360EF7" w:rsidRPr="004D363F">
        <w:rPr>
          <w:rFonts w:ascii="Times New Roman" w:hAnsi="Times New Roman"/>
          <w:sz w:val="24"/>
          <w:szCs w:val="24"/>
        </w:rPr>
        <w:t xml:space="preserve">, we </w:t>
      </w:r>
      <w:r w:rsidR="00BE248C" w:rsidRPr="004D363F">
        <w:rPr>
          <w:rFonts w:ascii="Times New Roman" w:hAnsi="Times New Roman"/>
          <w:sz w:val="24"/>
          <w:szCs w:val="24"/>
        </w:rPr>
        <w:t xml:space="preserve">examine </w:t>
      </w:r>
      <w:r w:rsidR="00360EF7" w:rsidRPr="004D363F">
        <w:rPr>
          <w:rFonts w:ascii="Times New Roman" w:hAnsi="Times New Roman"/>
          <w:sz w:val="24"/>
          <w:szCs w:val="24"/>
        </w:rPr>
        <w:t xml:space="preserve">the motivations for firms </w:t>
      </w:r>
      <w:r w:rsidR="00BE248C" w:rsidRPr="004D363F">
        <w:rPr>
          <w:rFonts w:ascii="Times New Roman" w:hAnsi="Times New Roman"/>
          <w:sz w:val="24"/>
          <w:szCs w:val="24"/>
        </w:rPr>
        <w:t>cho</w:t>
      </w:r>
      <w:r w:rsidR="00BE248C" w:rsidRPr="008E094B">
        <w:rPr>
          <w:rFonts w:ascii="Times New Roman" w:hAnsi="Times New Roman"/>
          <w:sz w:val="24"/>
          <w:szCs w:val="24"/>
        </w:rPr>
        <w:t xml:space="preserve">osing </w:t>
      </w:r>
      <w:r w:rsidR="00360EF7" w:rsidRPr="008E094B">
        <w:rPr>
          <w:rFonts w:ascii="Times New Roman" w:hAnsi="Times New Roman"/>
          <w:sz w:val="24"/>
          <w:szCs w:val="24"/>
        </w:rPr>
        <w:t xml:space="preserve">different disclosure outlets. This adds to </w:t>
      </w:r>
      <w:r w:rsidR="00BE248C" w:rsidRPr="008E094B">
        <w:rPr>
          <w:rFonts w:ascii="Times New Roman" w:hAnsi="Times New Roman"/>
          <w:sz w:val="24"/>
          <w:szCs w:val="24"/>
        </w:rPr>
        <w:t xml:space="preserve">the existing literature in terms of gaining insights into </w:t>
      </w:r>
      <w:r w:rsidR="00360EF7" w:rsidRPr="008E094B">
        <w:rPr>
          <w:rFonts w:ascii="Times New Roman" w:hAnsi="Times New Roman"/>
          <w:sz w:val="24"/>
          <w:szCs w:val="24"/>
        </w:rPr>
        <w:t>not just why firms disclose</w:t>
      </w:r>
      <w:r w:rsidR="00BE248C" w:rsidRPr="008E094B">
        <w:rPr>
          <w:rFonts w:ascii="Times New Roman" w:hAnsi="Times New Roman"/>
          <w:sz w:val="24"/>
          <w:szCs w:val="24"/>
        </w:rPr>
        <w:t>,</w:t>
      </w:r>
      <w:r w:rsidR="00360EF7" w:rsidRPr="008E094B">
        <w:rPr>
          <w:rFonts w:ascii="Times New Roman" w:hAnsi="Times New Roman"/>
          <w:sz w:val="24"/>
          <w:szCs w:val="24"/>
        </w:rPr>
        <w:t xml:space="preserve"> but why they disclose the way they do</w:t>
      </w:r>
      <w:r w:rsidR="00944FB2" w:rsidRPr="008E094B">
        <w:rPr>
          <w:rFonts w:ascii="Times New Roman" w:hAnsi="Times New Roman"/>
          <w:sz w:val="24"/>
          <w:szCs w:val="24"/>
        </w:rPr>
        <w:t>.</w:t>
      </w:r>
      <w:r w:rsidR="008E094B" w:rsidRPr="008E094B">
        <w:rPr>
          <w:rFonts w:ascii="Times New Roman" w:hAnsi="Times New Roman"/>
          <w:sz w:val="24"/>
          <w:szCs w:val="24"/>
        </w:rPr>
        <w:t xml:space="preserve"> </w:t>
      </w:r>
      <w:r w:rsidR="00944FB2" w:rsidRPr="008E094B">
        <w:rPr>
          <w:rFonts w:ascii="Times New Roman" w:hAnsi="Times New Roman"/>
          <w:sz w:val="24"/>
          <w:szCs w:val="24"/>
        </w:rPr>
        <w:t>W</w:t>
      </w:r>
      <w:r w:rsidR="00E419C1" w:rsidRPr="008E094B">
        <w:rPr>
          <w:rFonts w:ascii="Times New Roman" w:hAnsi="Times New Roman"/>
          <w:sz w:val="24"/>
          <w:szCs w:val="24"/>
        </w:rPr>
        <w:t xml:space="preserve">e </w:t>
      </w:r>
      <w:r w:rsidR="00BE248C" w:rsidRPr="008E094B">
        <w:rPr>
          <w:rFonts w:ascii="Times New Roman" w:hAnsi="Times New Roman"/>
          <w:sz w:val="24"/>
          <w:szCs w:val="24"/>
        </w:rPr>
        <w:t xml:space="preserve">contribute to </w:t>
      </w:r>
      <w:r w:rsidR="00E419C1" w:rsidRPr="008E094B">
        <w:rPr>
          <w:rFonts w:ascii="Times New Roman" w:hAnsi="Times New Roman"/>
          <w:sz w:val="24"/>
          <w:szCs w:val="24"/>
        </w:rPr>
        <w:t>voluntary disclosure theory by showing that it is also applicable in motivating firms</w:t>
      </w:r>
      <w:r w:rsidR="00BF317D" w:rsidRPr="008E094B">
        <w:rPr>
          <w:rFonts w:ascii="Times New Roman" w:hAnsi="Times New Roman"/>
          <w:sz w:val="24"/>
          <w:szCs w:val="24"/>
        </w:rPr>
        <w:t>’</w:t>
      </w:r>
      <w:r w:rsidR="00E419C1" w:rsidRPr="008E094B">
        <w:rPr>
          <w:rFonts w:ascii="Times New Roman" w:hAnsi="Times New Roman"/>
          <w:sz w:val="24"/>
          <w:szCs w:val="24"/>
        </w:rPr>
        <w:t xml:space="preserve"> cho</w:t>
      </w:r>
      <w:r w:rsidR="00BF317D" w:rsidRPr="008E094B">
        <w:rPr>
          <w:rFonts w:ascii="Times New Roman" w:hAnsi="Times New Roman"/>
          <w:sz w:val="24"/>
          <w:szCs w:val="24"/>
        </w:rPr>
        <w:t>ice</w:t>
      </w:r>
      <w:r w:rsidR="00E419C1" w:rsidRPr="008E094B">
        <w:rPr>
          <w:rFonts w:ascii="Times New Roman" w:hAnsi="Times New Roman"/>
          <w:sz w:val="24"/>
          <w:szCs w:val="24"/>
        </w:rPr>
        <w:t xml:space="preserve"> of disclosure outlet. </w:t>
      </w:r>
      <w:r w:rsidR="00DD095E" w:rsidRPr="008E094B">
        <w:rPr>
          <w:rFonts w:ascii="Times New Roman" w:hAnsi="Times New Roman"/>
          <w:sz w:val="24"/>
          <w:szCs w:val="24"/>
        </w:rPr>
        <w:lastRenderedPageBreak/>
        <w:t xml:space="preserve">Considering the growing </w:t>
      </w:r>
      <w:r w:rsidR="00DD095E">
        <w:rPr>
          <w:rFonts w:ascii="Times New Roman" w:hAnsi="Times New Roman"/>
          <w:sz w:val="24"/>
          <w:szCs w:val="24"/>
        </w:rPr>
        <w:t xml:space="preserve">number of disclosure outlets available, </w:t>
      </w:r>
      <w:r w:rsidR="00DD095E" w:rsidRPr="008E094B">
        <w:rPr>
          <w:rFonts w:ascii="Times New Roman" w:hAnsi="Times New Roman"/>
          <w:sz w:val="24"/>
          <w:szCs w:val="24"/>
        </w:rPr>
        <w:t xml:space="preserve">disclosure outlet choice is </w:t>
      </w:r>
      <w:r w:rsidR="00A92E51" w:rsidRPr="008E094B">
        <w:rPr>
          <w:rFonts w:ascii="Times New Roman" w:hAnsi="Times New Roman"/>
          <w:sz w:val="24"/>
          <w:szCs w:val="24"/>
        </w:rPr>
        <w:t>likely to be an</w:t>
      </w:r>
      <w:r w:rsidR="00DD095E" w:rsidRPr="008E094B">
        <w:rPr>
          <w:rFonts w:ascii="Times New Roman" w:hAnsi="Times New Roman"/>
          <w:sz w:val="24"/>
          <w:szCs w:val="24"/>
        </w:rPr>
        <w:t xml:space="preserve"> increasingly important </w:t>
      </w:r>
      <w:r w:rsidR="00A92E51" w:rsidRPr="008E094B">
        <w:rPr>
          <w:rFonts w:ascii="Times New Roman" w:hAnsi="Times New Roman"/>
          <w:sz w:val="24"/>
          <w:szCs w:val="24"/>
        </w:rPr>
        <w:t xml:space="preserve">topic </w:t>
      </w:r>
      <w:r w:rsidR="00BF317D" w:rsidRPr="008E094B">
        <w:rPr>
          <w:rFonts w:ascii="Times New Roman" w:hAnsi="Times New Roman"/>
          <w:sz w:val="24"/>
          <w:szCs w:val="24"/>
        </w:rPr>
        <w:t xml:space="preserve">in </w:t>
      </w:r>
      <w:r w:rsidR="00DD095E" w:rsidRPr="008E094B">
        <w:rPr>
          <w:rFonts w:ascii="Times New Roman" w:hAnsi="Times New Roman"/>
          <w:sz w:val="24"/>
          <w:szCs w:val="24"/>
        </w:rPr>
        <w:t>accounting research.</w:t>
      </w:r>
      <w:r w:rsidR="004B2857">
        <w:rPr>
          <w:rFonts w:ascii="Times New Roman" w:hAnsi="Times New Roman"/>
          <w:sz w:val="24"/>
          <w:szCs w:val="24"/>
        </w:rPr>
        <w:t xml:space="preserve"> However, our research is</w:t>
      </w:r>
      <w:r w:rsidR="004B2857" w:rsidRPr="00782CE3">
        <w:rPr>
          <w:rFonts w:ascii="Times New Roman" w:hAnsi="Times New Roman" w:cs="Times New Roman"/>
          <w:sz w:val="24"/>
          <w:szCs w:val="24"/>
        </w:rPr>
        <w:t xml:space="preserve"> exploratory in nature and we only consider a small subset of </w:t>
      </w:r>
      <w:r w:rsidR="004B2857">
        <w:rPr>
          <w:rFonts w:ascii="Times New Roman" w:hAnsi="Times New Roman" w:cs="Times New Roman"/>
          <w:sz w:val="24"/>
          <w:szCs w:val="24"/>
        </w:rPr>
        <w:t xml:space="preserve">all </w:t>
      </w:r>
      <w:r w:rsidR="004B2857" w:rsidRPr="00782CE3">
        <w:rPr>
          <w:rFonts w:ascii="Times New Roman" w:hAnsi="Times New Roman" w:cs="Times New Roman"/>
          <w:sz w:val="24"/>
          <w:szCs w:val="24"/>
        </w:rPr>
        <w:t>disclosure outlets</w:t>
      </w:r>
      <w:r w:rsidR="004B2857">
        <w:rPr>
          <w:rFonts w:ascii="Times New Roman" w:hAnsi="Times New Roman" w:cs="Times New Roman"/>
          <w:sz w:val="24"/>
          <w:szCs w:val="24"/>
        </w:rPr>
        <w:t>. Our study is also limited by any uncontrolled for</w:t>
      </w:r>
      <w:r w:rsidR="004B2857" w:rsidRPr="00782CE3">
        <w:rPr>
          <w:rFonts w:ascii="Times New Roman" w:hAnsi="Times New Roman" w:cs="Times New Roman"/>
          <w:sz w:val="24"/>
          <w:szCs w:val="24"/>
        </w:rPr>
        <w:t xml:space="preserve"> differences in </w:t>
      </w:r>
      <w:r w:rsidR="004B2857">
        <w:rPr>
          <w:rFonts w:ascii="Times New Roman" w:hAnsi="Times New Roman" w:cs="Times New Roman"/>
          <w:sz w:val="24"/>
          <w:szCs w:val="24"/>
        </w:rPr>
        <w:t xml:space="preserve">information </w:t>
      </w:r>
      <w:r w:rsidR="004B2857" w:rsidRPr="00782CE3">
        <w:rPr>
          <w:rFonts w:ascii="Times New Roman" w:hAnsi="Times New Roman" w:cs="Times New Roman"/>
          <w:sz w:val="24"/>
          <w:szCs w:val="24"/>
        </w:rPr>
        <w:t>content</w:t>
      </w:r>
      <w:r w:rsidR="004B2857">
        <w:rPr>
          <w:rFonts w:ascii="Times New Roman" w:hAnsi="Times New Roman" w:cs="Times New Roman"/>
          <w:sz w:val="24"/>
          <w:szCs w:val="24"/>
        </w:rPr>
        <w:t xml:space="preserve"> across </w:t>
      </w:r>
      <w:r w:rsidR="004B2857" w:rsidRPr="00782CE3">
        <w:rPr>
          <w:rFonts w:ascii="Times New Roman" w:hAnsi="Times New Roman" w:cs="Times New Roman"/>
          <w:sz w:val="24"/>
          <w:szCs w:val="24"/>
        </w:rPr>
        <w:t xml:space="preserve">disclosure </w:t>
      </w:r>
      <w:r w:rsidR="004B2857">
        <w:rPr>
          <w:rFonts w:ascii="Times New Roman" w:hAnsi="Times New Roman" w:cs="Times New Roman"/>
          <w:sz w:val="24"/>
          <w:szCs w:val="24"/>
        </w:rPr>
        <w:t>outlets.</w:t>
      </w:r>
    </w:p>
    <w:p w14:paraId="6E5CA9F0" w14:textId="77777777" w:rsidR="00AF36C8" w:rsidRDefault="00AF36C8">
      <w:pPr>
        <w:rPr>
          <w:rFonts w:ascii="Times New Roman" w:hAnsi="Times New Roman" w:cs="Times New Roman"/>
          <w:b/>
          <w:sz w:val="24"/>
          <w:szCs w:val="24"/>
        </w:rPr>
      </w:pPr>
      <w:r>
        <w:rPr>
          <w:rFonts w:ascii="Times New Roman" w:hAnsi="Times New Roman" w:cs="Times New Roman"/>
          <w:b/>
          <w:sz w:val="24"/>
          <w:szCs w:val="24"/>
        </w:rPr>
        <w:br w:type="page"/>
      </w:r>
    </w:p>
    <w:p w14:paraId="7CEF3217" w14:textId="26E305A7" w:rsidR="00576B36" w:rsidRPr="00421AC7" w:rsidRDefault="00576B36" w:rsidP="00576B36">
      <w:pPr>
        <w:spacing w:after="0" w:line="480" w:lineRule="auto"/>
        <w:jc w:val="both"/>
        <w:rPr>
          <w:rFonts w:ascii="Times New Roman" w:hAnsi="Times New Roman" w:cs="Times New Roman"/>
          <w:b/>
          <w:sz w:val="24"/>
          <w:szCs w:val="24"/>
        </w:rPr>
      </w:pPr>
      <w:r w:rsidRPr="00421AC7">
        <w:rPr>
          <w:rFonts w:ascii="Times New Roman" w:hAnsi="Times New Roman" w:cs="Times New Roman"/>
          <w:b/>
          <w:sz w:val="24"/>
          <w:szCs w:val="24"/>
        </w:rPr>
        <w:lastRenderedPageBreak/>
        <w:t>References</w:t>
      </w:r>
    </w:p>
    <w:p w14:paraId="7F619343" w14:textId="77777777" w:rsidR="00047484" w:rsidRPr="00047484" w:rsidRDefault="00047484" w:rsidP="00503E2F">
      <w:pPr>
        <w:tabs>
          <w:tab w:val="left" w:pos="680"/>
        </w:tabs>
        <w:spacing w:after="0" w:line="240" w:lineRule="auto"/>
        <w:rPr>
          <w:rFonts w:ascii="Times New Roman" w:eastAsia="MS Mincho" w:hAnsi="Times New Roman" w:cs="Times New Roman"/>
          <w:sz w:val="24"/>
          <w:szCs w:val="24"/>
          <w:lang w:val="en-NZ" w:eastAsia="ja-JP"/>
        </w:rPr>
      </w:pPr>
      <w:proofErr w:type="spellStart"/>
      <w:r>
        <w:rPr>
          <w:rFonts w:ascii="Times New Roman" w:eastAsia="MS Mincho" w:hAnsi="Times New Roman" w:cs="Times New Roman"/>
          <w:sz w:val="24"/>
          <w:szCs w:val="24"/>
          <w:lang w:val="en-NZ" w:eastAsia="ja-JP"/>
        </w:rPr>
        <w:t>Argenti</w:t>
      </w:r>
      <w:proofErr w:type="spellEnd"/>
      <w:r>
        <w:rPr>
          <w:rFonts w:ascii="Times New Roman" w:eastAsia="MS Mincho" w:hAnsi="Times New Roman" w:cs="Times New Roman"/>
          <w:sz w:val="24"/>
          <w:szCs w:val="24"/>
          <w:lang w:val="en-NZ" w:eastAsia="ja-JP"/>
        </w:rPr>
        <w:t xml:space="preserve">, P. (1994), </w:t>
      </w:r>
      <w:r w:rsidRPr="00047484">
        <w:rPr>
          <w:rFonts w:ascii="Times New Roman" w:eastAsia="MS Mincho" w:hAnsi="Times New Roman" w:cs="Times New Roman"/>
          <w:i/>
          <w:sz w:val="24"/>
          <w:szCs w:val="24"/>
          <w:lang w:val="en-NZ" w:eastAsia="ja-JP"/>
        </w:rPr>
        <w:t>Corporate Communication</w:t>
      </w:r>
      <w:r>
        <w:rPr>
          <w:rFonts w:ascii="Times New Roman" w:eastAsia="MS Mincho" w:hAnsi="Times New Roman" w:cs="Times New Roman"/>
          <w:sz w:val="24"/>
          <w:szCs w:val="24"/>
          <w:lang w:val="en-NZ" w:eastAsia="ja-JP"/>
        </w:rPr>
        <w:t>, Irwin, New York.</w:t>
      </w:r>
    </w:p>
    <w:p w14:paraId="19A6A1A8"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Pr>
          <w:rFonts w:ascii="Times New Roman" w:eastAsia="MS Mincho" w:hAnsi="Times New Roman" w:cs="Times New Roman"/>
          <w:sz w:val="24"/>
          <w:szCs w:val="24"/>
          <w:lang w:val="en-NZ" w:eastAsia="ja-JP"/>
        </w:rPr>
        <w:t xml:space="preserve">Ball, R. and </w:t>
      </w:r>
      <w:r w:rsidRPr="00421AC7">
        <w:rPr>
          <w:rFonts w:ascii="Times New Roman" w:eastAsia="MS Mincho" w:hAnsi="Times New Roman" w:cs="Times New Roman"/>
          <w:sz w:val="24"/>
          <w:szCs w:val="24"/>
          <w:lang w:val="en-NZ" w:eastAsia="ja-JP"/>
        </w:rPr>
        <w:t>Foster,</w:t>
      </w:r>
      <w:r>
        <w:rPr>
          <w:rFonts w:ascii="Times New Roman" w:eastAsia="MS Mincho" w:hAnsi="Times New Roman" w:cs="Times New Roman"/>
          <w:sz w:val="24"/>
          <w:szCs w:val="24"/>
          <w:lang w:val="en-NZ" w:eastAsia="ja-JP"/>
        </w:rPr>
        <w:t xml:space="preserve"> G.</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1982</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Corporate financial reporting: A methodological review of</w:t>
      </w:r>
      <w:r w:rsidRPr="00421AC7">
        <w:rPr>
          <w:rFonts w:ascii="Times New Roman" w:eastAsia="MS Mincho" w:hAnsi="Times New Roman" w:cs="Times New Roman"/>
          <w:sz w:val="24"/>
          <w:szCs w:val="24"/>
          <w:lang w:val="en-NZ" w:eastAsia="ja-JP"/>
        </w:rPr>
        <w:tab/>
        <w:t>empirical research</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Journal of Accounting Research</w:t>
      </w:r>
      <w:r>
        <w:rPr>
          <w:rFonts w:ascii="Times New Roman" w:eastAsia="MS Mincho" w:hAnsi="Times New Roman" w:cs="Times New Roman"/>
          <w:sz w:val="24"/>
          <w:szCs w:val="24"/>
          <w:lang w:val="en-NZ" w:eastAsia="ja-JP"/>
        </w:rPr>
        <w:t>, Vol.</w:t>
      </w:r>
      <w:r w:rsidRPr="00421AC7">
        <w:rPr>
          <w:rFonts w:ascii="Times New Roman" w:eastAsia="MS Mincho" w:hAnsi="Times New Roman" w:cs="Times New Roman"/>
          <w:sz w:val="24"/>
          <w:szCs w:val="24"/>
          <w:lang w:val="en-NZ" w:eastAsia="ja-JP"/>
        </w:rPr>
        <w:t xml:space="preserve"> 20</w:t>
      </w:r>
      <w:r>
        <w:rPr>
          <w:rFonts w:ascii="Times New Roman" w:eastAsia="MS Mincho" w:hAnsi="Times New Roman" w:cs="Times New Roman"/>
          <w:sz w:val="24"/>
          <w:szCs w:val="24"/>
          <w:lang w:val="en-NZ" w:eastAsia="ja-JP"/>
        </w:rPr>
        <w:t xml:space="preserve"> Supplement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pp. 161-</w:t>
      </w:r>
      <w:r>
        <w:rPr>
          <w:rFonts w:ascii="Times New Roman" w:eastAsia="MS Mincho" w:hAnsi="Times New Roman" w:cs="Times New Roman"/>
          <w:sz w:val="24"/>
          <w:szCs w:val="24"/>
          <w:lang w:val="en-NZ" w:eastAsia="ja-JP"/>
        </w:rPr>
        <w:tab/>
      </w:r>
      <w:r w:rsidRPr="00421AC7">
        <w:rPr>
          <w:rFonts w:ascii="Times New Roman" w:eastAsia="MS Mincho" w:hAnsi="Times New Roman" w:cs="Times New Roman"/>
          <w:sz w:val="24"/>
          <w:szCs w:val="24"/>
          <w:lang w:val="en-NZ" w:eastAsia="ja-JP"/>
        </w:rPr>
        <w:t>234.</w:t>
      </w:r>
    </w:p>
    <w:p w14:paraId="28947303" w14:textId="77777777" w:rsidR="00503E2F" w:rsidRPr="00421AC7"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r w:rsidRPr="00475812">
        <w:rPr>
          <w:rFonts w:ascii="Times New Roman" w:eastAsia="MS Mincho" w:hAnsi="Times New Roman" w:cs="Times New Roman"/>
          <w:sz w:val="24"/>
          <w:szCs w:val="24"/>
          <w:lang w:val="en-NZ" w:eastAsia="ja-JP"/>
        </w:rPr>
        <w:t>Beaver, W. (1968), “</w:t>
      </w:r>
      <w:r w:rsidRPr="00475812">
        <w:rPr>
          <w:rFonts w:ascii="Times New Roman" w:hAnsi="Times New Roman" w:cs="Times New Roman"/>
          <w:bCs/>
          <w:sz w:val="24"/>
          <w:szCs w:val="24"/>
        </w:rPr>
        <w:t xml:space="preserve">The information content of annual earnings announcements”, </w:t>
      </w:r>
      <w:r w:rsidRPr="00475812">
        <w:rPr>
          <w:rFonts w:ascii="Times New Roman" w:hAnsi="Times New Roman" w:cs="Times New Roman"/>
          <w:bCs/>
          <w:i/>
          <w:sz w:val="24"/>
          <w:szCs w:val="24"/>
        </w:rPr>
        <w:t>Journal of Accounting Research</w:t>
      </w:r>
      <w:r w:rsidRPr="00475812">
        <w:rPr>
          <w:rFonts w:ascii="Times New Roman" w:hAnsi="Times New Roman" w:cs="Times New Roman"/>
          <w:bCs/>
          <w:sz w:val="24"/>
          <w:szCs w:val="24"/>
        </w:rPr>
        <w:t xml:space="preserve">, Vol. 6 </w:t>
      </w:r>
      <w:r>
        <w:rPr>
          <w:rFonts w:ascii="Times New Roman" w:hAnsi="Times New Roman" w:cs="Times New Roman"/>
          <w:bCs/>
          <w:sz w:val="24"/>
          <w:szCs w:val="24"/>
        </w:rPr>
        <w:t>Supplement,</w:t>
      </w:r>
      <w:r w:rsidRPr="00475812">
        <w:rPr>
          <w:rFonts w:ascii="Times New Roman" w:hAnsi="Times New Roman" w:cs="Times New Roman"/>
          <w:bCs/>
          <w:sz w:val="24"/>
          <w:szCs w:val="24"/>
        </w:rPr>
        <w:t xml:space="preserve"> pp. 67-92.</w:t>
      </w:r>
    </w:p>
    <w:p w14:paraId="620D10C8" w14:textId="77777777" w:rsidR="00503E2F" w:rsidRPr="00421AC7"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Bird, R., Grosse,</w:t>
      </w:r>
      <w:r>
        <w:rPr>
          <w:rFonts w:ascii="Times New Roman" w:eastAsia="MS Mincho" w:hAnsi="Times New Roman" w:cs="Times New Roman"/>
          <w:sz w:val="24"/>
          <w:szCs w:val="24"/>
          <w:lang w:val="en-NZ" w:eastAsia="ja-JP"/>
        </w:rPr>
        <w:t xml:space="preserve"> M.</w:t>
      </w:r>
      <w:r w:rsidRPr="00421AC7">
        <w:rPr>
          <w:rFonts w:ascii="Times New Roman" w:eastAsia="MS Mincho" w:hAnsi="Times New Roman" w:cs="Times New Roman"/>
          <w:sz w:val="24"/>
          <w:szCs w:val="24"/>
          <w:lang w:val="en-NZ" w:eastAsia="ja-JP"/>
        </w:rPr>
        <w:t xml:space="preserve"> and Yeung,</w:t>
      </w:r>
      <w:r>
        <w:rPr>
          <w:rFonts w:ascii="Times New Roman" w:eastAsia="MS Mincho" w:hAnsi="Times New Roman" w:cs="Times New Roman"/>
          <w:sz w:val="24"/>
          <w:szCs w:val="24"/>
          <w:lang w:val="en-NZ" w:eastAsia="ja-JP"/>
        </w:rPr>
        <w:t xml:space="preserve"> D.</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2013</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The market response to exploration, resource and reserve announcements by mining firms: Australian data</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w:t>
      </w:r>
      <w:r w:rsidRPr="00421AC7">
        <w:rPr>
          <w:rFonts w:ascii="Times New Roman" w:eastAsia="MS Mincho" w:hAnsi="Times New Roman" w:cs="Times New Roman"/>
          <w:i/>
          <w:sz w:val="24"/>
          <w:szCs w:val="24"/>
          <w:lang w:val="en-NZ" w:eastAsia="ja-JP"/>
        </w:rPr>
        <w:t xml:space="preserve"> Australian Journal of Management</w:t>
      </w:r>
      <w:r>
        <w:rPr>
          <w:rFonts w:ascii="Times New Roman" w:eastAsia="MS Mincho" w:hAnsi="Times New Roman" w:cs="Times New Roman"/>
          <w:sz w:val="24"/>
          <w:szCs w:val="24"/>
          <w:lang w:val="en-NZ" w:eastAsia="ja-JP"/>
        </w:rPr>
        <w:t>, Vol. 38 No. 2, pp. 311-331.</w:t>
      </w:r>
    </w:p>
    <w:p w14:paraId="66D48955" w14:textId="77777777" w:rsidR="00503E2F" w:rsidRPr="00421AC7"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 xml:space="preserve">Brown, P., Ferguson, A. and Jackson, A.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2009</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Pierpont and the capital market</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Abacus</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Vol. </w:t>
      </w:r>
      <w:r w:rsidRPr="00421AC7">
        <w:rPr>
          <w:rFonts w:ascii="Times New Roman" w:eastAsia="MS Mincho" w:hAnsi="Times New Roman" w:cs="Times New Roman"/>
          <w:sz w:val="24"/>
          <w:szCs w:val="24"/>
          <w:lang w:val="en-NZ" w:eastAsia="ja-JP"/>
        </w:rPr>
        <w:t>45</w:t>
      </w:r>
      <w:r>
        <w:rPr>
          <w:rFonts w:ascii="Times New Roman" w:eastAsia="MS Mincho" w:hAnsi="Times New Roman" w:cs="Times New Roman"/>
          <w:sz w:val="24"/>
          <w:szCs w:val="24"/>
          <w:lang w:val="en-NZ" w:eastAsia="ja-JP"/>
        </w:rPr>
        <w:t xml:space="preserve"> No. 2</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pp. 1</w:t>
      </w:r>
      <w:r w:rsidRPr="00421AC7">
        <w:rPr>
          <w:rFonts w:ascii="Times New Roman" w:eastAsia="MS Mincho" w:hAnsi="Times New Roman" w:cs="Times New Roman"/>
          <w:sz w:val="24"/>
          <w:szCs w:val="24"/>
          <w:lang w:val="en-NZ" w:eastAsia="ja-JP"/>
        </w:rPr>
        <w:t>47-170.</w:t>
      </w:r>
    </w:p>
    <w:p w14:paraId="02A566BD"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 xml:space="preserve">Brown, P., Feigin, A. and Ferguson, A.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2013</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Market reactions to the reports of a star</w:t>
      </w:r>
      <w:r w:rsidRPr="00421AC7">
        <w:rPr>
          <w:rFonts w:ascii="Times New Roman" w:eastAsia="MS Mincho" w:hAnsi="Times New Roman" w:cs="Times New Roman"/>
          <w:sz w:val="24"/>
          <w:szCs w:val="24"/>
          <w:lang w:val="en-NZ" w:eastAsia="ja-JP"/>
        </w:rPr>
        <w:tab/>
        <w:t>resource analyst</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w:t>
      </w:r>
      <w:r w:rsidRPr="00421AC7">
        <w:rPr>
          <w:rFonts w:ascii="Times New Roman" w:eastAsia="MS Mincho" w:hAnsi="Times New Roman" w:cs="Times New Roman"/>
          <w:i/>
          <w:sz w:val="24"/>
          <w:szCs w:val="24"/>
          <w:lang w:val="en-NZ" w:eastAsia="ja-JP"/>
        </w:rPr>
        <w:t xml:space="preserve"> Australian Journal of Management</w:t>
      </w:r>
      <w:r w:rsidRPr="00421AC7">
        <w:rPr>
          <w:rFonts w:ascii="Times New Roman" w:eastAsia="MS Mincho" w:hAnsi="Times New Roman" w:cs="Times New Roman"/>
          <w:sz w:val="24"/>
          <w:szCs w:val="24"/>
          <w:lang w:val="en-NZ" w:eastAsia="ja-JP"/>
        </w:rPr>
        <w:t xml:space="preserve"> (forthcoming). </w:t>
      </w:r>
    </w:p>
    <w:p w14:paraId="57173645" w14:textId="77777777" w:rsidR="00503E2F" w:rsidRPr="005575F6"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proofErr w:type="spellStart"/>
      <w:r w:rsidRPr="005575F6">
        <w:rPr>
          <w:rFonts w:ascii="Times New Roman" w:eastAsia="MS Mincho" w:hAnsi="Times New Roman" w:cs="Times New Roman"/>
          <w:sz w:val="24"/>
          <w:szCs w:val="24"/>
          <w:lang w:val="en-NZ" w:eastAsia="ja-JP"/>
        </w:rPr>
        <w:t>Bushee</w:t>
      </w:r>
      <w:proofErr w:type="spellEnd"/>
      <w:r w:rsidRPr="005575F6">
        <w:rPr>
          <w:rFonts w:ascii="Times New Roman" w:eastAsia="MS Mincho" w:hAnsi="Times New Roman" w:cs="Times New Roman"/>
          <w:sz w:val="24"/>
          <w:szCs w:val="24"/>
          <w:lang w:val="en-NZ" w:eastAsia="ja-JP"/>
        </w:rPr>
        <w:t xml:space="preserve">, B., Matsumoto, D. and Miller, G. (2003), “Open versus closed conference calls: the determinants and effects of broadening access to disclosure”, </w:t>
      </w:r>
      <w:r w:rsidRPr="005575F6">
        <w:rPr>
          <w:rFonts w:ascii="Times New Roman" w:eastAsia="MS Mincho" w:hAnsi="Times New Roman" w:cs="Times New Roman"/>
          <w:i/>
          <w:iCs/>
          <w:sz w:val="24"/>
          <w:szCs w:val="24"/>
          <w:lang w:val="en-NZ" w:eastAsia="ja-JP"/>
        </w:rPr>
        <w:t>Journal of Accounting and Economics</w:t>
      </w:r>
      <w:r w:rsidRPr="005575F6">
        <w:rPr>
          <w:rFonts w:ascii="Times New Roman" w:eastAsia="MS Mincho" w:hAnsi="Times New Roman" w:cs="Times New Roman"/>
          <w:iCs/>
          <w:sz w:val="24"/>
          <w:szCs w:val="24"/>
          <w:lang w:val="en-NZ" w:eastAsia="ja-JP"/>
        </w:rPr>
        <w:t>,</w:t>
      </w:r>
      <w:r w:rsidRPr="005575F6">
        <w:rPr>
          <w:rFonts w:ascii="Times New Roman" w:eastAsia="MS Mincho" w:hAnsi="Times New Roman" w:cs="Times New Roman"/>
          <w:sz w:val="24"/>
          <w:szCs w:val="24"/>
          <w:lang w:val="en-NZ" w:eastAsia="ja-JP"/>
        </w:rPr>
        <w:t xml:space="preserve"> Vol. 34 No. 1-3, pp. 149-180. </w:t>
      </w:r>
    </w:p>
    <w:p w14:paraId="3089EB01" w14:textId="77777777" w:rsidR="00503E2F" w:rsidRPr="005575F6" w:rsidRDefault="00503E2F" w:rsidP="00503E2F">
      <w:pPr>
        <w:spacing w:after="0" w:line="240" w:lineRule="auto"/>
        <w:ind w:left="720" w:hanging="720"/>
        <w:rPr>
          <w:rFonts w:ascii="Times New Roman" w:hAnsi="Times New Roman" w:cs="Times New Roman"/>
          <w:sz w:val="24"/>
          <w:szCs w:val="24"/>
        </w:rPr>
      </w:pPr>
      <w:proofErr w:type="spellStart"/>
      <w:r w:rsidRPr="005575F6">
        <w:rPr>
          <w:rFonts w:ascii="Times New Roman" w:hAnsi="Times New Roman" w:cs="Times New Roman"/>
          <w:sz w:val="24"/>
          <w:szCs w:val="24"/>
        </w:rPr>
        <w:t>Bushee</w:t>
      </w:r>
      <w:proofErr w:type="spellEnd"/>
      <w:r w:rsidRPr="005575F6">
        <w:rPr>
          <w:rFonts w:ascii="Times New Roman" w:hAnsi="Times New Roman" w:cs="Times New Roman"/>
          <w:sz w:val="24"/>
          <w:szCs w:val="24"/>
        </w:rPr>
        <w:t xml:space="preserve">, B., Jung, M. and Miller, G. (2011), “Conference presentations and the disclosure milieu”, </w:t>
      </w:r>
      <w:r w:rsidRPr="005575F6">
        <w:rPr>
          <w:rFonts w:ascii="Times New Roman" w:hAnsi="Times New Roman" w:cs="Times New Roman"/>
          <w:i/>
          <w:sz w:val="24"/>
          <w:szCs w:val="24"/>
        </w:rPr>
        <w:t>Journal of Accounting Research</w:t>
      </w:r>
      <w:r w:rsidRPr="005575F6">
        <w:rPr>
          <w:rFonts w:ascii="Times New Roman" w:hAnsi="Times New Roman" w:cs="Times New Roman"/>
          <w:sz w:val="24"/>
          <w:szCs w:val="24"/>
        </w:rPr>
        <w:t>, Vol. 49 No. 5, pp. 1163-1192.</w:t>
      </w:r>
    </w:p>
    <w:p w14:paraId="36095B75" w14:textId="77777777" w:rsidR="00503E2F" w:rsidRPr="005575F6" w:rsidRDefault="00503E2F" w:rsidP="00503E2F">
      <w:pPr>
        <w:tabs>
          <w:tab w:val="left" w:pos="680"/>
        </w:tabs>
        <w:spacing w:after="0" w:line="240" w:lineRule="auto"/>
        <w:ind w:left="720" w:hanging="720"/>
        <w:rPr>
          <w:rFonts w:ascii="Times New Roman" w:eastAsia="MS Mincho" w:hAnsi="Times New Roman" w:cs="Times New Roman"/>
          <w:sz w:val="24"/>
          <w:szCs w:val="24"/>
          <w:lang w:eastAsia="ja-JP"/>
        </w:rPr>
      </w:pPr>
      <w:proofErr w:type="spellStart"/>
      <w:r w:rsidRPr="005575F6">
        <w:rPr>
          <w:rFonts w:ascii="Times New Roman" w:eastAsia="MS Mincho" w:hAnsi="Times New Roman" w:cs="Times New Roman"/>
          <w:sz w:val="24"/>
          <w:szCs w:val="24"/>
          <w:lang w:eastAsia="ja-JP"/>
        </w:rPr>
        <w:t>Bushee</w:t>
      </w:r>
      <w:proofErr w:type="spellEnd"/>
      <w:r w:rsidRPr="005575F6">
        <w:rPr>
          <w:rFonts w:ascii="Times New Roman" w:eastAsia="MS Mincho" w:hAnsi="Times New Roman" w:cs="Times New Roman"/>
          <w:sz w:val="24"/>
          <w:szCs w:val="24"/>
          <w:lang w:eastAsia="ja-JP"/>
        </w:rPr>
        <w:t>, B. and Miller, G. (2012), “Investor relations, firm visibility and investor following”,</w:t>
      </w:r>
    </w:p>
    <w:p w14:paraId="20066608" w14:textId="77777777" w:rsidR="00503E2F" w:rsidRPr="005575F6" w:rsidRDefault="00503E2F" w:rsidP="00503E2F">
      <w:pPr>
        <w:tabs>
          <w:tab w:val="left" w:pos="680"/>
        </w:tabs>
        <w:spacing w:after="0" w:line="240" w:lineRule="auto"/>
        <w:rPr>
          <w:rFonts w:ascii="Times New Roman" w:eastAsia="MS Mincho" w:hAnsi="Times New Roman" w:cs="Times New Roman"/>
          <w:sz w:val="24"/>
          <w:szCs w:val="24"/>
          <w:lang w:eastAsia="ja-JP"/>
        </w:rPr>
      </w:pPr>
      <w:r w:rsidRPr="005575F6">
        <w:rPr>
          <w:rFonts w:ascii="Times New Roman" w:eastAsia="MS Mincho" w:hAnsi="Times New Roman" w:cs="Times New Roman"/>
          <w:i/>
          <w:sz w:val="24"/>
          <w:szCs w:val="24"/>
          <w:lang w:eastAsia="ja-JP"/>
        </w:rPr>
        <w:tab/>
        <w:t>The Accounting Review</w:t>
      </w:r>
      <w:r w:rsidRPr="005575F6">
        <w:rPr>
          <w:rFonts w:ascii="Times New Roman" w:eastAsia="MS Mincho" w:hAnsi="Times New Roman" w:cs="Times New Roman"/>
          <w:sz w:val="24"/>
          <w:szCs w:val="24"/>
          <w:lang w:eastAsia="ja-JP"/>
        </w:rPr>
        <w:t>, Vol. 87 No. 3, pp. 867-897.</w:t>
      </w:r>
    </w:p>
    <w:p w14:paraId="3085022C" w14:textId="77777777" w:rsidR="00503E2F" w:rsidRPr="005575F6"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5575F6">
        <w:rPr>
          <w:rFonts w:ascii="Times New Roman" w:eastAsia="MS Mincho" w:hAnsi="Times New Roman" w:cs="Times New Roman"/>
          <w:sz w:val="24"/>
          <w:szCs w:val="24"/>
          <w:lang w:val="en-NZ" w:eastAsia="ja-JP"/>
        </w:rPr>
        <w:t>Campbell, J., Grossman, S. and Wang, J. (1993), “Trading volume and serial correlation</w:t>
      </w:r>
      <w:r w:rsidRPr="005575F6">
        <w:rPr>
          <w:rFonts w:ascii="Times New Roman" w:eastAsia="MS Mincho" w:hAnsi="Times New Roman" w:cs="Times New Roman"/>
          <w:sz w:val="24"/>
          <w:szCs w:val="24"/>
          <w:lang w:val="en-NZ" w:eastAsia="ja-JP"/>
        </w:rPr>
        <w:tab/>
        <w:t>in</w:t>
      </w:r>
      <w:r w:rsidRPr="005575F6">
        <w:rPr>
          <w:rFonts w:ascii="Times New Roman" w:eastAsia="MS Mincho" w:hAnsi="Times New Roman" w:cs="Times New Roman"/>
          <w:sz w:val="24"/>
          <w:szCs w:val="24"/>
          <w:lang w:val="en-NZ" w:eastAsia="ja-JP"/>
        </w:rPr>
        <w:tab/>
        <w:t xml:space="preserve">stock returns”, </w:t>
      </w:r>
      <w:r w:rsidRPr="005575F6">
        <w:rPr>
          <w:rFonts w:ascii="Times New Roman" w:eastAsia="MS Mincho" w:hAnsi="Times New Roman" w:cs="Times New Roman"/>
          <w:i/>
          <w:sz w:val="24"/>
          <w:szCs w:val="24"/>
          <w:lang w:val="en-NZ" w:eastAsia="ja-JP"/>
        </w:rPr>
        <w:t>Quarterly Journal of Economics</w:t>
      </w:r>
      <w:r w:rsidRPr="005575F6">
        <w:rPr>
          <w:rFonts w:ascii="Times New Roman" w:eastAsia="MS Mincho" w:hAnsi="Times New Roman" w:cs="Times New Roman"/>
          <w:sz w:val="24"/>
          <w:szCs w:val="24"/>
          <w:lang w:val="en-NZ" w:eastAsia="ja-JP"/>
        </w:rPr>
        <w:t>, Vol. 108 No. 4, pp. 905-940.</w:t>
      </w:r>
    </w:p>
    <w:p w14:paraId="79B10D79" w14:textId="77777777" w:rsidR="00503E2F" w:rsidRPr="0001536A"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5575F6">
        <w:rPr>
          <w:rFonts w:ascii="Times New Roman" w:eastAsia="MS Mincho" w:hAnsi="Times New Roman" w:cs="Times New Roman"/>
          <w:sz w:val="24"/>
          <w:szCs w:val="24"/>
          <w:lang w:val="en-NZ" w:eastAsia="ja-JP"/>
        </w:rPr>
        <w:t>Carroll, C. and McCombs, M. (2003), “Agenda-setting effects of business news on the</w:t>
      </w:r>
      <w:r w:rsidRPr="005575F6">
        <w:rPr>
          <w:rFonts w:ascii="Times New Roman" w:eastAsia="MS Mincho" w:hAnsi="Times New Roman" w:cs="Times New Roman"/>
          <w:sz w:val="24"/>
          <w:szCs w:val="24"/>
          <w:lang w:val="en-NZ" w:eastAsia="ja-JP"/>
        </w:rPr>
        <w:tab/>
        <w:t xml:space="preserve">public’s images and opinions about major corporations”, </w:t>
      </w:r>
      <w:r w:rsidRPr="005575F6">
        <w:rPr>
          <w:rFonts w:ascii="Times New Roman" w:eastAsia="MS Mincho" w:hAnsi="Times New Roman" w:cs="Times New Roman"/>
          <w:i/>
          <w:sz w:val="24"/>
          <w:szCs w:val="24"/>
          <w:lang w:val="en-NZ" w:eastAsia="ja-JP"/>
        </w:rPr>
        <w:t>Corporate Reputation</w:t>
      </w:r>
      <w:r w:rsidRPr="005575F6">
        <w:rPr>
          <w:rFonts w:ascii="Times New Roman" w:eastAsia="MS Mincho" w:hAnsi="Times New Roman" w:cs="Times New Roman"/>
          <w:i/>
          <w:sz w:val="24"/>
          <w:szCs w:val="24"/>
          <w:lang w:val="en-NZ" w:eastAsia="ja-JP"/>
        </w:rPr>
        <w:tab/>
        <w:t>Review</w:t>
      </w:r>
      <w:r w:rsidRPr="005575F6">
        <w:rPr>
          <w:rFonts w:ascii="Times New Roman" w:eastAsia="MS Mincho" w:hAnsi="Times New Roman" w:cs="Times New Roman"/>
          <w:sz w:val="24"/>
          <w:szCs w:val="24"/>
          <w:lang w:val="en-NZ" w:eastAsia="ja-JP"/>
        </w:rPr>
        <w:t>, Vol. 6 No. 1, pp</w:t>
      </w:r>
      <w:r>
        <w:rPr>
          <w:rFonts w:ascii="Times New Roman" w:eastAsia="MS Mincho" w:hAnsi="Times New Roman" w:cs="Times New Roman"/>
          <w:sz w:val="24"/>
          <w:szCs w:val="24"/>
          <w:lang w:val="en-NZ" w:eastAsia="ja-JP"/>
        </w:rPr>
        <w:t>. 36-</w:t>
      </w:r>
      <w:r w:rsidRPr="0001536A">
        <w:rPr>
          <w:rFonts w:ascii="Times New Roman" w:eastAsia="MS Mincho" w:hAnsi="Times New Roman" w:cs="Times New Roman"/>
          <w:sz w:val="24"/>
          <w:szCs w:val="24"/>
          <w:lang w:val="en-NZ" w:eastAsia="ja-JP"/>
        </w:rPr>
        <w:t>41.</w:t>
      </w:r>
    </w:p>
    <w:p w14:paraId="6C10EC78" w14:textId="77777777" w:rsidR="00503E2F" w:rsidRPr="00421AC7"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r>
        <w:rPr>
          <w:rFonts w:ascii="Times New Roman" w:eastAsia="MS Mincho" w:hAnsi="Times New Roman" w:cs="Times New Roman"/>
          <w:sz w:val="24"/>
          <w:szCs w:val="24"/>
          <w:lang w:val="en-NZ" w:eastAsia="ja-JP"/>
        </w:rPr>
        <w:t>Dye, R.</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1985</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Disclosure of </w:t>
      </w:r>
      <w:proofErr w:type="spellStart"/>
      <w:r w:rsidRPr="00421AC7">
        <w:rPr>
          <w:rFonts w:ascii="Times New Roman" w:eastAsia="MS Mincho" w:hAnsi="Times New Roman" w:cs="Times New Roman"/>
          <w:sz w:val="24"/>
          <w:szCs w:val="24"/>
          <w:lang w:val="en-NZ" w:eastAsia="ja-JP"/>
        </w:rPr>
        <w:t>nonproprietary</w:t>
      </w:r>
      <w:proofErr w:type="spellEnd"/>
      <w:r w:rsidRPr="00421AC7">
        <w:rPr>
          <w:rFonts w:ascii="Times New Roman" w:eastAsia="MS Mincho" w:hAnsi="Times New Roman" w:cs="Times New Roman"/>
          <w:sz w:val="24"/>
          <w:szCs w:val="24"/>
          <w:lang w:val="en-NZ" w:eastAsia="ja-JP"/>
        </w:rPr>
        <w:t xml:space="preserve"> information</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Journal of Accounting Research</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Vol. </w:t>
      </w:r>
      <w:r w:rsidRPr="00421AC7">
        <w:rPr>
          <w:rFonts w:ascii="Times New Roman" w:eastAsia="MS Mincho" w:hAnsi="Times New Roman" w:cs="Times New Roman"/>
          <w:sz w:val="24"/>
          <w:szCs w:val="24"/>
          <w:lang w:val="en-NZ" w:eastAsia="ja-JP"/>
        </w:rPr>
        <w:t>23</w:t>
      </w:r>
      <w:r>
        <w:rPr>
          <w:rFonts w:ascii="Times New Roman" w:eastAsia="MS Mincho" w:hAnsi="Times New Roman" w:cs="Times New Roman"/>
          <w:sz w:val="24"/>
          <w:szCs w:val="24"/>
          <w:lang w:val="en-NZ" w:eastAsia="ja-JP"/>
        </w:rPr>
        <w:t xml:space="preserve"> No. 1</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pp. </w:t>
      </w:r>
      <w:r w:rsidRPr="00421AC7">
        <w:rPr>
          <w:rFonts w:ascii="Times New Roman" w:eastAsia="MS Mincho" w:hAnsi="Times New Roman" w:cs="Times New Roman"/>
          <w:sz w:val="24"/>
          <w:szCs w:val="24"/>
          <w:lang w:val="en-NZ" w:eastAsia="ja-JP"/>
        </w:rPr>
        <w:t>123-145.</w:t>
      </w:r>
    </w:p>
    <w:p w14:paraId="787EF283"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 xml:space="preserve">Ferguson, A., Clinch, G. and Kean, S.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2011a</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Predicting the failure of developmental gold</w:t>
      </w:r>
      <w:r w:rsidRPr="00421AC7">
        <w:rPr>
          <w:rFonts w:ascii="Times New Roman" w:eastAsia="MS Mincho" w:hAnsi="Times New Roman" w:cs="Times New Roman"/>
          <w:sz w:val="24"/>
          <w:szCs w:val="24"/>
          <w:lang w:val="en-NZ" w:eastAsia="ja-JP"/>
        </w:rPr>
        <w:tab/>
        <w:t>mining projects</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Australian Accounting Review</w:t>
      </w:r>
      <w:r>
        <w:rPr>
          <w:rFonts w:ascii="Times New Roman" w:eastAsia="MS Mincho" w:hAnsi="Times New Roman" w:cs="Times New Roman"/>
          <w:sz w:val="24"/>
          <w:szCs w:val="24"/>
          <w:lang w:val="en-NZ" w:eastAsia="ja-JP"/>
        </w:rPr>
        <w:t>, Vol.</w:t>
      </w:r>
      <w:r w:rsidRPr="00421AC7">
        <w:rPr>
          <w:rFonts w:ascii="Times New Roman" w:eastAsia="MS Mincho" w:hAnsi="Times New Roman" w:cs="Times New Roman"/>
          <w:sz w:val="24"/>
          <w:szCs w:val="24"/>
          <w:lang w:val="en-NZ" w:eastAsia="ja-JP"/>
        </w:rPr>
        <w:t xml:space="preserve"> 21</w:t>
      </w:r>
      <w:r>
        <w:rPr>
          <w:rFonts w:ascii="Times New Roman" w:eastAsia="MS Mincho" w:hAnsi="Times New Roman" w:cs="Times New Roman"/>
          <w:sz w:val="24"/>
          <w:szCs w:val="24"/>
          <w:lang w:val="en-NZ" w:eastAsia="ja-JP"/>
        </w:rPr>
        <w:t xml:space="preserve"> No. 1</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pp. </w:t>
      </w:r>
      <w:r w:rsidRPr="00421AC7">
        <w:rPr>
          <w:rFonts w:ascii="Times New Roman" w:eastAsia="MS Mincho" w:hAnsi="Times New Roman" w:cs="Times New Roman"/>
          <w:sz w:val="24"/>
          <w:szCs w:val="24"/>
          <w:lang w:val="en-NZ" w:eastAsia="ja-JP"/>
        </w:rPr>
        <w:t>44-53.</w:t>
      </w:r>
    </w:p>
    <w:p w14:paraId="392A7889"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Ferguson, A., Grosse, M.</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Kean, S. and Scott, T.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2011b</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Your governance or mine?</w:t>
      </w:r>
      <w:r>
        <w:rPr>
          <w:rFonts w:ascii="Times New Roman" w:eastAsia="MS Mincho" w:hAnsi="Times New Roman" w:cs="Times New Roman"/>
          <w:sz w:val="24"/>
          <w:szCs w:val="24"/>
          <w:lang w:val="en-NZ" w:eastAsia="ja-JP"/>
        </w:rPr>
        <w:t>”</w:t>
      </w:r>
      <w:r>
        <w:rPr>
          <w:rFonts w:ascii="Times New Roman" w:eastAsia="MS Mincho" w:hAnsi="Times New Roman" w:cs="Times New Roman"/>
          <w:sz w:val="24"/>
          <w:szCs w:val="24"/>
          <w:lang w:val="en-NZ" w:eastAsia="ja-JP"/>
        </w:rPr>
        <w:tab/>
      </w:r>
      <w:r>
        <w:rPr>
          <w:rFonts w:ascii="Times New Roman" w:eastAsia="MS Mincho" w:hAnsi="Times New Roman" w:cs="Times New Roman"/>
          <w:i/>
          <w:sz w:val="24"/>
          <w:szCs w:val="24"/>
          <w:lang w:val="en-NZ" w:eastAsia="ja-JP"/>
        </w:rPr>
        <w:t xml:space="preserve">Australian </w:t>
      </w:r>
      <w:r w:rsidRPr="00421AC7">
        <w:rPr>
          <w:rFonts w:ascii="Times New Roman" w:eastAsia="MS Mincho" w:hAnsi="Times New Roman" w:cs="Times New Roman"/>
          <w:i/>
          <w:sz w:val="24"/>
          <w:szCs w:val="24"/>
          <w:lang w:val="en-NZ" w:eastAsia="ja-JP"/>
        </w:rPr>
        <w:t>Accounting Review</w:t>
      </w:r>
      <w:r>
        <w:rPr>
          <w:rFonts w:ascii="Times New Roman" w:eastAsia="MS Mincho" w:hAnsi="Times New Roman" w:cs="Times New Roman"/>
          <w:sz w:val="24"/>
          <w:szCs w:val="24"/>
          <w:lang w:val="en-NZ" w:eastAsia="ja-JP"/>
        </w:rPr>
        <w:t>, Vol.</w:t>
      </w:r>
      <w:r w:rsidRPr="00421AC7">
        <w:rPr>
          <w:rFonts w:ascii="Times New Roman" w:eastAsia="MS Mincho" w:hAnsi="Times New Roman" w:cs="Times New Roman"/>
          <w:i/>
          <w:sz w:val="24"/>
          <w:szCs w:val="24"/>
          <w:lang w:val="en-NZ" w:eastAsia="ja-JP"/>
        </w:rPr>
        <w:t xml:space="preserve"> </w:t>
      </w:r>
      <w:r w:rsidRPr="00421AC7">
        <w:rPr>
          <w:rFonts w:ascii="Times New Roman" w:eastAsia="MS Mincho" w:hAnsi="Times New Roman" w:cs="Times New Roman"/>
          <w:sz w:val="24"/>
          <w:szCs w:val="24"/>
          <w:lang w:val="en-NZ" w:eastAsia="ja-JP"/>
        </w:rPr>
        <w:t>21</w:t>
      </w:r>
      <w:r>
        <w:rPr>
          <w:rFonts w:ascii="Times New Roman" w:eastAsia="MS Mincho" w:hAnsi="Times New Roman" w:cs="Times New Roman"/>
          <w:sz w:val="24"/>
          <w:szCs w:val="24"/>
          <w:lang w:val="en-NZ" w:eastAsia="ja-JP"/>
        </w:rPr>
        <w:t xml:space="preserve"> No. 4</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pp. </w:t>
      </w:r>
      <w:r w:rsidRPr="00421AC7">
        <w:rPr>
          <w:rFonts w:ascii="Times New Roman" w:eastAsia="MS Mincho" w:hAnsi="Times New Roman" w:cs="Times New Roman"/>
          <w:sz w:val="24"/>
          <w:szCs w:val="24"/>
          <w:lang w:val="en-NZ" w:eastAsia="ja-JP"/>
        </w:rPr>
        <w:t>406-412.</w:t>
      </w:r>
    </w:p>
    <w:p w14:paraId="2D5EFDCE" w14:textId="77777777" w:rsidR="00503E2F" w:rsidRPr="00421AC7" w:rsidRDefault="00503E2F" w:rsidP="00503E2F">
      <w:pPr>
        <w:tabs>
          <w:tab w:val="left" w:pos="680"/>
        </w:tabs>
        <w:spacing w:after="0" w:line="240" w:lineRule="auto"/>
        <w:rPr>
          <w:rFonts w:ascii="Times New Roman" w:eastAsia="MS Mincho" w:hAnsi="Times New Roman" w:cs="Calibri"/>
          <w:sz w:val="24"/>
          <w:szCs w:val="24"/>
          <w:lang w:val="en-NZ" w:eastAsia="ja-JP"/>
        </w:rPr>
      </w:pPr>
      <w:r w:rsidRPr="00421AC7">
        <w:rPr>
          <w:rFonts w:ascii="Times New Roman" w:eastAsia="MS Mincho" w:hAnsi="Times New Roman" w:cs="Times New Roman"/>
          <w:sz w:val="24"/>
          <w:szCs w:val="24"/>
          <w:lang w:val="en-NZ" w:eastAsia="ja-JP"/>
        </w:rPr>
        <w:t xml:space="preserve">Ferguson, A. and Scott, T.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2011</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Market reactions to boutique resource firm investor</w:t>
      </w:r>
      <w:r w:rsidRPr="00421AC7">
        <w:rPr>
          <w:rFonts w:ascii="Times New Roman" w:eastAsia="MS Mincho" w:hAnsi="Times New Roman" w:cs="Times New Roman"/>
          <w:sz w:val="24"/>
          <w:szCs w:val="24"/>
          <w:lang w:val="en-NZ" w:eastAsia="ja-JP"/>
        </w:rPr>
        <w:tab/>
        <w:t>presentations</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Resources Policy</w:t>
      </w:r>
      <w:r>
        <w:rPr>
          <w:rFonts w:ascii="Times New Roman" w:eastAsia="MS Mincho" w:hAnsi="Times New Roman" w:cs="Times New Roman"/>
          <w:sz w:val="24"/>
          <w:szCs w:val="24"/>
          <w:lang w:val="en-NZ" w:eastAsia="ja-JP"/>
        </w:rPr>
        <w:t>, Vol.</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Calibri"/>
          <w:sz w:val="24"/>
          <w:szCs w:val="24"/>
          <w:lang w:val="en-NZ" w:eastAsia="ja-JP"/>
        </w:rPr>
        <w:t>36</w:t>
      </w:r>
      <w:r>
        <w:rPr>
          <w:rFonts w:ascii="Times New Roman" w:eastAsia="MS Mincho" w:hAnsi="Times New Roman" w:cs="Calibri"/>
          <w:sz w:val="24"/>
          <w:szCs w:val="24"/>
          <w:lang w:val="en-NZ" w:eastAsia="ja-JP"/>
        </w:rPr>
        <w:t xml:space="preserve"> No. 4</w:t>
      </w:r>
      <w:r w:rsidRPr="00421AC7">
        <w:rPr>
          <w:rFonts w:ascii="Times New Roman" w:eastAsia="MS Mincho" w:hAnsi="Times New Roman" w:cs="Calibri"/>
          <w:sz w:val="24"/>
          <w:szCs w:val="24"/>
          <w:lang w:val="en-NZ" w:eastAsia="ja-JP"/>
        </w:rPr>
        <w:t xml:space="preserve">, </w:t>
      </w:r>
      <w:r>
        <w:rPr>
          <w:rFonts w:ascii="Times New Roman" w:eastAsia="MS Mincho" w:hAnsi="Times New Roman" w:cs="Calibri"/>
          <w:sz w:val="24"/>
          <w:szCs w:val="24"/>
          <w:lang w:val="en-NZ" w:eastAsia="ja-JP"/>
        </w:rPr>
        <w:t xml:space="preserve">pp. </w:t>
      </w:r>
      <w:r w:rsidRPr="00421AC7">
        <w:rPr>
          <w:rFonts w:ascii="Times New Roman" w:eastAsia="MS Mincho" w:hAnsi="Times New Roman" w:cs="Calibri"/>
          <w:sz w:val="24"/>
          <w:szCs w:val="24"/>
          <w:lang w:val="en-NZ" w:eastAsia="ja-JP"/>
        </w:rPr>
        <w:t>330</w:t>
      </w:r>
      <w:r w:rsidRPr="00421AC7">
        <w:rPr>
          <w:rFonts w:ascii="Times New Roman" w:eastAsia="MS Mincho" w:hAnsi="Times New Roman" w:cs="Times New Roman"/>
          <w:sz w:val="24"/>
          <w:szCs w:val="24"/>
          <w:lang w:val="en-NZ" w:eastAsia="ja-JP"/>
        </w:rPr>
        <w:t>-</w:t>
      </w:r>
      <w:r w:rsidRPr="00421AC7">
        <w:rPr>
          <w:rFonts w:ascii="Times New Roman" w:eastAsia="MS Mincho" w:hAnsi="Times New Roman" w:cs="Calibri"/>
          <w:sz w:val="24"/>
          <w:szCs w:val="24"/>
          <w:lang w:val="en-NZ" w:eastAsia="ja-JP"/>
        </w:rPr>
        <w:t>338.</w:t>
      </w:r>
    </w:p>
    <w:p w14:paraId="303BA01A" w14:textId="7672E339" w:rsidR="00EC2ECC" w:rsidRPr="00421AC7" w:rsidRDefault="00503E2F" w:rsidP="00EC2ECC">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Ferguson, A.</w:t>
      </w:r>
      <w:r>
        <w:rPr>
          <w:rFonts w:ascii="Times New Roman" w:eastAsia="MS Mincho" w:hAnsi="Times New Roman" w:cs="Times New Roman"/>
          <w:sz w:val="24"/>
          <w:szCs w:val="24"/>
          <w:lang w:val="en-NZ" w:eastAsia="ja-JP"/>
        </w:rPr>
        <w:t xml:space="preserve"> and</w:t>
      </w:r>
      <w:r w:rsidRPr="00421AC7">
        <w:rPr>
          <w:rFonts w:ascii="Times New Roman" w:eastAsia="MS Mincho" w:hAnsi="Times New Roman" w:cs="Times New Roman"/>
          <w:sz w:val="24"/>
          <w:szCs w:val="24"/>
          <w:lang w:val="en-NZ" w:eastAsia="ja-JP"/>
        </w:rPr>
        <w:t xml:space="preserve"> Scott, </w:t>
      </w:r>
      <w:r>
        <w:rPr>
          <w:rFonts w:ascii="Times New Roman" w:eastAsia="MS Mincho" w:hAnsi="Times New Roman" w:cs="Times New Roman"/>
          <w:sz w:val="24"/>
          <w:szCs w:val="24"/>
          <w:lang w:val="en-NZ" w:eastAsia="ja-JP"/>
        </w:rPr>
        <w:t>T. (</w:t>
      </w:r>
      <w:r w:rsidR="00EC2ECC" w:rsidRPr="00421AC7">
        <w:rPr>
          <w:rFonts w:ascii="Times New Roman" w:eastAsia="MS Mincho" w:hAnsi="Times New Roman" w:cs="Times New Roman"/>
          <w:sz w:val="24"/>
          <w:szCs w:val="24"/>
          <w:lang w:val="en-NZ" w:eastAsia="ja-JP"/>
        </w:rPr>
        <w:t>201</w:t>
      </w:r>
      <w:r w:rsidR="00EC2ECC">
        <w:rPr>
          <w:rFonts w:ascii="Times New Roman" w:eastAsia="MS Mincho" w:hAnsi="Times New Roman" w:cs="Times New Roman"/>
          <w:sz w:val="24"/>
          <w:szCs w:val="24"/>
          <w:lang w:val="en-NZ" w:eastAsia="ja-JP"/>
        </w:rPr>
        <w:t>4</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00EC2ECC" w:rsidRPr="00EC2ECC">
        <w:rPr>
          <w:rFonts w:ascii="Times New Roman" w:eastAsia="MS Mincho" w:hAnsi="Times New Roman" w:cs="Times New Roman"/>
          <w:sz w:val="24"/>
          <w:szCs w:val="24"/>
          <w:lang w:val="en-NZ" w:eastAsia="ja-JP"/>
        </w:rPr>
        <w:t>The determina</w:t>
      </w:r>
      <w:r w:rsidR="00DB7A74">
        <w:rPr>
          <w:rFonts w:ascii="Times New Roman" w:eastAsia="MS Mincho" w:hAnsi="Times New Roman" w:cs="Times New Roman"/>
          <w:sz w:val="24"/>
          <w:szCs w:val="24"/>
          <w:lang w:val="en-NZ" w:eastAsia="ja-JP"/>
        </w:rPr>
        <w:t>nts and market reaction to Open</w:t>
      </w:r>
      <w:r w:rsidR="00DB7A74">
        <w:rPr>
          <w:rFonts w:ascii="Times New Roman" w:eastAsia="MS Mincho" w:hAnsi="Times New Roman" w:cs="Times New Roman"/>
          <w:sz w:val="24"/>
          <w:szCs w:val="24"/>
          <w:lang w:val="en-NZ" w:eastAsia="ja-JP"/>
        </w:rPr>
        <w:tab/>
      </w:r>
      <w:r w:rsidR="00EC2ECC" w:rsidRPr="00EC2ECC">
        <w:rPr>
          <w:rFonts w:ascii="Times New Roman" w:eastAsia="MS Mincho" w:hAnsi="Times New Roman" w:cs="Times New Roman"/>
          <w:sz w:val="24"/>
          <w:szCs w:val="24"/>
          <w:lang w:val="en-NZ" w:eastAsia="ja-JP"/>
        </w:rPr>
        <w:t>Briefings: an investor relations option and e</w:t>
      </w:r>
      <w:r w:rsidR="00441A88">
        <w:rPr>
          <w:rFonts w:ascii="Times New Roman" w:eastAsia="MS Mincho" w:hAnsi="Times New Roman" w:cs="Times New Roman"/>
          <w:sz w:val="24"/>
          <w:szCs w:val="24"/>
          <w:lang w:val="en-NZ" w:eastAsia="ja-JP"/>
        </w:rPr>
        <w:t>vidence on the effectiveness of</w:t>
      </w:r>
      <w:r w:rsidR="00441A88">
        <w:rPr>
          <w:rFonts w:ascii="Times New Roman" w:eastAsia="MS Mincho" w:hAnsi="Times New Roman" w:cs="Times New Roman"/>
          <w:sz w:val="24"/>
          <w:szCs w:val="24"/>
          <w:lang w:val="en-NZ" w:eastAsia="ja-JP"/>
        </w:rPr>
        <w:tab/>
      </w:r>
      <w:r w:rsidR="00EC2ECC" w:rsidRPr="00EC2ECC">
        <w:rPr>
          <w:rFonts w:ascii="Times New Roman" w:eastAsia="MS Mincho" w:hAnsi="Times New Roman" w:cs="Times New Roman"/>
          <w:sz w:val="24"/>
          <w:szCs w:val="24"/>
          <w:lang w:val="en-NZ" w:eastAsia="ja-JP"/>
        </w:rPr>
        <w:t>disclosure</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00EC2ECC">
        <w:rPr>
          <w:rFonts w:ascii="Times New Roman" w:eastAsia="MS Mincho" w:hAnsi="Times New Roman" w:cs="Times New Roman"/>
          <w:i/>
          <w:sz w:val="24"/>
          <w:szCs w:val="24"/>
          <w:lang w:val="en-NZ" w:eastAsia="ja-JP"/>
        </w:rPr>
        <w:t>Accounting and Finance (forthcoming).</w:t>
      </w:r>
    </w:p>
    <w:p w14:paraId="2EEC5B21" w14:textId="30DD75A5" w:rsidR="008E094B" w:rsidRDefault="00503E2F" w:rsidP="00503E2F">
      <w:pPr>
        <w:autoSpaceDE w:val="0"/>
        <w:autoSpaceDN w:val="0"/>
        <w:adjustRightInd w:val="0"/>
        <w:spacing w:after="0" w:line="240" w:lineRule="auto"/>
        <w:rPr>
          <w:rFonts w:ascii="Times New Roman" w:hAnsi="Times New Roman" w:cs="Times New Roman"/>
          <w:sz w:val="24"/>
          <w:szCs w:val="24"/>
        </w:rPr>
      </w:pPr>
      <w:r w:rsidRPr="00475812">
        <w:rPr>
          <w:rFonts w:ascii="Times New Roman" w:hAnsi="Times New Roman" w:cs="Times New Roman"/>
          <w:sz w:val="24"/>
          <w:szCs w:val="24"/>
        </w:rPr>
        <w:t>Foster, G. (1979), “</w:t>
      </w:r>
      <w:proofErr w:type="spellStart"/>
      <w:r w:rsidRPr="00475812">
        <w:rPr>
          <w:rFonts w:ascii="Times New Roman" w:hAnsi="Times New Roman" w:cs="Times New Roman"/>
          <w:sz w:val="24"/>
          <w:szCs w:val="24"/>
        </w:rPr>
        <w:t>Briloff</w:t>
      </w:r>
      <w:proofErr w:type="spellEnd"/>
      <w:r w:rsidRPr="00475812">
        <w:rPr>
          <w:rFonts w:ascii="Times New Roman" w:hAnsi="Times New Roman" w:cs="Times New Roman"/>
          <w:sz w:val="24"/>
          <w:szCs w:val="24"/>
        </w:rPr>
        <w:t xml:space="preserve"> and the capital market”, </w:t>
      </w:r>
      <w:r w:rsidRPr="00475812">
        <w:rPr>
          <w:rFonts w:ascii="Times New Roman" w:hAnsi="Times New Roman" w:cs="Times New Roman"/>
          <w:i/>
          <w:iCs/>
          <w:sz w:val="24"/>
          <w:szCs w:val="24"/>
        </w:rPr>
        <w:t>Journal of Accounting Research</w:t>
      </w:r>
      <w:r w:rsidRPr="00475812">
        <w:rPr>
          <w:rFonts w:ascii="Times New Roman" w:hAnsi="Times New Roman" w:cs="Times New Roman"/>
          <w:iCs/>
          <w:sz w:val="24"/>
          <w:szCs w:val="24"/>
        </w:rPr>
        <w:t>, Vol.</w:t>
      </w:r>
      <w:r w:rsidRPr="00475812">
        <w:rPr>
          <w:rFonts w:ascii="Times New Roman" w:hAnsi="Times New Roman" w:cs="Times New Roman"/>
          <w:sz w:val="24"/>
          <w:szCs w:val="24"/>
        </w:rPr>
        <w:t xml:space="preserve"> 17</w:t>
      </w:r>
      <w:r w:rsidRPr="00475812">
        <w:rPr>
          <w:rFonts w:ascii="Times New Roman" w:hAnsi="Times New Roman" w:cs="Times New Roman"/>
          <w:sz w:val="24"/>
          <w:szCs w:val="24"/>
        </w:rPr>
        <w:tab/>
        <w:t>No. 4, pp. 262-274.</w:t>
      </w:r>
    </w:p>
    <w:p w14:paraId="4C93F636" w14:textId="3AF71648" w:rsidR="008E094B" w:rsidRPr="008E094B" w:rsidRDefault="008E094B" w:rsidP="00503E2F">
      <w:pPr>
        <w:autoSpaceDE w:val="0"/>
        <w:autoSpaceDN w:val="0"/>
        <w:adjustRightInd w:val="0"/>
        <w:spacing w:after="0" w:line="240" w:lineRule="auto"/>
        <w:rPr>
          <w:rFonts w:ascii="Times New Roman" w:eastAsia="AdvTimes" w:hAnsi="Times New Roman" w:cs="Times New Roman"/>
          <w:sz w:val="24"/>
          <w:szCs w:val="24"/>
        </w:rPr>
      </w:pPr>
      <w:r w:rsidRPr="00475812">
        <w:rPr>
          <w:rFonts w:ascii="Times New Roman" w:eastAsia="AdvTimes" w:hAnsi="Times New Roman" w:cs="Times New Roman"/>
          <w:sz w:val="24"/>
          <w:szCs w:val="24"/>
        </w:rPr>
        <w:t>Francis, J., Nanda, D. and Olsson, P. (2008), “Voluntary disclosure, earnings quality, and</w:t>
      </w:r>
      <w:r w:rsidRPr="00475812">
        <w:rPr>
          <w:rFonts w:ascii="Times New Roman" w:eastAsia="AdvTimes" w:hAnsi="Times New Roman" w:cs="Times New Roman"/>
          <w:sz w:val="24"/>
          <w:szCs w:val="24"/>
        </w:rPr>
        <w:tab/>
        <w:t>cost of</w:t>
      </w:r>
      <w:r w:rsidRPr="00475812">
        <w:rPr>
          <w:rFonts w:ascii="Times New Roman" w:eastAsia="AdvTimes" w:hAnsi="Times New Roman" w:cs="Times New Roman"/>
          <w:sz w:val="24"/>
          <w:szCs w:val="24"/>
        </w:rPr>
        <w:tab/>
        <w:t xml:space="preserve">capital”, </w:t>
      </w:r>
      <w:r w:rsidRPr="00475812">
        <w:rPr>
          <w:rFonts w:ascii="Times New Roman" w:eastAsia="AdvTimes" w:hAnsi="Times New Roman" w:cs="Times New Roman"/>
          <w:i/>
          <w:sz w:val="24"/>
          <w:szCs w:val="24"/>
        </w:rPr>
        <w:t>Journal of Accounting Research</w:t>
      </w:r>
      <w:r w:rsidRPr="00475812">
        <w:rPr>
          <w:rFonts w:ascii="Times New Roman" w:eastAsia="AdvTimes" w:hAnsi="Times New Roman" w:cs="Times New Roman"/>
          <w:sz w:val="24"/>
          <w:szCs w:val="24"/>
        </w:rPr>
        <w:t>, Vol. 46 No. 1, pp. 53-99.</w:t>
      </w:r>
    </w:p>
    <w:p w14:paraId="71EC2946" w14:textId="46707D77" w:rsidR="002408B5" w:rsidRDefault="002408B5" w:rsidP="00503E2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Green </w:t>
      </w:r>
      <w:r w:rsidR="00803F59">
        <w:rPr>
          <w:rFonts w:ascii="Times New Roman" w:hAnsi="Times New Roman" w:cs="Times New Roman"/>
          <w:sz w:val="24"/>
          <w:szCs w:val="24"/>
        </w:rPr>
        <w:t>,</w:t>
      </w:r>
      <w:proofErr w:type="gramEnd"/>
      <w:r w:rsidR="00803F59">
        <w:rPr>
          <w:rFonts w:ascii="Times New Roman" w:hAnsi="Times New Roman" w:cs="Times New Roman"/>
          <w:sz w:val="24"/>
          <w:szCs w:val="24"/>
        </w:rPr>
        <w:t xml:space="preserve"> T., </w:t>
      </w:r>
      <w:proofErr w:type="spellStart"/>
      <w:r w:rsidR="00803F59">
        <w:rPr>
          <w:rFonts w:ascii="Times New Roman" w:hAnsi="Times New Roman" w:cs="Times New Roman"/>
          <w:sz w:val="24"/>
          <w:szCs w:val="24"/>
        </w:rPr>
        <w:t>Jame</w:t>
      </w:r>
      <w:proofErr w:type="spellEnd"/>
      <w:r w:rsidR="00803F59">
        <w:rPr>
          <w:rFonts w:ascii="Times New Roman" w:hAnsi="Times New Roman" w:cs="Times New Roman"/>
          <w:sz w:val="24"/>
          <w:szCs w:val="24"/>
        </w:rPr>
        <w:t xml:space="preserve">, B., Markov, S. and </w:t>
      </w:r>
      <w:proofErr w:type="spellStart"/>
      <w:r w:rsidR="00803F59">
        <w:rPr>
          <w:rFonts w:ascii="Times New Roman" w:hAnsi="Times New Roman" w:cs="Times New Roman"/>
          <w:sz w:val="24"/>
          <w:szCs w:val="24"/>
        </w:rPr>
        <w:t>Subasi</w:t>
      </w:r>
      <w:proofErr w:type="spellEnd"/>
      <w:r w:rsidR="00803F59">
        <w:rPr>
          <w:rFonts w:ascii="Times New Roman" w:hAnsi="Times New Roman" w:cs="Times New Roman"/>
          <w:sz w:val="24"/>
          <w:szCs w:val="24"/>
        </w:rPr>
        <w:t>, M. (2014), “</w:t>
      </w:r>
      <w:r w:rsidR="00803F59" w:rsidRPr="00803F59">
        <w:rPr>
          <w:rFonts w:ascii="Times New Roman" w:hAnsi="Times New Roman" w:cs="Times New Roman"/>
          <w:sz w:val="24"/>
          <w:szCs w:val="24"/>
        </w:rPr>
        <w:t>Bro</w:t>
      </w:r>
      <w:r w:rsidR="00803F59">
        <w:rPr>
          <w:rFonts w:ascii="Times New Roman" w:hAnsi="Times New Roman" w:cs="Times New Roman"/>
          <w:sz w:val="24"/>
          <w:szCs w:val="24"/>
        </w:rPr>
        <w:t>ker-hosted investor</w:t>
      </w:r>
      <w:r w:rsidR="00803F59">
        <w:rPr>
          <w:rFonts w:ascii="Times New Roman" w:hAnsi="Times New Roman" w:cs="Times New Roman"/>
          <w:sz w:val="24"/>
          <w:szCs w:val="24"/>
        </w:rPr>
        <w:tab/>
        <w:t xml:space="preserve">conferences”, </w:t>
      </w:r>
      <w:r w:rsidR="00803F59" w:rsidRPr="00803F59">
        <w:rPr>
          <w:rFonts w:ascii="Times New Roman" w:hAnsi="Times New Roman" w:cs="Times New Roman"/>
          <w:i/>
          <w:sz w:val="24"/>
          <w:szCs w:val="24"/>
        </w:rPr>
        <w:t>Journal of Accounting and Economics</w:t>
      </w:r>
      <w:r w:rsidR="00803F59">
        <w:rPr>
          <w:rFonts w:ascii="Times New Roman" w:hAnsi="Times New Roman" w:cs="Times New Roman"/>
          <w:sz w:val="24"/>
          <w:szCs w:val="24"/>
        </w:rPr>
        <w:t xml:space="preserve">, </w:t>
      </w:r>
      <w:r w:rsidR="00803F59" w:rsidRPr="00803F59">
        <w:rPr>
          <w:rFonts w:ascii="Times New Roman" w:hAnsi="Times New Roman" w:cs="Times New Roman"/>
          <w:sz w:val="24"/>
          <w:szCs w:val="24"/>
        </w:rPr>
        <w:t>Vol</w:t>
      </w:r>
      <w:r w:rsidR="00803F59">
        <w:rPr>
          <w:rFonts w:ascii="Times New Roman" w:hAnsi="Times New Roman" w:cs="Times New Roman"/>
          <w:sz w:val="24"/>
          <w:szCs w:val="24"/>
        </w:rPr>
        <w:t>.</w:t>
      </w:r>
      <w:r w:rsidR="00803F59" w:rsidRPr="00803F59">
        <w:rPr>
          <w:rFonts w:ascii="Times New Roman" w:hAnsi="Times New Roman" w:cs="Times New Roman"/>
          <w:sz w:val="24"/>
          <w:szCs w:val="24"/>
        </w:rPr>
        <w:t xml:space="preserve"> 58, </w:t>
      </w:r>
      <w:r w:rsidR="00803F59">
        <w:rPr>
          <w:rFonts w:ascii="Times New Roman" w:hAnsi="Times New Roman" w:cs="Times New Roman"/>
          <w:sz w:val="24"/>
          <w:szCs w:val="24"/>
        </w:rPr>
        <w:t>No.</w:t>
      </w:r>
      <w:r w:rsidR="00803F59" w:rsidRPr="00803F59">
        <w:rPr>
          <w:rFonts w:ascii="Times New Roman" w:hAnsi="Times New Roman" w:cs="Times New Roman"/>
          <w:sz w:val="24"/>
          <w:szCs w:val="24"/>
        </w:rPr>
        <w:t xml:space="preserve"> 1, </w:t>
      </w:r>
      <w:r w:rsidR="00803F59">
        <w:rPr>
          <w:rFonts w:ascii="Times New Roman" w:hAnsi="Times New Roman" w:cs="Times New Roman"/>
          <w:sz w:val="24"/>
          <w:szCs w:val="24"/>
        </w:rPr>
        <w:t>pp.</w:t>
      </w:r>
      <w:r w:rsidR="00803F59" w:rsidRPr="00803F59">
        <w:rPr>
          <w:rFonts w:ascii="Times New Roman" w:hAnsi="Times New Roman" w:cs="Times New Roman"/>
          <w:sz w:val="24"/>
          <w:szCs w:val="24"/>
        </w:rPr>
        <w:t xml:space="preserve"> 142</w:t>
      </w:r>
      <w:r w:rsidR="00803F59" w:rsidRPr="00475812">
        <w:rPr>
          <w:rFonts w:ascii="Times New Roman" w:hAnsi="Times New Roman" w:cs="Times New Roman"/>
          <w:sz w:val="24"/>
          <w:szCs w:val="24"/>
        </w:rPr>
        <w:t>-</w:t>
      </w:r>
      <w:r w:rsidR="00803F59" w:rsidRPr="00803F59">
        <w:rPr>
          <w:rFonts w:ascii="Times New Roman" w:hAnsi="Times New Roman" w:cs="Times New Roman"/>
          <w:sz w:val="24"/>
          <w:szCs w:val="24"/>
        </w:rPr>
        <w:t>166</w:t>
      </w:r>
      <w:r w:rsidR="00803F59">
        <w:rPr>
          <w:rFonts w:ascii="Times New Roman" w:hAnsi="Times New Roman" w:cs="Times New Roman"/>
          <w:sz w:val="24"/>
          <w:szCs w:val="24"/>
        </w:rPr>
        <w:t>.</w:t>
      </w:r>
    </w:p>
    <w:p w14:paraId="78A3E6E6" w14:textId="6AEBC4DC" w:rsidR="00503E2F" w:rsidRPr="00B81FF9" w:rsidRDefault="00503E2F" w:rsidP="00503E2F">
      <w:pPr>
        <w:spacing w:after="0" w:line="240" w:lineRule="auto"/>
        <w:rPr>
          <w:rFonts w:ascii="Times New Roman" w:hAnsi="Times New Roman" w:cs="Times New Roman"/>
          <w:sz w:val="24"/>
          <w:szCs w:val="24"/>
        </w:rPr>
      </w:pPr>
      <w:r w:rsidRPr="005E3DE3">
        <w:rPr>
          <w:rFonts w:ascii="Times New Roman" w:hAnsi="Times New Roman" w:cs="Times New Roman"/>
          <w:sz w:val="24"/>
          <w:szCs w:val="24"/>
        </w:rPr>
        <w:t xml:space="preserve">Hollander, S., </w:t>
      </w:r>
      <w:proofErr w:type="spellStart"/>
      <w:r w:rsidRPr="005E3DE3">
        <w:rPr>
          <w:rFonts w:ascii="Times New Roman" w:hAnsi="Times New Roman" w:cs="Times New Roman"/>
          <w:sz w:val="24"/>
          <w:szCs w:val="24"/>
        </w:rPr>
        <w:t>Pronk</w:t>
      </w:r>
      <w:proofErr w:type="spellEnd"/>
      <w:r w:rsidRPr="005E3DE3">
        <w:rPr>
          <w:rFonts w:ascii="Times New Roman" w:hAnsi="Times New Roman" w:cs="Times New Roman"/>
          <w:sz w:val="24"/>
          <w:szCs w:val="24"/>
        </w:rPr>
        <w:t xml:space="preserve">, M. and </w:t>
      </w:r>
      <w:proofErr w:type="spellStart"/>
      <w:r w:rsidRPr="005E3DE3">
        <w:rPr>
          <w:rFonts w:ascii="Times New Roman" w:hAnsi="Times New Roman" w:cs="Times New Roman"/>
          <w:sz w:val="24"/>
          <w:szCs w:val="24"/>
        </w:rPr>
        <w:t>Roelofsen</w:t>
      </w:r>
      <w:proofErr w:type="spellEnd"/>
      <w:r w:rsidRPr="005E3DE3">
        <w:rPr>
          <w:rFonts w:ascii="Times New Roman" w:hAnsi="Times New Roman" w:cs="Times New Roman"/>
          <w:sz w:val="24"/>
          <w:szCs w:val="24"/>
        </w:rPr>
        <w:t xml:space="preserve">, E. </w:t>
      </w:r>
      <w:r>
        <w:rPr>
          <w:rFonts w:ascii="Times New Roman" w:hAnsi="Times New Roman" w:cs="Times New Roman"/>
          <w:sz w:val="24"/>
          <w:szCs w:val="24"/>
        </w:rPr>
        <w:t>(</w:t>
      </w:r>
      <w:r w:rsidRPr="005E3DE3">
        <w:rPr>
          <w:rFonts w:ascii="Times New Roman" w:hAnsi="Times New Roman" w:cs="Times New Roman"/>
          <w:sz w:val="24"/>
          <w:szCs w:val="24"/>
        </w:rPr>
        <w:t>20</w:t>
      </w:r>
      <w:r>
        <w:rPr>
          <w:rFonts w:ascii="Times New Roman" w:hAnsi="Times New Roman" w:cs="Times New Roman"/>
          <w:sz w:val="24"/>
          <w:szCs w:val="24"/>
        </w:rPr>
        <w:t>10),</w:t>
      </w:r>
      <w:r w:rsidRPr="005E3DE3">
        <w:rPr>
          <w:rFonts w:ascii="Times New Roman" w:hAnsi="Times New Roman" w:cs="Times New Roman"/>
          <w:sz w:val="24"/>
          <w:szCs w:val="24"/>
        </w:rPr>
        <w:t xml:space="preserve"> </w:t>
      </w:r>
      <w:r>
        <w:rPr>
          <w:rFonts w:ascii="Times New Roman" w:hAnsi="Times New Roman" w:cs="Times New Roman"/>
          <w:sz w:val="24"/>
          <w:szCs w:val="24"/>
        </w:rPr>
        <w:t>“</w:t>
      </w:r>
      <w:r w:rsidRPr="005E3DE3">
        <w:rPr>
          <w:rFonts w:ascii="Times New Roman" w:hAnsi="Times New Roman" w:cs="Times New Roman"/>
          <w:sz w:val="24"/>
          <w:szCs w:val="24"/>
        </w:rPr>
        <w:t xml:space="preserve">Does </w:t>
      </w:r>
      <w:r>
        <w:rPr>
          <w:rFonts w:ascii="Times New Roman" w:hAnsi="Times New Roman" w:cs="Times New Roman"/>
          <w:sz w:val="24"/>
          <w:szCs w:val="24"/>
        </w:rPr>
        <w:t>s</w:t>
      </w:r>
      <w:r w:rsidRPr="005E3DE3">
        <w:rPr>
          <w:rFonts w:ascii="Times New Roman" w:hAnsi="Times New Roman" w:cs="Times New Roman"/>
          <w:sz w:val="24"/>
          <w:szCs w:val="24"/>
        </w:rPr>
        <w:t xml:space="preserve">ilence </w:t>
      </w:r>
      <w:r>
        <w:rPr>
          <w:rFonts w:ascii="Times New Roman" w:hAnsi="Times New Roman" w:cs="Times New Roman"/>
          <w:sz w:val="24"/>
          <w:szCs w:val="24"/>
        </w:rPr>
        <w:t>s</w:t>
      </w:r>
      <w:r w:rsidRPr="005E3DE3">
        <w:rPr>
          <w:rFonts w:ascii="Times New Roman" w:hAnsi="Times New Roman" w:cs="Times New Roman"/>
          <w:sz w:val="24"/>
          <w:szCs w:val="24"/>
        </w:rPr>
        <w:t xml:space="preserve">peak? An </w:t>
      </w:r>
      <w:r>
        <w:rPr>
          <w:rFonts w:ascii="Times New Roman" w:hAnsi="Times New Roman" w:cs="Times New Roman"/>
          <w:sz w:val="24"/>
          <w:szCs w:val="24"/>
        </w:rPr>
        <w:t>e</w:t>
      </w:r>
      <w:r w:rsidRPr="005E3DE3">
        <w:rPr>
          <w:rFonts w:ascii="Times New Roman" w:hAnsi="Times New Roman" w:cs="Times New Roman"/>
          <w:sz w:val="24"/>
          <w:szCs w:val="24"/>
        </w:rPr>
        <w:t xml:space="preserve">mpirical </w:t>
      </w:r>
      <w:r>
        <w:rPr>
          <w:rFonts w:ascii="Times New Roman" w:hAnsi="Times New Roman" w:cs="Times New Roman"/>
          <w:sz w:val="24"/>
          <w:szCs w:val="24"/>
        </w:rPr>
        <w:tab/>
        <w:t>a</w:t>
      </w:r>
      <w:r w:rsidRPr="005E3DE3">
        <w:rPr>
          <w:rFonts w:ascii="Times New Roman" w:hAnsi="Times New Roman" w:cs="Times New Roman"/>
          <w:sz w:val="24"/>
          <w:szCs w:val="24"/>
        </w:rPr>
        <w:t xml:space="preserve">nalysis of </w:t>
      </w:r>
      <w:r>
        <w:rPr>
          <w:rFonts w:ascii="Times New Roman" w:hAnsi="Times New Roman" w:cs="Times New Roman"/>
          <w:sz w:val="24"/>
          <w:szCs w:val="24"/>
        </w:rPr>
        <w:t>d</w:t>
      </w:r>
      <w:r w:rsidRPr="005E3DE3">
        <w:rPr>
          <w:rFonts w:ascii="Times New Roman" w:hAnsi="Times New Roman" w:cs="Times New Roman"/>
          <w:sz w:val="24"/>
          <w:szCs w:val="24"/>
        </w:rPr>
        <w:t xml:space="preserve">isclosure </w:t>
      </w:r>
      <w:r>
        <w:rPr>
          <w:rFonts w:ascii="Times New Roman" w:hAnsi="Times New Roman" w:cs="Times New Roman"/>
          <w:sz w:val="24"/>
          <w:szCs w:val="24"/>
        </w:rPr>
        <w:t>ch</w:t>
      </w:r>
      <w:r w:rsidRPr="005E3DE3">
        <w:rPr>
          <w:rFonts w:ascii="Times New Roman" w:hAnsi="Times New Roman" w:cs="Times New Roman"/>
          <w:sz w:val="24"/>
          <w:szCs w:val="24"/>
        </w:rPr>
        <w:t xml:space="preserve">oices during </w:t>
      </w:r>
      <w:r>
        <w:rPr>
          <w:rFonts w:ascii="Times New Roman" w:hAnsi="Times New Roman" w:cs="Times New Roman"/>
          <w:sz w:val="24"/>
          <w:szCs w:val="24"/>
        </w:rPr>
        <w:t>c</w:t>
      </w:r>
      <w:r w:rsidRPr="005E3DE3">
        <w:rPr>
          <w:rFonts w:ascii="Times New Roman" w:hAnsi="Times New Roman" w:cs="Times New Roman"/>
          <w:sz w:val="24"/>
          <w:szCs w:val="24"/>
        </w:rPr>
        <w:t xml:space="preserve">onference </w:t>
      </w:r>
      <w:r>
        <w:rPr>
          <w:rFonts w:ascii="Times New Roman" w:hAnsi="Times New Roman" w:cs="Times New Roman"/>
          <w:sz w:val="24"/>
          <w:szCs w:val="24"/>
        </w:rPr>
        <w:t>c</w:t>
      </w:r>
      <w:r w:rsidRPr="005E3DE3">
        <w:rPr>
          <w:rFonts w:ascii="Times New Roman" w:hAnsi="Times New Roman" w:cs="Times New Roman"/>
          <w:sz w:val="24"/>
          <w:szCs w:val="24"/>
        </w:rPr>
        <w:t>alls</w:t>
      </w:r>
      <w:r>
        <w:rPr>
          <w:rFonts w:ascii="Times New Roman" w:hAnsi="Times New Roman" w:cs="Times New Roman"/>
          <w:sz w:val="24"/>
          <w:szCs w:val="24"/>
        </w:rPr>
        <w:t>”,</w:t>
      </w:r>
      <w:r w:rsidRPr="005E3DE3">
        <w:rPr>
          <w:rFonts w:ascii="Times New Roman" w:hAnsi="Times New Roman" w:cs="Times New Roman"/>
          <w:sz w:val="24"/>
          <w:szCs w:val="24"/>
        </w:rPr>
        <w:t xml:space="preserve"> </w:t>
      </w:r>
      <w:r>
        <w:rPr>
          <w:rFonts w:ascii="Times New Roman" w:hAnsi="Times New Roman" w:cs="Times New Roman"/>
          <w:i/>
          <w:sz w:val="24"/>
          <w:szCs w:val="24"/>
        </w:rPr>
        <w:t>Journal of Accounting</w:t>
      </w:r>
      <w:r>
        <w:rPr>
          <w:rFonts w:ascii="Times New Roman" w:hAnsi="Times New Roman" w:cs="Times New Roman"/>
          <w:i/>
          <w:sz w:val="24"/>
          <w:szCs w:val="24"/>
        </w:rPr>
        <w:tab/>
      </w:r>
      <w:r w:rsidRPr="007029A6">
        <w:rPr>
          <w:rFonts w:ascii="Times New Roman" w:hAnsi="Times New Roman" w:cs="Times New Roman"/>
          <w:i/>
          <w:sz w:val="24"/>
          <w:szCs w:val="24"/>
        </w:rPr>
        <w:t>Research</w:t>
      </w:r>
      <w:r>
        <w:rPr>
          <w:rFonts w:ascii="Times New Roman" w:hAnsi="Times New Roman" w:cs="Times New Roman"/>
          <w:sz w:val="24"/>
          <w:szCs w:val="24"/>
        </w:rPr>
        <w:t>, Vol. 48 No. 3, pp. 531-563.</w:t>
      </w:r>
    </w:p>
    <w:p w14:paraId="5B44CD26" w14:textId="77777777" w:rsidR="00503E2F" w:rsidRDefault="00503E2F" w:rsidP="00503E2F">
      <w:pPr>
        <w:spacing w:after="0"/>
        <w:rPr>
          <w:rFonts w:ascii="Times New Roman" w:hAnsi="Times New Roman" w:cs="Times New Roman"/>
          <w:sz w:val="24"/>
          <w:szCs w:val="24"/>
        </w:rPr>
      </w:pPr>
      <w:r w:rsidRPr="00475812">
        <w:rPr>
          <w:rFonts w:ascii="Times New Roman" w:hAnsi="Times New Roman" w:cs="Times New Roman"/>
          <w:sz w:val="24"/>
          <w:szCs w:val="24"/>
        </w:rPr>
        <w:t xml:space="preserve">Jorgensen, B. and </w:t>
      </w:r>
      <w:proofErr w:type="spellStart"/>
      <w:r w:rsidRPr="00475812">
        <w:rPr>
          <w:rFonts w:ascii="Times New Roman" w:hAnsi="Times New Roman" w:cs="Times New Roman"/>
          <w:sz w:val="24"/>
          <w:szCs w:val="24"/>
        </w:rPr>
        <w:t>Kirschenheiter</w:t>
      </w:r>
      <w:proofErr w:type="spellEnd"/>
      <w:r w:rsidRPr="00475812">
        <w:rPr>
          <w:rFonts w:ascii="Times New Roman" w:hAnsi="Times New Roman" w:cs="Times New Roman"/>
          <w:sz w:val="24"/>
          <w:szCs w:val="24"/>
        </w:rPr>
        <w:t xml:space="preserve">, M. (2003), “Discretionary risk disclosures”, </w:t>
      </w:r>
      <w:r w:rsidRPr="00475812">
        <w:rPr>
          <w:rFonts w:ascii="Times New Roman" w:hAnsi="Times New Roman" w:cs="Times New Roman"/>
          <w:i/>
          <w:sz w:val="24"/>
          <w:szCs w:val="24"/>
        </w:rPr>
        <w:t>The</w:t>
      </w:r>
      <w:r w:rsidRPr="00475812">
        <w:rPr>
          <w:rFonts w:ascii="Times New Roman" w:hAnsi="Times New Roman" w:cs="Times New Roman"/>
          <w:i/>
          <w:sz w:val="24"/>
          <w:szCs w:val="24"/>
        </w:rPr>
        <w:tab/>
        <w:t>Accounting Review</w:t>
      </w:r>
      <w:r w:rsidRPr="00475812">
        <w:rPr>
          <w:rFonts w:ascii="Times New Roman" w:hAnsi="Times New Roman" w:cs="Times New Roman"/>
          <w:sz w:val="24"/>
          <w:szCs w:val="24"/>
        </w:rPr>
        <w:t>, Vol.</w:t>
      </w:r>
      <w:r w:rsidRPr="00475812">
        <w:rPr>
          <w:rFonts w:ascii="Times New Roman" w:hAnsi="Times New Roman" w:cs="Times New Roman"/>
          <w:i/>
          <w:sz w:val="24"/>
          <w:szCs w:val="24"/>
        </w:rPr>
        <w:t xml:space="preserve"> </w:t>
      </w:r>
      <w:r w:rsidRPr="00475812">
        <w:rPr>
          <w:rFonts w:ascii="Times New Roman" w:hAnsi="Times New Roman" w:cs="Times New Roman"/>
          <w:sz w:val="24"/>
          <w:szCs w:val="24"/>
        </w:rPr>
        <w:t>78 No. 2, pp. 449-469.</w:t>
      </w:r>
    </w:p>
    <w:p w14:paraId="797F1B0B" w14:textId="77777777" w:rsidR="00503E2F" w:rsidRPr="00421AC7" w:rsidRDefault="00503E2F" w:rsidP="00503E2F">
      <w:pPr>
        <w:spacing w:after="0"/>
      </w:pPr>
      <w:r>
        <w:rPr>
          <w:rFonts w:ascii="Times New Roman" w:hAnsi="Times New Roman" w:cs="Times New Roman"/>
          <w:sz w:val="24"/>
          <w:szCs w:val="24"/>
        </w:rPr>
        <w:t>Ker, P.</w:t>
      </w:r>
      <w:r w:rsidRPr="00421AC7">
        <w:rPr>
          <w:rFonts w:ascii="Times New Roman" w:hAnsi="Times New Roman" w:cs="Times New Roman"/>
          <w:sz w:val="24"/>
          <w:szCs w:val="24"/>
        </w:rPr>
        <w:t xml:space="preserve"> </w:t>
      </w:r>
      <w:r>
        <w:rPr>
          <w:rFonts w:ascii="Times New Roman" w:hAnsi="Times New Roman" w:cs="Times New Roman"/>
          <w:sz w:val="24"/>
          <w:szCs w:val="24"/>
        </w:rPr>
        <w:t>(</w:t>
      </w:r>
      <w:r w:rsidRPr="00421AC7">
        <w:rPr>
          <w:rFonts w:ascii="Times New Roman" w:hAnsi="Times New Roman" w:cs="Times New Roman"/>
          <w:sz w:val="24"/>
          <w:szCs w:val="24"/>
        </w:rPr>
        <w:t>2013</w:t>
      </w:r>
      <w:r>
        <w:rPr>
          <w:rFonts w:ascii="Times New Roman" w:hAnsi="Times New Roman" w:cs="Times New Roman"/>
          <w:sz w:val="24"/>
          <w:szCs w:val="24"/>
        </w:rPr>
        <w:t>)</w:t>
      </w:r>
      <w:r w:rsidRPr="00421AC7">
        <w:rPr>
          <w:rFonts w:ascii="Times New Roman" w:hAnsi="Times New Roman" w:cs="Times New Roman"/>
          <w:sz w:val="24"/>
          <w:szCs w:val="24"/>
        </w:rPr>
        <w:t xml:space="preserve">, </w:t>
      </w:r>
      <w:r>
        <w:rPr>
          <w:rFonts w:ascii="Times New Roman" w:hAnsi="Times New Roman" w:cs="Times New Roman"/>
          <w:sz w:val="24"/>
          <w:szCs w:val="24"/>
        </w:rPr>
        <w:t>“</w:t>
      </w:r>
      <w:r w:rsidRPr="00421AC7">
        <w:rPr>
          <w:rFonts w:ascii="Times New Roman" w:hAnsi="Times New Roman" w:cs="Times New Roman"/>
          <w:sz w:val="24"/>
          <w:szCs w:val="24"/>
        </w:rPr>
        <w:t>Newcrest ruckus sets market watchdog growling</w:t>
      </w:r>
      <w:r>
        <w:rPr>
          <w:rFonts w:ascii="Times New Roman" w:hAnsi="Times New Roman" w:cs="Times New Roman"/>
          <w:sz w:val="24"/>
          <w:szCs w:val="24"/>
        </w:rPr>
        <w:t>”</w:t>
      </w:r>
      <w:r w:rsidRPr="00421AC7">
        <w:rPr>
          <w:rFonts w:ascii="Times New Roman" w:hAnsi="Times New Roman" w:cs="Times New Roman"/>
          <w:sz w:val="24"/>
          <w:szCs w:val="24"/>
        </w:rPr>
        <w:t xml:space="preserve">, </w:t>
      </w:r>
      <w:r w:rsidRPr="00421AC7">
        <w:rPr>
          <w:rFonts w:ascii="Times New Roman" w:hAnsi="Times New Roman" w:cs="Times New Roman"/>
          <w:i/>
          <w:sz w:val="24"/>
          <w:szCs w:val="24"/>
        </w:rPr>
        <w:t>The Age</w:t>
      </w:r>
      <w:r>
        <w:rPr>
          <w:rFonts w:ascii="Times New Roman" w:hAnsi="Times New Roman" w:cs="Times New Roman"/>
          <w:sz w:val="24"/>
          <w:szCs w:val="24"/>
        </w:rPr>
        <w:t>,</w:t>
      </w:r>
      <w:r w:rsidRPr="00421AC7">
        <w:rPr>
          <w:rFonts w:ascii="Times New Roman" w:hAnsi="Times New Roman" w:cs="Times New Roman"/>
          <w:sz w:val="24"/>
          <w:szCs w:val="24"/>
        </w:rPr>
        <w:t xml:space="preserve"> 8 July.</w:t>
      </w:r>
    </w:p>
    <w:p w14:paraId="7D55B0CE" w14:textId="77777777" w:rsidR="00503E2F"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lastRenderedPageBreak/>
        <w:t xml:space="preserve">Kirk, M.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2011</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Research for sale: Determinants and consequences of paid-for analyst</w:t>
      </w:r>
      <w:r w:rsidRPr="00421AC7">
        <w:rPr>
          <w:rFonts w:ascii="Times New Roman" w:eastAsia="MS Mincho" w:hAnsi="Times New Roman" w:cs="Times New Roman"/>
          <w:sz w:val="24"/>
          <w:szCs w:val="24"/>
          <w:lang w:val="en-NZ" w:eastAsia="ja-JP"/>
        </w:rPr>
        <w:tab/>
        <w:t>research</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Pr="00421AC7">
        <w:rPr>
          <w:rFonts w:ascii="Times New Roman" w:eastAsia="MS Mincho" w:hAnsi="Times New Roman" w:cs="Times New Roman"/>
          <w:i/>
          <w:sz w:val="24"/>
          <w:szCs w:val="24"/>
          <w:lang w:val="en-NZ" w:eastAsia="ja-JP"/>
        </w:rPr>
        <w:t>Journal of Financial Economics</w:t>
      </w:r>
      <w:r>
        <w:rPr>
          <w:rFonts w:ascii="Times New Roman" w:eastAsia="MS Mincho" w:hAnsi="Times New Roman" w:cs="Times New Roman"/>
          <w:sz w:val="24"/>
          <w:szCs w:val="24"/>
          <w:lang w:val="en-NZ" w:eastAsia="ja-JP"/>
        </w:rPr>
        <w:t>, Vol.</w:t>
      </w:r>
      <w:r w:rsidRPr="00421AC7">
        <w:rPr>
          <w:rFonts w:ascii="Times New Roman" w:eastAsia="MS Mincho" w:hAnsi="Times New Roman" w:cs="Times New Roman"/>
          <w:sz w:val="24"/>
          <w:szCs w:val="24"/>
          <w:lang w:val="en-NZ" w:eastAsia="ja-JP"/>
        </w:rPr>
        <w:t xml:space="preserve"> 100</w:t>
      </w:r>
      <w:r>
        <w:rPr>
          <w:rFonts w:ascii="Times New Roman" w:eastAsia="MS Mincho" w:hAnsi="Times New Roman" w:cs="Times New Roman"/>
          <w:sz w:val="24"/>
          <w:szCs w:val="24"/>
          <w:lang w:val="en-NZ" w:eastAsia="ja-JP"/>
        </w:rPr>
        <w:t xml:space="preserve"> No. 1</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pp. </w:t>
      </w:r>
      <w:r w:rsidRPr="00421AC7">
        <w:rPr>
          <w:rFonts w:ascii="Times New Roman" w:eastAsia="MS Mincho" w:hAnsi="Times New Roman" w:cs="Times New Roman"/>
          <w:sz w:val="24"/>
          <w:szCs w:val="24"/>
          <w:lang w:val="en-NZ" w:eastAsia="ja-JP"/>
        </w:rPr>
        <w:t>182-200.</w:t>
      </w:r>
    </w:p>
    <w:p w14:paraId="4EA39547" w14:textId="77777777" w:rsidR="00520B06" w:rsidRDefault="00803F59" w:rsidP="00503E2F">
      <w:pPr>
        <w:tabs>
          <w:tab w:val="left" w:pos="680"/>
        </w:tabs>
        <w:spacing w:after="0" w:line="240" w:lineRule="auto"/>
        <w:rPr>
          <w:rFonts w:ascii="Times New Roman" w:eastAsia="MS Mincho" w:hAnsi="Times New Roman" w:cs="Times New Roman"/>
          <w:sz w:val="24"/>
          <w:szCs w:val="24"/>
          <w:lang w:val="en-NZ" w:eastAsia="ja-JP"/>
        </w:rPr>
      </w:pPr>
      <w:r>
        <w:rPr>
          <w:rFonts w:ascii="Times New Roman" w:eastAsia="MS Mincho" w:hAnsi="Times New Roman" w:cs="Times New Roman"/>
          <w:sz w:val="24"/>
          <w:szCs w:val="24"/>
          <w:lang w:val="en-NZ" w:eastAsia="ja-JP"/>
        </w:rPr>
        <w:t>Kirk, M. and Markov, S. (2014), “</w:t>
      </w:r>
      <w:r w:rsidRPr="00803F59">
        <w:rPr>
          <w:rFonts w:ascii="Times New Roman" w:eastAsia="MS Mincho" w:hAnsi="Times New Roman" w:cs="Times New Roman"/>
          <w:sz w:val="24"/>
          <w:szCs w:val="24"/>
          <w:lang w:val="en-NZ" w:eastAsia="ja-JP"/>
        </w:rPr>
        <w:t>Come on Over: Analyst/</w:t>
      </w:r>
      <w:r>
        <w:rPr>
          <w:rFonts w:ascii="Times New Roman" w:eastAsia="MS Mincho" w:hAnsi="Times New Roman" w:cs="Times New Roman"/>
          <w:sz w:val="24"/>
          <w:szCs w:val="24"/>
          <w:lang w:val="en-NZ" w:eastAsia="ja-JP"/>
        </w:rPr>
        <w:t>investor days as a disclosure</w:t>
      </w:r>
      <w:r>
        <w:rPr>
          <w:rFonts w:ascii="Times New Roman" w:eastAsia="MS Mincho" w:hAnsi="Times New Roman" w:cs="Times New Roman"/>
          <w:sz w:val="24"/>
          <w:szCs w:val="24"/>
          <w:lang w:val="en-NZ" w:eastAsia="ja-JP"/>
        </w:rPr>
        <w:tab/>
        <w:t>m</w:t>
      </w:r>
      <w:r w:rsidRPr="00803F59">
        <w:rPr>
          <w:rFonts w:ascii="Times New Roman" w:eastAsia="MS Mincho" w:hAnsi="Times New Roman" w:cs="Times New Roman"/>
          <w:sz w:val="24"/>
          <w:szCs w:val="24"/>
          <w:lang w:val="en-NZ" w:eastAsia="ja-JP"/>
        </w:rPr>
        <w:t>edium</w:t>
      </w:r>
      <w:r w:rsidR="00520B06" w:rsidRPr="00421AC7">
        <w:rPr>
          <w:rFonts w:ascii="Times New Roman" w:eastAsia="MS Mincho" w:hAnsi="Times New Roman" w:cs="Times New Roman"/>
          <w:sz w:val="24"/>
          <w:szCs w:val="24"/>
          <w:lang w:val="en-NZ" w:eastAsia="ja-JP"/>
        </w:rPr>
        <w:t>,</w:t>
      </w:r>
      <w:r w:rsidR="00520B06">
        <w:rPr>
          <w:rFonts w:ascii="Times New Roman" w:eastAsia="MS Mincho" w:hAnsi="Times New Roman" w:cs="Times New Roman"/>
          <w:sz w:val="24"/>
          <w:szCs w:val="24"/>
          <w:lang w:val="en-NZ" w:eastAsia="ja-JP"/>
        </w:rPr>
        <w:t xml:space="preserve"> working paper</w:t>
      </w:r>
      <w:r w:rsidR="00520B06" w:rsidRPr="00421AC7">
        <w:rPr>
          <w:rFonts w:ascii="Times New Roman" w:eastAsia="MS Mincho" w:hAnsi="Times New Roman" w:cs="Times New Roman"/>
          <w:sz w:val="24"/>
          <w:szCs w:val="24"/>
          <w:lang w:val="en-NZ" w:eastAsia="ja-JP"/>
        </w:rPr>
        <w:t>.</w:t>
      </w:r>
    </w:p>
    <w:p w14:paraId="7727719F" w14:textId="74A2AAEB" w:rsidR="00503E2F"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Lang, M.</w:t>
      </w:r>
      <w:r>
        <w:rPr>
          <w:rFonts w:ascii="Times New Roman" w:eastAsia="MS Mincho" w:hAnsi="Times New Roman" w:cs="Times New Roman"/>
          <w:sz w:val="24"/>
          <w:szCs w:val="24"/>
          <w:lang w:val="en-NZ" w:eastAsia="ja-JP"/>
        </w:rPr>
        <w:t xml:space="preserve"> and </w:t>
      </w:r>
      <w:proofErr w:type="spellStart"/>
      <w:r w:rsidRPr="00421AC7">
        <w:rPr>
          <w:rFonts w:ascii="Times New Roman" w:eastAsia="MS Mincho" w:hAnsi="Times New Roman" w:cs="Times New Roman"/>
          <w:sz w:val="24"/>
          <w:szCs w:val="24"/>
          <w:lang w:val="en-NZ" w:eastAsia="ja-JP"/>
        </w:rPr>
        <w:t>Lundholm</w:t>
      </w:r>
      <w:proofErr w:type="spellEnd"/>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R. (</w:t>
      </w:r>
      <w:r w:rsidRPr="00421AC7">
        <w:rPr>
          <w:rFonts w:ascii="Times New Roman" w:eastAsia="MS Mincho" w:hAnsi="Times New Roman" w:cs="Times New Roman"/>
          <w:sz w:val="24"/>
          <w:szCs w:val="24"/>
          <w:lang w:val="en-NZ" w:eastAsia="ja-JP"/>
        </w:rPr>
        <w:t>199</w:t>
      </w:r>
      <w:r w:rsidR="005575F6">
        <w:rPr>
          <w:rFonts w:ascii="Times New Roman" w:eastAsia="MS Mincho" w:hAnsi="Times New Roman" w:cs="Times New Roman"/>
          <w:sz w:val="24"/>
          <w:szCs w:val="24"/>
          <w:lang w:val="en-NZ" w:eastAsia="ja-JP"/>
        </w:rPr>
        <w:t>3</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005575F6" w:rsidRPr="005575F6">
        <w:rPr>
          <w:rFonts w:ascii="Times New Roman" w:eastAsia="MS Mincho" w:hAnsi="Times New Roman" w:cs="Times New Roman"/>
          <w:sz w:val="24"/>
          <w:szCs w:val="24"/>
          <w:lang w:val="en-NZ" w:eastAsia="ja-JP"/>
        </w:rPr>
        <w:t>Cross-Sectional Det</w:t>
      </w:r>
      <w:r w:rsidR="005575F6">
        <w:rPr>
          <w:rFonts w:ascii="Times New Roman" w:eastAsia="MS Mincho" w:hAnsi="Times New Roman" w:cs="Times New Roman"/>
          <w:sz w:val="24"/>
          <w:szCs w:val="24"/>
          <w:lang w:val="en-NZ" w:eastAsia="ja-JP"/>
        </w:rPr>
        <w:t>erminants of Analyst Ratings of</w:t>
      </w:r>
      <w:r w:rsidR="005575F6">
        <w:rPr>
          <w:rFonts w:ascii="Times New Roman" w:eastAsia="MS Mincho" w:hAnsi="Times New Roman" w:cs="Times New Roman"/>
          <w:sz w:val="24"/>
          <w:szCs w:val="24"/>
          <w:lang w:val="en-NZ" w:eastAsia="ja-JP"/>
        </w:rPr>
        <w:tab/>
      </w:r>
      <w:r w:rsidR="005575F6" w:rsidRPr="005575F6">
        <w:rPr>
          <w:rFonts w:ascii="Times New Roman" w:eastAsia="MS Mincho" w:hAnsi="Times New Roman" w:cs="Times New Roman"/>
          <w:sz w:val="24"/>
          <w:szCs w:val="24"/>
          <w:lang w:val="en-NZ" w:eastAsia="ja-JP"/>
        </w:rPr>
        <w:t>Corporate Disclosures</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sidR="005575F6">
        <w:rPr>
          <w:rFonts w:ascii="Times New Roman" w:eastAsia="MS Mincho" w:hAnsi="Times New Roman" w:cs="Times New Roman"/>
          <w:i/>
          <w:iCs/>
          <w:sz w:val="24"/>
          <w:szCs w:val="24"/>
          <w:lang w:val="en-NZ" w:eastAsia="ja-JP"/>
        </w:rPr>
        <w:t>Journal of Accounting Research</w:t>
      </w:r>
      <w:r>
        <w:rPr>
          <w:rFonts w:ascii="Times New Roman" w:eastAsia="MS Mincho" w:hAnsi="Times New Roman" w:cs="Times New Roman"/>
          <w:iCs/>
          <w:sz w:val="24"/>
          <w:szCs w:val="24"/>
          <w:lang w:val="en-NZ" w:eastAsia="ja-JP"/>
        </w:rPr>
        <w:t>, Vol.</w:t>
      </w:r>
      <w:r w:rsidRPr="00421AC7">
        <w:rPr>
          <w:rFonts w:ascii="Times New Roman" w:eastAsia="MS Mincho" w:hAnsi="Times New Roman" w:cs="Times New Roman"/>
          <w:sz w:val="24"/>
          <w:szCs w:val="24"/>
          <w:lang w:val="en-NZ" w:eastAsia="ja-JP"/>
        </w:rPr>
        <w:t xml:space="preserve"> </w:t>
      </w:r>
      <w:r w:rsidR="005575F6">
        <w:rPr>
          <w:rFonts w:ascii="Times New Roman" w:eastAsia="MS Mincho" w:hAnsi="Times New Roman" w:cs="Times New Roman"/>
          <w:sz w:val="24"/>
          <w:szCs w:val="24"/>
          <w:lang w:val="en-NZ" w:eastAsia="ja-JP"/>
        </w:rPr>
        <w:t>31</w:t>
      </w:r>
      <w:r>
        <w:rPr>
          <w:rFonts w:ascii="Times New Roman" w:eastAsia="MS Mincho" w:hAnsi="Times New Roman" w:cs="Times New Roman"/>
          <w:sz w:val="24"/>
          <w:szCs w:val="24"/>
          <w:lang w:val="en-NZ" w:eastAsia="ja-JP"/>
        </w:rPr>
        <w:t xml:space="preserve"> No. </w:t>
      </w:r>
      <w:r w:rsidR="005575F6">
        <w:rPr>
          <w:rFonts w:ascii="Times New Roman" w:eastAsia="MS Mincho" w:hAnsi="Times New Roman" w:cs="Times New Roman"/>
          <w:sz w:val="24"/>
          <w:szCs w:val="24"/>
          <w:lang w:val="en-NZ" w:eastAsia="ja-JP"/>
        </w:rPr>
        <w:t>2</w:t>
      </w:r>
      <w:r w:rsidRPr="00421AC7">
        <w:rPr>
          <w:rFonts w:ascii="Times New Roman" w:eastAsia="MS Mincho" w:hAnsi="Times New Roman" w:cs="Times New Roman"/>
          <w:sz w:val="24"/>
          <w:szCs w:val="24"/>
          <w:lang w:val="en-NZ" w:eastAsia="ja-JP"/>
        </w:rPr>
        <w:t xml:space="preserve">, </w:t>
      </w:r>
      <w:r w:rsidR="00803F59">
        <w:rPr>
          <w:rFonts w:ascii="Times New Roman" w:eastAsia="MS Mincho" w:hAnsi="Times New Roman" w:cs="Times New Roman"/>
          <w:sz w:val="24"/>
          <w:szCs w:val="24"/>
          <w:lang w:val="en-NZ" w:eastAsia="ja-JP"/>
        </w:rPr>
        <w:t>p</w:t>
      </w:r>
      <w:r>
        <w:rPr>
          <w:rFonts w:ascii="Times New Roman" w:eastAsia="MS Mincho" w:hAnsi="Times New Roman" w:cs="Times New Roman"/>
          <w:sz w:val="24"/>
          <w:szCs w:val="24"/>
          <w:lang w:val="en-NZ" w:eastAsia="ja-JP"/>
        </w:rPr>
        <w:t xml:space="preserve">p. </w:t>
      </w:r>
      <w:r w:rsidR="005575F6">
        <w:rPr>
          <w:rFonts w:ascii="Times New Roman" w:eastAsia="MS Mincho" w:hAnsi="Times New Roman" w:cs="Times New Roman"/>
          <w:sz w:val="24"/>
          <w:szCs w:val="24"/>
          <w:lang w:val="en-NZ" w:eastAsia="ja-JP"/>
        </w:rPr>
        <w:t>246</w:t>
      </w:r>
      <w:r w:rsidRPr="00421AC7">
        <w:rPr>
          <w:rFonts w:ascii="Times New Roman" w:eastAsia="MS Mincho" w:hAnsi="Times New Roman" w:cs="Times New Roman"/>
          <w:sz w:val="24"/>
          <w:szCs w:val="24"/>
          <w:lang w:val="en-NZ" w:eastAsia="ja-JP"/>
        </w:rPr>
        <w:t>-</w:t>
      </w:r>
      <w:r w:rsidR="005575F6">
        <w:rPr>
          <w:rFonts w:ascii="Times New Roman" w:eastAsia="MS Mincho" w:hAnsi="Times New Roman" w:cs="Times New Roman"/>
          <w:sz w:val="24"/>
          <w:szCs w:val="24"/>
          <w:lang w:val="en-NZ" w:eastAsia="ja-JP"/>
        </w:rPr>
        <w:t>271</w:t>
      </w:r>
      <w:r w:rsidRPr="00421AC7">
        <w:rPr>
          <w:rFonts w:ascii="Times New Roman" w:eastAsia="MS Mincho" w:hAnsi="Times New Roman" w:cs="Times New Roman"/>
          <w:sz w:val="24"/>
          <w:szCs w:val="24"/>
          <w:lang w:val="en-NZ" w:eastAsia="ja-JP"/>
        </w:rPr>
        <w:t>.</w:t>
      </w:r>
    </w:p>
    <w:p w14:paraId="3F3EE2FD"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proofErr w:type="spellStart"/>
      <w:r w:rsidRPr="00475812">
        <w:rPr>
          <w:rFonts w:ascii="Times New Roman" w:eastAsia="MS Mincho" w:hAnsi="Times New Roman" w:cs="Times New Roman"/>
          <w:sz w:val="24"/>
          <w:szCs w:val="24"/>
          <w:lang w:val="en-NZ" w:eastAsia="ja-JP"/>
        </w:rPr>
        <w:t>Mayew</w:t>
      </w:r>
      <w:proofErr w:type="spellEnd"/>
      <w:r w:rsidRPr="00475812">
        <w:rPr>
          <w:rFonts w:ascii="Times New Roman" w:eastAsia="MS Mincho" w:hAnsi="Times New Roman" w:cs="Times New Roman"/>
          <w:sz w:val="24"/>
          <w:szCs w:val="24"/>
          <w:lang w:val="en-NZ" w:eastAsia="ja-JP"/>
        </w:rPr>
        <w:t>, W. (2012), “Disclosure outlets and corporate financial communication: A discussion</w:t>
      </w:r>
      <w:r w:rsidRPr="00475812">
        <w:rPr>
          <w:rFonts w:ascii="Times New Roman" w:eastAsia="MS Mincho" w:hAnsi="Times New Roman" w:cs="Times New Roman"/>
          <w:sz w:val="24"/>
          <w:szCs w:val="24"/>
          <w:lang w:val="en-NZ" w:eastAsia="ja-JP"/>
        </w:rPr>
        <w:tab/>
        <w:t>of “Managers’ use of language across alternative disclosure outlets: Earnings press</w:t>
      </w:r>
      <w:r w:rsidRPr="00475812">
        <w:rPr>
          <w:rFonts w:ascii="Times New Roman" w:eastAsia="MS Mincho" w:hAnsi="Times New Roman" w:cs="Times New Roman"/>
          <w:sz w:val="24"/>
          <w:szCs w:val="24"/>
          <w:lang w:val="en-NZ" w:eastAsia="ja-JP"/>
        </w:rPr>
        <w:tab/>
        <w:t xml:space="preserve">releases versus MD&amp;A””, </w:t>
      </w:r>
      <w:r w:rsidRPr="00475812">
        <w:rPr>
          <w:rFonts w:ascii="Times New Roman" w:eastAsia="MS Mincho" w:hAnsi="Times New Roman" w:cs="Times New Roman"/>
          <w:i/>
          <w:sz w:val="24"/>
          <w:szCs w:val="24"/>
          <w:lang w:val="en-NZ" w:eastAsia="ja-JP"/>
        </w:rPr>
        <w:t>Contemporary Accounting Research</w:t>
      </w:r>
      <w:r w:rsidRPr="00475812">
        <w:rPr>
          <w:rFonts w:ascii="Times New Roman" w:eastAsia="MS Mincho" w:hAnsi="Times New Roman" w:cs="Times New Roman"/>
          <w:sz w:val="24"/>
          <w:szCs w:val="24"/>
          <w:lang w:val="en-NZ" w:eastAsia="ja-JP"/>
        </w:rPr>
        <w:t>, Vol. 29 No. 3, pp.</w:t>
      </w:r>
      <w:r w:rsidRPr="00475812">
        <w:rPr>
          <w:rFonts w:ascii="Times New Roman" w:eastAsia="MS Mincho" w:hAnsi="Times New Roman" w:cs="Times New Roman"/>
          <w:sz w:val="24"/>
          <w:szCs w:val="24"/>
          <w:lang w:val="en-NZ" w:eastAsia="ja-JP"/>
        </w:rPr>
        <w:tab/>
        <w:t>838-844.</w:t>
      </w:r>
    </w:p>
    <w:p w14:paraId="37057499" w14:textId="77777777"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Pr>
          <w:rFonts w:ascii="Times New Roman" w:eastAsia="MS Mincho" w:hAnsi="Times New Roman" w:cs="Times New Roman"/>
          <w:sz w:val="24"/>
          <w:szCs w:val="24"/>
          <w:lang w:val="en-NZ" w:eastAsia="ja-JP"/>
        </w:rPr>
        <w:t>Miller, G.</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2002</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Earnings performance and discretionary disclosure</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i/>
          <w:iCs/>
          <w:sz w:val="24"/>
          <w:szCs w:val="24"/>
          <w:lang w:val="en-NZ" w:eastAsia="ja-JP"/>
        </w:rPr>
        <w:t>Journal of</w:t>
      </w:r>
      <w:r>
        <w:rPr>
          <w:rFonts w:ascii="Times New Roman" w:eastAsia="MS Mincho" w:hAnsi="Times New Roman" w:cs="Times New Roman"/>
          <w:i/>
          <w:iCs/>
          <w:sz w:val="24"/>
          <w:szCs w:val="24"/>
          <w:lang w:val="en-NZ" w:eastAsia="ja-JP"/>
        </w:rPr>
        <w:tab/>
      </w:r>
      <w:r w:rsidRPr="00421AC7">
        <w:rPr>
          <w:rFonts w:ascii="Times New Roman" w:eastAsia="MS Mincho" w:hAnsi="Times New Roman" w:cs="Times New Roman"/>
          <w:i/>
          <w:iCs/>
          <w:sz w:val="24"/>
          <w:szCs w:val="24"/>
          <w:lang w:val="en-NZ" w:eastAsia="ja-JP"/>
        </w:rPr>
        <w:t>Accounting</w:t>
      </w:r>
      <w:r>
        <w:rPr>
          <w:rFonts w:ascii="Times New Roman" w:eastAsia="MS Mincho" w:hAnsi="Times New Roman" w:cs="Times New Roman"/>
          <w:i/>
          <w:iCs/>
          <w:sz w:val="24"/>
          <w:szCs w:val="24"/>
          <w:lang w:val="en-NZ" w:eastAsia="ja-JP"/>
        </w:rPr>
        <w:t xml:space="preserve"> </w:t>
      </w:r>
      <w:r w:rsidRPr="00421AC7">
        <w:rPr>
          <w:rFonts w:ascii="Times New Roman" w:eastAsia="MS Mincho" w:hAnsi="Times New Roman" w:cs="Times New Roman"/>
          <w:i/>
          <w:iCs/>
          <w:sz w:val="24"/>
          <w:szCs w:val="24"/>
          <w:lang w:val="en-NZ" w:eastAsia="ja-JP"/>
        </w:rPr>
        <w:t>Research</w:t>
      </w:r>
      <w:r>
        <w:rPr>
          <w:rFonts w:ascii="Times New Roman" w:eastAsia="MS Mincho" w:hAnsi="Times New Roman" w:cs="Times New Roman"/>
          <w:iCs/>
          <w:sz w:val="24"/>
          <w:szCs w:val="24"/>
          <w:lang w:val="en-NZ" w:eastAsia="ja-JP"/>
        </w:rPr>
        <w:t>, Vol.</w:t>
      </w:r>
      <w:r w:rsidRPr="00421AC7">
        <w:rPr>
          <w:rFonts w:ascii="Times New Roman" w:eastAsia="MS Mincho" w:hAnsi="Times New Roman" w:cs="Times New Roman"/>
          <w:sz w:val="24"/>
          <w:szCs w:val="24"/>
          <w:lang w:val="en-NZ" w:eastAsia="ja-JP"/>
        </w:rPr>
        <w:t xml:space="preserve"> 40</w:t>
      </w:r>
      <w:r>
        <w:rPr>
          <w:rFonts w:ascii="Times New Roman" w:eastAsia="MS Mincho" w:hAnsi="Times New Roman" w:cs="Times New Roman"/>
          <w:sz w:val="24"/>
          <w:szCs w:val="24"/>
          <w:lang w:val="en-NZ" w:eastAsia="ja-JP"/>
        </w:rPr>
        <w:t xml:space="preserve"> No. 1</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 xml:space="preserve">pp. </w:t>
      </w:r>
      <w:r w:rsidRPr="00421AC7">
        <w:rPr>
          <w:rFonts w:ascii="Times New Roman" w:eastAsia="MS Mincho" w:hAnsi="Times New Roman" w:cs="Times New Roman"/>
          <w:sz w:val="24"/>
          <w:szCs w:val="24"/>
          <w:lang w:val="en-NZ" w:eastAsia="ja-JP"/>
        </w:rPr>
        <w:t xml:space="preserve">173-204. </w:t>
      </w:r>
    </w:p>
    <w:p w14:paraId="6756E1AE" w14:textId="77777777" w:rsidR="00503E2F" w:rsidRPr="00475812"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9F15CA">
        <w:rPr>
          <w:rFonts w:ascii="Times New Roman" w:eastAsia="MS Mincho" w:hAnsi="Times New Roman" w:cs="Times New Roman"/>
          <w:sz w:val="24"/>
          <w:szCs w:val="24"/>
          <w:lang w:val="en-NZ" w:eastAsia="ja-JP"/>
        </w:rPr>
        <w:t xml:space="preserve">Palepu, K. (1986), “Predicting takeover targets: A methodological and empirical analysis”, </w:t>
      </w:r>
      <w:r w:rsidRPr="009F15CA">
        <w:rPr>
          <w:rFonts w:ascii="Times New Roman" w:eastAsia="MS Mincho" w:hAnsi="Times New Roman" w:cs="Times New Roman"/>
          <w:sz w:val="24"/>
          <w:szCs w:val="24"/>
          <w:lang w:val="en-NZ" w:eastAsia="ja-JP"/>
        </w:rPr>
        <w:tab/>
      </w:r>
      <w:r w:rsidRPr="009F15CA">
        <w:rPr>
          <w:rFonts w:ascii="Times New Roman" w:eastAsia="MS Mincho" w:hAnsi="Times New Roman" w:cs="Times New Roman"/>
          <w:i/>
          <w:iCs/>
          <w:sz w:val="24"/>
          <w:szCs w:val="24"/>
          <w:lang w:val="en-NZ" w:eastAsia="ja-JP"/>
        </w:rPr>
        <w:t>Journal of Accounting and Economics</w:t>
      </w:r>
      <w:r w:rsidRPr="009F15CA">
        <w:rPr>
          <w:rFonts w:ascii="Times New Roman" w:eastAsia="MS Mincho" w:hAnsi="Times New Roman" w:cs="Times New Roman"/>
          <w:iCs/>
          <w:sz w:val="24"/>
          <w:szCs w:val="24"/>
          <w:lang w:val="en-NZ" w:eastAsia="ja-JP"/>
        </w:rPr>
        <w:t>, Vol.</w:t>
      </w:r>
      <w:r w:rsidRPr="009F15CA">
        <w:rPr>
          <w:rFonts w:ascii="Times New Roman" w:eastAsia="MS Mincho" w:hAnsi="Times New Roman" w:cs="Times New Roman"/>
          <w:sz w:val="24"/>
          <w:szCs w:val="24"/>
          <w:lang w:val="en-NZ" w:eastAsia="ja-JP"/>
        </w:rPr>
        <w:t xml:space="preserve"> 8 No. 1, pp. 3-35.</w:t>
      </w:r>
      <w:r w:rsidRPr="00421AC7">
        <w:rPr>
          <w:rFonts w:ascii="Times New Roman" w:eastAsia="MS Mincho" w:hAnsi="Times New Roman" w:cs="Calibri"/>
          <w:sz w:val="24"/>
          <w:lang w:val="en-NZ" w:eastAsia="ja-JP"/>
        </w:rPr>
        <w:t xml:space="preserve"> </w:t>
      </w:r>
    </w:p>
    <w:p w14:paraId="09313E28" w14:textId="77777777" w:rsidR="00503E2F" w:rsidRPr="00421AC7" w:rsidRDefault="00503E2F" w:rsidP="00503E2F">
      <w:pPr>
        <w:tabs>
          <w:tab w:val="left" w:pos="680"/>
        </w:tabs>
        <w:spacing w:after="0" w:line="240" w:lineRule="auto"/>
        <w:jc w:val="both"/>
        <w:rPr>
          <w:rFonts w:ascii="Times New Roman" w:hAnsi="Times New Roman" w:cs="Times New Roman"/>
          <w:sz w:val="24"/>
          <w:szCs w:val="24"/>
        </w:rPr>
      </w:pPr>
      <w:r w:rsidRPr="00421AC7">
        <w:rPr>
          <w:rFonts w:ascii="Times New Roman" w:hAnsi="Times New Roman" w:cs="Times New Roman"/>
          <w:sz w:val="24"/>
          <w:szCs w:val="24"/>
        </w:rPr>
        <w:t xml:space="preserve">Stigler, G. </w:t>
      </w:r>
      <w:r>
        <w:rPr>
          <w:rFonts w:ascii="Times New Roman" w:hAnsi="Times New Roman" w:cs="Times New Roman"/>
          <w:sz w:val="24"/>
          <w:szCs w:val="24"/>
        </w:rPr>
        <w:t>(</w:t>
      </w:r>
      <w:r w:rsidRPr="00421AC7">
        <w:rPr>
          <w:rFonts w:ascii="Times New Roman" w:hAnsi="Times New Roman" w:cs="Times New Roman"/>
          <w:sz w:val="24"/>
          <w:szCs w:val="24"/>
        </w:rPr>
        <w:t>1961</w:t>
      </w:r>
      <w:r>
        <w:rPr>
          <w:rFonts w:ascii="Times New Roman" w:hAnsi="Times New Roman" w:cs="Times New Roman"/>
          <w:sz w:val="24"/>
          <w:szCs w:val="24"/>
        </w:rPr>
        <w:t>)</w:t>
      </w:r>
      <w:r w:rsidRPr="00421AC7">
        <w:rPr>
          <w:rFonts w:ascii="Times New Roman" w:hAnsi="Times New Roman" w:cs="Times New Roman"/>
          <w:sz w:val="24"/>
          <w:szCs w:val="24"/>
        </w:rPr>
        <w:t xml:space="preserve">, </w:t>
      </w:r>
      <w:r>
        <w:rPr>
          <w:rFonts w:ascii="Times New Roman" w:hAnsi="Times New Roman" w:cs="Times New Roman"/>
          <w:sz w:val="24"/>
          <w:szCs w:val="24"/>
        </w:rPr>
        <w:t>“</w:t>
      </w:r>
      <w:r w:rsidRPr="00421AC7">
        <w:rPr>
          <w:rFonts w:ascii="Times New Roman" w:hAnsi="Times New Roman" w:cs="Times New Roman"/>
          <w:sz w:val="24"/>
          <w:szCs w:val="24"/>
        </w:rPr>
        <w:t>The economics of information</w:t>
      </w:r>
      <w:r>
        <w:rPr>
          <w:rFonts w:ascii="Times New Roman" w:hAnsi="Times New Roman" w:cs="Times New Roman"/>
          <w:sz w:val="24"/>
          <w:szCs w:val="24"/>
        </w:rPr>
        <w:t>”</w:t>
      </w:r>
      <w:r w:rsidRPr="00421AC7">
        <w:rPr>
          <w:rFonts w:ascii="Times New Roman" w:hAnsi="Times New Roman" w:cs="Times New Roman"/>
          <w:sz w:val="24"/>
          <w:szCs w:val="24"/>
        </w:rPr>
        <w:t xml:space="preserve">, </w:t>
      </w:r>
      <w:r w:rsidRPr="00421AC7">
        <w:rPr>
          <w:rFonts w:ascii="Times New Roman" w:hAnsi="Times New Roman" w:cs="Times New Roman"/>
          <w:i/>
          <w:sz w:val="24"/>
          <w:szCs w:val="24"/>
        </w:rPr>
        <w:t>The Journal of Political Economy</w:t>
      </w:r>
      <w:r>
        <w:rPr>
          <w:rFonts w:ascii="Times New Roman" w:hAnsi="Times New Roman" w:cs="Times New Roman"/>
          <w:sz w:val="24"/>
          <w:szCs w:val="24"/>
        </w:rPr>
        <w:t>,</w:t>
      </w:r>
      <w:r w:rsidRPr="00421AC7">
        <w:rPr>
          <w:rFonts w:ascii="Times New Roman" w:hAnsi="Times New Roman" w:cs="Times New Roman"/>
          <w:i/>
          <w:sz w:val="24"/>
          <w:szCs w:val="24"/>
        </w:rPr>
        <w:t xml:space="preserve"> </w:t>
      </w:r>
      <w:r>
        <w:rPr>
          <w:rFonts w:ascii="Times New Roman" w:hAnsi="Times New Roman" w:cs="Times New Roman"/>
          <w:sz w:val="24"/>
          <w:szCs w:val="24"/>
        </w:rPr>
        <w:t>Vol.</w:t>
      </w:r>
      <w:r>
        <w:rPr>
          <w:rFonts w:ascii="Times New Roman" w:hAnsi="Times New Roman" w:cs="Times New Roman"/>
          <w:sz w:val="24"/>
          <w:szCs w:val="24"/>
        </w:rPr>
        <w:tab/>
      </w:r>
      <w:r w:rsidRPr="00421AC7">
        <w:rPr>
          <w:rFonts w:ascii="Times New Roman" w:hAnsi="Times New Roman" w:cs="Times New Roman"/>
          <w:sz w:val="24"/>
          <w:szCs w:val="24"/>
        </w:rPr>
        <w:t>69</w:t>
      </w:r>
      <w:r>
        <w:rPr>
          <w:rFonts w:ascii="Times New Roman" w:hAnsi="Times New Roman" w:cs="Times New Roman"/>
          <w:sz w:val="24"/>
          <w:szCs w:val="24"/>
        </w:rPr>
        <w:t xml:space="preserve"> No. 3</w:t>
      </w:r>
      <w:r w:rsidRPr="00421AC7">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421AC7">
        <w:rPr>
          <w:rFonts w:ascii="Times New Roman" w:hAnsi="Times New Roman" w:cs="Times New Roman"/>
          <w:sz w:val="24"/>
          <w:szCs w:val="24"/>
        </w:rPr>
        <w:t>213-225.</w:t>
      </w:r>
    </w:p>
    <w:p w14:paraId="0AC20144" w14:textId="40B2CEAD" w:rsidR="00503E2F" w:rsidRPr="00421AC7"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421AC7">
        <w:rPr>
          <w:rFonts w:ascii="Times New Roman" w:eastAsia="MS Mincho" w:hAnsi="Times New Roman" w:cs="Times New Roman"/>
          <w:sz w:val="24"/>
          <w:szCs w:val="24"/>
          <w:lang w:val="en-NZ" w:eastAsia="ja-JP"/>
        </w:rPr>
        <w:t xml:space="preserve">Solomon, D. and </w:t>
      </w:r>
      <w:proofErr w:type="spellStart"/>
      <w:r w:rsidRPr="00421AC7">
        <w:rPr>
          <w:rFonts w:ascii="Times New Roman" w:eastAsia="MS Mincho" w:hAnsi="Times New Roman" w:cs="Times New Roman"/>
          <w:sz w:val="24"/>
          <w:szCs w:val="24"/>
          <w:lang w:val="en-NZ" w:eastAsia="ja-JP"/>
        </w:rPr>
        <w:t>Soltes</w:t>
      </w:r>
      <w:proofErr w:type="spellEnd"/>
      <w:r w:rsidRPr="00421AC7">
        <w:rPr>
          <w:rFonts w:ascii="Times New Roman" w:eastAsia="MS Mincho" w:hAnsi="Times New Roman" w:cs="Times New Roman"/>
          <w:sz w:val="24"/>
          <w:szCs w:val="24"/>
          <w:lang w:val="en-NZ" w:eastAsia="ja-JP"/>
        </w:rPr>
        <w:t xml:space="preserve">, 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2012</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 xml:space="preserve">, </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Managerial control of business press coverage</w:t>
      </w:r>
      <w:r>
        <w:rPr>
          <w:rFonts w:ascii="Times New Roman" w:eastAsia="MS Mincho" w:hAnsi="Times New Roman" w:cs="Times New Roman"/>
          <w:sz w:val="24"/>
          <w:szCs w:val="24"/>
          <w:lang w:val="en-NZ" w:eastAsia="ja-JP"/>
        </w:rPr>
        <w:t>”</w:t>
      </w:r>
      <w:r w:rsidRPr="00421AC7">
        <w:rPr>
          <w:rFonts w:ascii="Times New Roman" w:eastAsia="MS Mincho" w:hAnsi="Times New Roman" w:cs="Times New Roman"/>
          <w:sz w:val="24"/>
          <w:szCs w:val="24"/>
          <w:lang w:val="en-NZ" w:eastAsia="ja-JP"/>
        </w:rPr>
        <w:t>,</w:t>
      </w:r>
      <w:r w:rsidR="00520B06">
        <w:rPr>
          <w:rFonts w:ascii="Times New Roman" w:eastAsia="MS Mincho" w:hAnsi="Times New Roman" w:cs="Times New Roman"/>
          <w:sz w:val="24"/>
          <w:szCs w:val="24"/>
          <w:lang w:val="en-NZ" w:eastAsia="ja-JP"/>
        </w:rPr>
        <w:t xml:space="preserve"> working</w:t>
      </w:r>
      <w:r w:rsidR="00520B06">
        <w:rPr>
          <w:rFonts w:ascii="Times New Roman" w:eastAsia="MS Mincho" w:hAnsi="Times New Roman" w:cs="Times New Roman"/>
          <w:sz w:val="24"/>
          <w:szCs w:val="24"/>
          <w:lang w:val="en-NZ" w:eastAsia="ja-JP"/>
        </w:rPr>
        <w:tab/>
        <w:t>paper</w:t>
      </w:r>
      <w:r w:rsidRPr="00421AC7">
        <w:rPr>
          <w:rFonts w:ascii="Times New Roman" w:eastAsia="MS Mincho" w:hAnsi="Times New Roman" w:cs="Times New Roman"/>
          <w:sz w:val="24"/>
          <w:szCs w:val="24"/>
          <w:lang w:val="en-NZ" w:eastAsia="ja-JP"/>
        </w:rPr>
        <w:t>.</w:t>
      </w:r>
    </w:p>
    <w:p w14:paraId="4FB741A1" w14:textId="77777777" w:rsidR="00503E2F" w:rsidRDefault="00503E2F" w:rsidP="00503E2F">
      <w:pPr>
        <w:tabs>
          <w:tab w:val="left" w:pos="680"/>
        </w:tabs>
        <w:spacing w:after="0" w:line="240" w:lineRule="auto"/>
        <w:rPr>
          <w:rFonts w:ascii="Times New Roman" w:eastAsia="MS Mincho" w:hAnsi="Times New Roman" w:cs="Times New Roman"/>
          <w:sz w:val="24"/>
          <w:szCs w:val="24"/>
          <w:lang w:val="en-NZ" w:eastAsia="ja-JP"/>
        </w:rPr>
      </w:pPr>
      <w:proofErr w:type="spellStart"/>
      <w:r>
        <w:rPr>
          <w:rFonts w:ascii="Times New Roman" w:eastAsia="MS Mincho" w:hAnsi="Times New Roman" w:cs="Times New Roman"/>
          <w:sz w:val="24"/>
          <w:szCs w:val="24"/>
          <w:lang w:val="en-NZ" w:eastAsia="ja-JP"/>
        </w:rPr>
        <w:t>Stocken</w:t>
      </w:r>
      <w:proofErr w:type="spellEnd"/>
      <w:r>
        <w:rPr>
          <w:rFonts w:ascii="Times New Roman" w:eastAsia="MS Mincho" w:hAnsi="Times New Roman" w:cs="Times New Roman"/>
          <w:sz w:val="24"/>
          <w:szCs w:val="24"/>
          <w:lang w:val="en-NZ" w:eastAsia="ja-JP"/>
        </w:rPr>
        <w:t>, P. (</w:t>
      </w:r>
      <w:r w:rsidRPr="00683B65">
        <w:rPr>
          <w:rFonts w:ascii="Times New Roman" w:eastAsia="MS Mincho" w:hAnsi="Times New Roman" w:cs="Times New Roman"/>
          <w:sz w:val="24"/>
          <w:szCs w:val="24"/>
          <w:lang w:val="en-NZ" w:eastAsia="ja-JP"/>
        </w:rPr>
        <w:t>2000</w:t>
      </w:r>
      <w:r>
        <w:rPr>
          <w:rFonts w:ascii="Times New Roman" w:eastAsia="MS Mincho" w:hAnsi="Times New Roman" w:cs="Times New Roman"/>
          <w:sz w:val="24"/>
          <w:szCs w:val="24"/>
          <w:lang w:val="en-NZ" w:eastAsia="ja-JP"/>
        </w:rPr>
        <w:t>), “</w:t>
      </w:r>
      <w:r w:rsidRPr="00683B65">
        <w:rPr>
          <w:rFonts w:ascii="Times New Roman" w:eastAsia="MS Mincho" w:hAnsi="Times New Roman" w:cs="Times New Roman"/>
          <w:sz w:val="24"/>
          <w:szCs w:val="24"/>
          <w:lang w:val="en-NZ" w:eastAsia="ja-JP"/>
        </w:rPr>
        <w:t>Credibility</w:t>
      </w:r>
      <w:r>
        <w:rPr>
          <w:rFonts w:ascii="Times New Roman" w:eastAsia="MS Mincho" w:hAnsi="Times New Roman" w:cs="Times New Roman"/>
          <w:sz w:val="24"/>
          <w:szCs w:val="24"/>
          <w:lang w:val="en-NZ" w:eastAsia="ja-JP"/>
        </w:rPr>
        <w:t xml:space="preserve"> </w:t>
      </w:r>
      <w:r w:rsidRPr="00683B65">
        <w:rPr>
          <w:rFonts w:ascii="Times New Roman" w:eastAsia="MS Mincho" w:hAnsi="Times New Roman" w:cs="Times New Roman"/>
          <w:sz w:val="24"/>
          <w:szCs w:val="24"/>
          <w:lang w:val="en-NZ" w:eastAsia="ja-JP"/>
        </w:rPr>
        <w:t>of</w:t>
      </w:r>
      <w:r>
        <w:rPr>
          <w:rFonts w:ascii="Times New Roman" w:eastAsia="MS Mincho" w:hAnsi="Times New Roman" w:cs="Times New Roman"/>
          <w:sz w:val="24"/>
          <w:szCs w:val="24"/>
          <w:lang w:val="en-NZ" w:eastAsia="ja-JP"/>
        </w:rPr>
        <w:t xml:space="preserve"> </w:t>
      </w:r>
      <w:r w:rsidRPr="00683B65">
        <w:rPr>
          <w:rFonts w:ascii="Times New Roman" w:eastAsia="MS Mincho" w:hAnsi="Times New Roman" w:cs="Times New Roman"/>
          <w:sz w:val="24"/>
          <w:szCs w:val="24"/>
          <w:lang w:val="en-NZ" w:eastAsia="ja-JP"/>
        </w:rPr>
        <w:t>voluntary</w:t>
      </w:r>
      <w:r>
        <w:rPr>
          <w:rFonts w:ascii="Times New Roman" w:eastAsia="MS Mincho" w:hAnsi="Times New Roman" w:cs="Times New Roman"/>
          <w:sz w:val="24"/>
          <w:szCs w:val="24"/>
          <w:lang w:val="en-NZ" w:eastAsia="ja-JP"/>
        </w:rPr>
        <w:t xml:space="preserve"> </w:t>
      </w:r>
      <w:r w:rsidRPr="00683B65">
        <w:rPr>
          <w:rFonts w:ascii="Times New Roman" w:eastAsia="MS Mincho" w:hAnsi="Times New Roman" w:cs="Times New Roman"/>
          <w:sz w:val="24"/>
          <w:szCs w:val="24"/>
          <w:lang w:val="en-NZ" w:eastAsia="ja-JP"/>
        </w:rPr>
        <w:t>disclosure</w:t>
      </w:r>
      <w:r>
        <w:rPr>
          <w:rFonts w:ascii="Times New Roman" w:eastAsia="MS Mincho" w:hAnsi="Times New Roman" w:cs="Times New Roman"/>
          <w:sz w:val="24"/>
          <w:szCs w:val="24"/>
          <w:lang w:val="en-NZ" w:eastAsia="ja-JP"/>
        </w:rPr>
        <w:t xml:space="preserve">”, </w:t>
      </w:r>
      <w:r w:rsidRPr="00683B65">
        <w:rPr>
          <w:rFonts w:ascii="Times New Roman" w:eastAsia="MS Mincho" w:hAnsi="Times New Roman" w:cs="Times New Roman"/>
          <w:i/>
          <w:sz w:val="24"/>
          <w:szCs w:val="24"/>
          <w:lang w:val="en-NZ" w:eastAsia="ja-JP"/>
        </w:rPr>
        <w:t>RAND Journal of Economics</w:t>
      </w:r>
      <w:r>
        <w:rPr>
          <w:rFonts w:ascii="Times New Roman" w:eastAsia="MS Mincho" w:hAnsi="Times New Roman" w:cs="Times New Roman"/>
          <w:sz w:val="24"/>
          <w:szCs w:val="24"/>
          <w:lang w:val="en-NZ" w:eastAsia="ja-JP"/>
        </w:rPr>
        <w:t>, Vol.</w:t>
      </w:r>
      <w:r>
        <w:rPr>
          <w:rFonts w:ascii="Times New Roman" w:eastAsia="MS Mincho" w:hAnsi="Times New Roman" w:cs="Times New Roman"/>
          <w:sz w:val="24"/>
          <w:szCs w:val="24"/>
          <w:lang w:val="en-NZ" w:eastAsia="ja-JP"/>
        </w:rPr>
        <w:tab/>
      </w:r>
      <w:r w:rsidRPr="00683B65">
        <w:rPr>
          <w:rFonts w:ascii="Times New Roman" w:eastAsia="MS Mincho" w:hAnsi="Times New Roman" w:cs="Times New Roman"/>
          <w:sz w:val="24"/>
          <w:szCs w:val="24"/>
          <w:lang w:val="en-NZ" w:eastAsia="ja-JP"/>
        </w:rPr>
        <w:t>31</w:t>
      </w:r>
      <w:r>
        <w:rPr>
          <w:rFonts w:ascii="Times New Roman" w:eastAsia="MS Mincho" w:hAnsi="Times New Roman" w:cs="Times New Roman"/>
          <w:sz w:val="24"/>
          <w:szCs w:val="24"/>
          <w:lang w:val="en-NZ" w:eastAsia="ja-JP"/>
        </w:rPr>
        <w:t xml:space="preserve"> No. 2</w:t>
      </w:r>
      <w:r w:rsidRPr="00683B65">
        <w:rPr>
          <w:rFonts w:ascii="Times New Roman" w:eastAsia="MS Mincho" w:hAnsi="Times New Roman" w:cs="Times New Roman"/>
          <w:sz w:val="24"/>
          <w:szCs w:val="24"/>
          <w:lang w:val="en-NZ" w:eastAsia="ja-JP"/>
        </w:rPr>
        <w:t>,</w:t>
      </w:r>
      <w:r>
        <w:rPr>
          <w:rFonts w:ascii="Times New Roman" w:eastAsia="MS Mincho" w:hAnsi="Times New Roman" w:cs="Times New Roman"/>
          <w:sz w:val="24"/>
          <w:szCs w:val="24"/>
          <w:lang w:val="en-NZ" w:eastAsia="ja-JP"/>
        </w:rPr>
        <w:t xml:space="preserve"> pp. </w:t>
      </w:r>
      <w:r w:rsidRPr="00683B65">
        <w:rPr>
          <w:rFonts w:ascii="Times New Roman" w:eastAsia="MS Mincho" w:hAnsi="Times New Roman" w:cs="Times New Roman"/>
          <w:sz w:val="24"/>
          <w:szCs w:val="24"/>
          <w:lang w:val="en-NZ" w:eastAsia="ja-JP"/>
        </w:rPr>
        <w:t>359</w:t>
      </w:r>
      <w:r>
        <w:rPr>
          <w:rFonts w:ascii="Times New Roman" w:eastAsia="MS Mincho" w:hAnsi="Times New Roman" w:cs="Times New Roman"/>
          <w:sz w:val="24"/>
          <w:szCs w:val="24"/>
          <w:lang w:val="en-NZ" w:eastAsia="ja-JP"/>
        </w:rPr>
        <w:t>-</w:t>
      </w:r>
      <w:r w:rsidRPr="00683B65">
        <w:rPr>
          <w:rFonts w:ascii="Times New Roman" w:eastAsia="MS Mincho" w:hAnsi="Times New Roman" w:cs="Times New Roman"/>
          <w:sz w:val="24"/>
          <w:szCs w:val="24"/>
          <w:lang w:val="en-NZ" w:eastAsia="ja-JP"/>
        </w:rPr>
        <w:t>374.</w:t>
      </w:r>
    </w:p>
    <w:p w14:paraId="6725189E" w14:textId="1D8338A7" w:rsidR="005E5931" w:rsidRDefault="005E5931" w:rsidP="005E5931">
      <w:pPr>
        <w:tabs>
          <w:tab w:val="left" w:pos="680"/>
        </w:tabs>
        <w:spacing w:after="0" w:line="240" w:lineRule="auto"/>
        <w:ind w:left="720" w:hanging="720"/>
        <w:rPr>
          <w:rFonts w:ascii="Times New Roman" w:eastAsia="MS Mincho" w:hAnsi="Times New Roman" w:cs="Times New Roman"/>
          <w:sz w:val="24"/>
          <w:szCs w:val="24"/>
          <w:lang w:val="en-NZ" w:eastAsia="ja-JP"/>
        </w:rPr>
      </w:pPr>
      <w:r>
        <w:rPr>
          <w:rFonts w:ascii="Times New Roman" w:eastAsia="MS Mincho" w:hAnsi="Times New Roman" w:cs="Times New Roman"/>
          <w:sz w:val="24"/>
          <w:szCs w:val="24"/>
          <w:lang w:val="en-NZ" w:eastAsia="ja-JP"/>
        </w:rPr>
        <w:t>Temin, D. (2013), “</w:t>
      </w:r>
      <w:r w:rsidRPr="00F56B83">
        <w:rPr>
          <w:rFonts w:ascii="Times New Roman" w:eastAsia="MS Mincho" w:hAnsi="Times New Roman" w:cs="Times New Roman"/>
          <w:sz w:val="24"/>
          <w:szCs w:val="24"/>
          <w:lang w:val="en-NZ" w:eastAsia="ja-JP"/>
        </w:rPr>
        <w:t xml:space="preserve">How </w:t>
      </w:r>
      <w:r>
        <w:rPr>
          <w:rFonts w:ascii="Times New Roman" w:eastAsia="MS Mincho" w:hAnsi="Times New Roman" w:cs="Times New Roman"/>
          <w:sz w:val="24"/>
          <w:szCs w:val="24"/>
          <w:lang w:val="en-NZ" w:eastAsia="ja-JP"/>
        </w:rPr>
        <w:t>a</w:t>
      </w:r>
      <w:r w:rsidRPr="00F56B83">
        <w:rPr>
          <w:rFonts w:ascii="Times New Roman" w:eastAsia="MS Mincho" w:hAnsi="Times New Roman" w:cs="Times New Roman"/>
          <w:sz w:val="24"/>
          <w:szCs w:val="24"/>
          <w:lang w:val="en-NZ" w:eastAsia="ja-JP"/>
        </w:rPr>
        <w:t xml:space="preserve"> CEO can wreck a brand in one interview: Lessons </w:t>
      </w:r>
      <w:r>
        <w:rPr>
          <w:rFonts w:ascii="Times New Roman" w:eastAsia="MS Mincho" w:hAnsi="Times New Roman" w:cs="Times New Roman"/>
          <w:sz w:val="24"/>
          <w:szCs w:val="24"/>
          <w:lang w:val="en-NZ" w:eastAsia="ja-JP"/>
        </w:rPr>
        <w:t xml:space="preserve">from </w:t>
      </w:r>
      <w:r w:rsidRPr="00F56B83">
        <w:rPr>
          <w:rFonts w:ascii="Times New Roman" w:eastAsia="MS Mincho" w:hAnsi="Times New Roman" w:cs="Times New Roman"/>
          <w:sz w:val="24"/>
          <w:szCs w:val="24"/>
          <w:lang w:val="en-NZ" w:eastAsia="ja-JP"/>
        </w:rPr>
        <w:t xml:space="preserve">Abercrombie &amp; Fitch </w:t>
      </w:r>
      <w:r>
        <w:rPr>
          <w:rFonts w:ascii="Times New Roman" w:eastAsia="MS Mincho" w:hAnsi="Times New Roman" w:cs="Times New Roman"/>
          <w:sz w:val="24"/>
          <w:szCs w:val="24"/>
          <w:lang w:val="en-NZ" w:eastAsia="ja-JP"/>
        </w:rPr>
        <w:t>v</w:t>
      </w:r>
      <w:r w:rsidRPr="00F56B83">
        <w:rPr>
          <w:rFonts w:ascii="Times New Roman" w:eastAsia="MS Mincho" w:hAnsi="Times New Roman" w:cs="Times New Roman"/>
          <w:sz w:val="24"/>
          <w:szCs w:val="24"/>
          <w:lang w:val="en-NZ" w:eastAsia="ja-JP"/>
        </w:rPr>
        <w:t>s. Dove</w:t>
      </w:r>
      <w:r>
        <w:rPr>
          <w:rFonts w:ascii="Times New Roman" w:eastAsia="MS Mincho" w:hAnsi="Times New Roman" w:cs="Times New Roman"/>
          <w:sz w:val="24"/>
          <w:szCs w:val="24"/>
          <w:lang w:val="en-NZ" w:eastAsia="ja-JP"/>
        </w:rPr>
        <w:t xml:space="preserve">”, </w:t>
      </w:r>
      <w:r>
        <w:rPr>
          <w:rFonts w:ascii="Times New Roman" w:eastAsia="MS Mincho" w:hAnsi="Times New Roman" w:cs="Times New Roman"/>
          <w:i/>
          <w:sz w:val="24"/>
          <w:szCs w:val="24"/>
          <w:lang w:val="en-NZ" w:eastAsia="ja-JP"/>
        </w:rPr>
        <w:t>Forbes</w:t>
      </w:r>
      <w:r>
        <w:rPr>
          <w:rFonts w:ascii="Times New Roman" w:eastAsia="MS Mincho" w:hAnsi="Times New Roman" w:cs="Times New Roman"/>
          <w:sz w:val="24"/>
          <w:szCs w:val="24"/>
          <w:lang w:val="en-NZ" w:eastAsia="ja-JP"/>
        </w:rPr>
        <w:t xml:space="preserve"> 13 June. </w:t>
      </w:r>
    </w:p>
    <w:p w14:paraId="046152B8" w14:textId="77777777" w:rsidR="00503E2F" w:rsidRPr="00421AC7" w:rsidRDefault="00503E2F" w:rsidP="00503E2F">
      <w:pPr>
        <w:tabs>
          <w:tab w:val="left" w:pos="680"/>
        </w:tabs>
        <w:spacing w:after="0" w:line="240" w:lineRule="auto"/>
        <w:ind w:left="720" w:hanging="720"/>
        <w:rPr>
          <w:rFonts w:ascii="Times New Roman" w:eastAsia="MS Mincho" w:hAnsi="Times New Roman" w:cs="Times New Roman"/>
          <w:sz w:val="24"/>
          <w:szCs w:val="24"/>
          <w:lang w:val="en-NZ" w:eastAsia="ja-JP"/>
        </w:rPr>
      </w:pPr>
      <w:proofErr w:type="spellStart"/>
      <w:r w:rsidRPr="009F15CA">
        <w:rPr>
          <w:rFonts w:ascii="Times New Roman" w:eastAsia="MS Mincho" w:hAnsi="Times New Roman" w:cs="Times New Roman"/>
          <w:sz w:val="24"/>
          <w:szCs w:val="24"/>
          <w:lang w:val="en-NZ" w:eastAsia="ja-JP"/>
        </w:rPr>
        <w:t>Verrecchia</w:t>
      </w:r>
      <w:proofErr w:type="spellEnd"/>
      <w:r w:rsidRPr="009F15CA">
        <w:rPr>
          <w:rFonts w:ascii="Times New Roman" w:eastAsia="MS Mincho" w:hAnsi="Times New Roman" w:cs="Times New Roman"/>
          <w:sz w:val="24"/>
          <w:szCs w:val="24"/>
          <w:lang w:val="en-NZ" w:eastAsia="ja-JP"/>
        </w:rPr>
        <w:t xml:space="preserve">, R. (1983), “Discretionary disclosure”, </w:t>
      </w:r>
      <w:r w:rsidRPr="009F15CA">
        <w:rPr>
          <w:rFonts w:ascii="Times New Roman" w:eastAsia="MS Mincho" w:hAnsi="Times New Roman" w:cs="Times New Roman"/>
          <w:i/>
          <w:sz w:val="24"/>
          <w:szCs w:val="24"/>
          <w:lang w:val="en-NZ" w:eastAsia="ja-JP"/>
        </w:rPr>
        <w:t>Journal of Accounting and Economics</w:t>
      </w:r>
      <w:r w:rsidRPr="009F15CA">
        <w:rPr>
          <w:rFonts w:ascii="Times New Roman" w:eastAsia="MS Mincho" w:hAnsi="Times New Roman" w:cs="Times New Roman"/>
          <w:sz w:val="24"/>
          <w:szCs w:val="24"/>
          <w:lang w:val="en-NZ" w:eastAsia="ja-JP"/>
        </w:rPr>
        <w:t>, Vol. 5, pp. 179-194.</w:t>
      </w:r>
    </w:p>
    <w:p w14:paraId="2873C5CB" w14:textId="77777777" w:rsidR="00503E2F" w:rsidRPr="00277429" w:rsidRDefault="00503E2F" w:rsidP="00503E2F">
      <w:pPr>
        <w:tabs>
          <w:tab w:val="left" w:pos="680"/>
        </w:tabs>
        <w:spacing w:after="0" w:line="240" w:lineRule="auto"/>
        <w:rPr>
          <w:rFonts w:ascii="Times New Roman" w:eastAsia="MS Mincho" w:hAnsi="Times New Roman" w:cs="Times New Roman"/>
          <w:sz w:val="24"/>
          <w:szCs w:val="24"/>
          <w:lang w:val="en-NZ" w:eastAsia="ja-JP"/>
        </w:rPr>
      </w:pPr>
      <w:r w:rsidRPr="00277429">
        <w:rPr>
          <w:rFonts w:ascii="Times New Roman" w:eastAsia="MS Mincho" w:hAnsi="Times New Roman" w:cs="Times New Roman"/>
          <w:sz w:val="24"/>
          <w:szCs w:val="24"/>
          <w:lang w:val="en-NZ" w:eastAsia="ja-JP"/>
        </w:rPr>
        <w:t xml:space="preserve">Warner, J., Watts, R. and </w:t>
      </w:r>
      <w:proofErr w:type="spellStart"/>
      <w:r w:rsidRPr="00277429">
        <w:rPr>
          <w:rFonts w:ascii="Times New Roman" w:eastAsia="MS Mincho" w:hAnsi="Times New Roman" w:cs="Times New Roman"/>
          <w:sz w:val="24"/>
          <w:szCs w:val="24"/>
          <w:lang w:val="en-NZ" w:eastAsia="ja-JP"/>
        </w:rPr>
        <w:t>Wruck</w:t>
      </w:r>
      <w:proofErr w:type="spellEnd"/>
      <w:r w:rsidRPr="00277429">
        <w:rPr>
          <w:rFonts w:ascii="Times New Roman" w:eastAsia="MS Mincho" w:hAnsi="Times New Roman" w:cs="Times New Roman"/>
          <w:sz w:val="24"/>
          <w:szCs w:val="24"/>
          <w:lang w:val="en-NZ" w:eastAsia="ja-JP"/>
        </w:rPr>
        <w:t xml:space="preserve">, K. (1988), “Stock prices and top management changes”, </w:t>
      </w:r>
      <w:r w:rsidRPr="00277429">
        <w:rPr>
          <w:rFonts w:ascii="Times New Roman" w:eastAsia="MS Mincho" w:hAnsi="Times New Roman" w:cs="Times New Roman"/>
          <w:sz w:val="24"/>
          <w:szCs w:val="24"/>
          <w:lang w:val="en-NZ" w:eastAsia="ja-JP"/>
        </w:rPr>
        <w:tab/>
      </w:r>
      <w:r w:rsidRPr="00277429">
        <w:rPr>
          <w:rFonts w:ascii="Times New Roman" w:eastAsia="MS Mincho" w:hAnsi="Times New Roman" w:cs="Times New Roman"/>
          <w:i/>
          <w:iCs/>
          <w:sz w:val="24"/>
          <w:szCs w:val="24"/>
          <w:lang w:val="en-NZ" w:eastAsia="ja-JP"/>
        </w:rPr>
        <w:t>Journal of Financial Economics</w:t>
      </w:r>
      <w:r w:rsidRPr="00277429">
        <w:rPr>
          <w:rFonts w:ascii="Times New Roman" w:eastAsia="MS Mincho" w:hAnsi="Times New Roman" w:cs="Times New Roman"/>
          <w:iCs/>
          <w:sz w:val="24"/>
          <w:szCs w:val="24"/>
          <w:lang w:val="en-NZ" w:eastAsia="ja-JP"/>
        </w:rPr>
        <w:t xml:space="preserve">, </w:t>
      </w:r>
      <w:r>
        <w:rPr>
          <w:rFonts w:ascii="Times New Roman" w:eastAsia="MS Mincho" w:hAnsi="Times New Roman" w:cs="Times New Roman"/>
          <w:iCs/>
          <w:sz w:val="24"/>
          <w:szCs w:val="24"/>
          <w:lang w:val="en-NZ" w:eastAsia="ja-JP"/>
        </w:rPr>
        <w:t>Vol.</w:t>
      </w:r>
      <w:r w:rsidRPr="00277429">
        <w:rPr>
          <w:rFonts w:ascii="Times New Roman" w:eastAsia="MS Mincho" w:hAnsi="Times New Roman" w:cs="Times New Roman"/>
          <w:sz w:val="24"/>
          <w:szCs w:val="24"/>
          <w:lang w:val="en-NZ" w:eastAsia="ja-JP"/>
        </w:rPr>
        <w:t xml:space="preserve"> 20</w:t>
      </w:r>
      <w:r>
        <w:rPr>
          <w:rFonts w:ascii="Times New Roman" w:eastAsia="MS Mincho" w:hAnsi="Times New Roman" w:cs="Times New Roman"/>
          <w:sz w:val="24"/>
          <w:szCs w:val="24"/>
          <w:lang w:val="en-NZ" w:eastAsia="ja-JP"/>
        </w:rPr>
        <w:t xml:space="preserve"> No. 1</w:t>
      </w:r>
      <w:r w:rsidRPr="00277429">
        <w:rPr>
          <w:rFonts w:ascii="Times New Roman" w:eastAsia="MS Mincho" w:hAnsi="Times New Roman" w:cs="Times New Roman"/>
          <w:sz w:val="24"/>
          <w:szCs w:val="24"/>
          <w:lang w:val="en-NZ" w:eastAsia="ja-JP"/>
        </w:rPr>
        <w:t>, pp. 461-492.</w:t>
      </w:r>
    </w:p>
    <w:p w14:paraId="048BE825" w14:textId="78F6FBF8" w:rsidR="00D63F3D" w:rsidRDefault="00D63F3D" w:rsidP="0097701F">
      <w:pPr>
        <w:spacing w:after="0" w:line="480" w:lineRule="auto"/>
        <w:jc w:val="center"/>
        <w:rPr>
          <w:rFonts w:ascii="Times New Roman" w:hAnsi="Times New Roman"/>
          <w:b/>
          <w:sz w:val="24"/>
          <w:szCs w:val="24"/>
        </w:rPr>
      </w:pPr>
    </w:p>
    <w:p w14:paraId="0655984E" w14:textId="77777777" w:rsidR="0097701F" w:rsidRDefault="0097701F" w:rsidP="0097701F">
      <w:pPr>
        <w:spacing w:after="0" w:line="480" w:lineRule="auto"/>
        <w:rPr>
          <w:rFonts w:ascii="Times New Roman" w:hAnsi="Times New Roman"/>
          <w:b/>
          <w:sz w:val="24"/>
          <w:szCs w:val="24"/>
        </w:rPr>
        <w:sectPr w:rsidR="0097701F" w:rsidSect="00675B4E">
          <w:footerReference w:type="default" r:id="rId10"/>
          <w:pgSz w:w="11906" w:h="16838"/>
          <w:pgMar w:top="1440" w:right="1440" w:bottom="1440" w:left="1440" w:header="708" w:footer="708" w:gutter="0"/>
          <w:cols w:space="708"/>
          <w:docGrid w:linePitch="360"/>
        </w:sectPr>
      </w:pPr>
    </w:p>
    <w:p w14:paraId="1CC0990B" w14:textId="77777777" w:rsidR="00AC7884" w:rsidRDefault="006029F5" w:rsidP="00AC7884">
      <w:pPr>
        <w:spacing w:after="0" w:line="480" w:lineRule="auto"/>
        <w:jc w:val="both"/>
        <w:rPr>
          <w:rFonts w:ascii="Times New Roman" w:eastAsia="Times New Roman" w:hAnsi="Times New Roman" w:cs="Times New Roman"/>
          <w:b/>
          <w:bCs/>
          <w:color w:val="000000"/>
          <w:sz w:val="24"/>
          <w:szCs w:val="24"/>
          <w:lang w:eastAsia="en-AU"/>
        </w:rPr>
      </w:pPr>
      <w:r>
        <w:rPr>
          <w:rFonts w:ascii="Times New Roman" w:hAnsi="Times New Roman"/>
          <w:b/>
          <w:sz w:val="24"/>
          <w:szCs w:val="24"/>
        </w:rPr>
        <w:lastRenderedPageBreak/>
        <w:t xml:space="preserve">Table 1: </w:t>
      </w:r>
      <w:r w:rsidR="009D7128">
        <w:rPr>
          <w:rFonts w:ascii="Times New Roman" w:hAnsi="Times New Roman"/>
          <w:b/>
          <w:sz w:val="24"/>
          <w:szCs w:val="24"/>
        </w:rPr>
        <w:t>D</w:t>
      </w:r>
      <w:r>
        <w:rPr>
          <w:rFonts w:ascii="Times New Roman" w:hAnsi="Times New Roman"/>
          <w:b/>
          <w:sz w:val="24"/>
          <w:szCs w:val="24"/>
        </w:rPr>
        <w:t>escriptive statistics</w:t>
      </w:r>
    </w:p>
    <w:tbl>
      <w:tblPr>
        <w:tblW w:w="9391" w:type="dxa"/>
        <w:tblInd w:w="91" w:type="dxa"/>
        <w:tblLayout w:type="fixed"/>
        <w:tblLook w:val="04A0" w:firstRow="1" w:lastRow="0" w:firstColumn="1" w:lastColumn="0" w:noHBand="0" w:noVBand="1"/>
      </w:tblPr>
      <w:tblGrid>
        <w:gridCol w:w="1557"/>
        <w:gridCol w:w="770"/>
        <w:gridCol w:w="131"/>
        <w:gridCol w:w="98"/>
        <w:gridCol w:w="542"/>
        <w:gridCol w:w="272"/>
        <w:gridCol w:w="206"/>
        <w:gridCol w:w="299"/>
        <w:gridCol w:w="409"/>
        <w:gridCol w:w="369"/>
        <w:gridCol w:w="54"/>
        <w:gridCol w:w="491"/>
        <w:gridCol w:w="213"/>
        <w:gridCol w:w="20"/>
        <w:gridCol w:w="697"/>
        <w:gridCol w:w="80"/>
        <w:gridCol w:w="552"/>
        <w:gridCol w:w="226"/>
        <w:gridCol w:w="406"/>
        <w:gridCol w:w="371"/>
        <w:gridCol w:w="261"/>
        <w:gridCol w:w="517"/>
        <w:gridCol w:w="115"/>
        <w:gridCol w:w="689"/>
        <w:gridCol w:w="15"/>
        <w:gridCol w:w="31"/>
      </w:tblGrid>
      <w:tr w:rsidR="00AC7884" w:rsidRPr="00AC7884" w14:paraId="7C1A253A" w14:textId="77777777" w:rsidTr="00F00AAE">
        <w:trPr>
          <w:trHeight w:val="219"/>
        </w:trPr>
        <w:tc>
          <w:tcPr>
            <w:tcW w:w="9391" w:type="dxa"/>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BBF105" w14:textId="77777777" w:rsidR="00AC7884" w:rsidRPr="00AC7884" w:rsidRDefault="00AC7884" w:rsidP="00AC7884">
            <w:pPr>
              <w:spacing w:after="0" w:line="240" w:lineRule="auto"/>
              <w:jc w:val="center"/>
              <w:rPr>
                <w:rFonts w:ascii="Times New Roman" w:eastAsia="Times New Roman" w:hAnsi="Times New Roman" w:cs="Times New Roman"/>
                <w:b/>
                <w:bCs/>
                <w:color w:val="000000"/>
                <w:sz w:val="24"/>
                <w:szCs w:val="24"/>
                <w:lang w:eastAsia="en-AU"/>
              </w:rPr>
            </w:pPr>
            <w:r w:rsidRPr="00AC7884">
              <w:rPr>
                <w:rFonts w:ascii="Times New Roman" w:eastAsia="Times New Roman" w:hAnsi="Times New Roman" w:cs="Times New Roman"/>
                <w:b/>
                <w:bCs/>
                <w:color w:val="000000"/>
                <w:sz w:val="24"/>
                <w:szCs w:val="24"/>
                <w:lang w:eastAsia="en-AU"/>
              </w:rPr>
              <w:t xml:space="preserve">Panel A: Sample </w:t>
            </w:r>
            <w:proofErr w:type="spellStart"/>
            <w:r w:rsidRPr="00AC7884">
              <w:rPr>
                <w:rFonts w:ascii="Times New Roman" w:eastAsia="Times New Roman" w:hAnsi="Times New Roman" w:cs="Times New Roman"/>
                <w:b/>
                <w:bCs/>
                <w:color w:val="000000"/>
                <w:sz w:val="24"/>
                <w:szCs w:val="24"/>
                <w:lang w:eastAsia="en-AU"/>
              </w:rPr>
              <w:t>descriptives</w:t>
            </w:r>
            <w:proofErr w:type="spellEnd"/>
          </w:p>
        </w:tc>
      </w:tr>
      <w:tr w:rsidR="00F00AAE" w:rsidRPr="00AC7884" w14:paraId="1A6574EB" w14:textId="77777777" w:rsidTr="00F00AAE">
        <w:trPr>
          <w:gridAfter w:val="2"/>
          <w:wAfter w:w="41" w:type="dxa"/>
          <w:trHeight w:val="219"/>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132F2A" w14:textId="77777777" w:rsidR="00AC7884" w:rsidRPr="00AC7884" w:rsidRDefault="00AC7884" w:rsidP="00AC7884">
            <w:pPr>
              <w:spacing w:after="0" w:line="240" w:lineRule="auto"/>
              <w:rPr>
                <w:rFonts w:ascii="Times New Roman" w:eastAsia="Times New Roman" w:hAnsi="Times New Roman" w:cs="Times New Roman"/>
                <w:color w:val="000000"/>
                <w:sz w:val="24"/>
                <w:szCs w:val="24"/>
                <w:lang w:eastAsia="en-AU"/>
              </w:rPr>
            </w:pPr>
            <w:r w:rsidRPr="00AC7884">
              <w:rPr>
                <w:rFonts w:ascii="Times New Roman" w:eastAsia="Times New Roman" w:hAnsi="Times New Roman" w:cs="Times New Roman"/>
                <w:color w:val="000000"/>
                <w:sz w:val="24"/>
                <w:szCs w:val="24"/>
                <w:lang w:eastAsia="en-AU"/>
              </w:rPr>
              <w:t>Variable</w:t>
            </w:r>
          </w:p>
        </w:tc>
        <w:tc>
          <w:tcPr>
            <w:tcW w:w="771" w:type="dxa"/>
            <w:tcBorders>
              <w:top w:val="nil"/>
              <w:left w:val="nil"/>
              <w:bottom w:val="single" w:sz="8" w:space="0" w:color="auto"/>
              <w:right w:val="nil"/>
            </w:tcBorders>
            <w:shd w:val="clear" w:color="auto" w:fill="auto"/>
            <w:noWrap/>
            <w:vAlign w:val="center"/>
            <w:hideMark/>
          </w:tcPr>
          <w:p w14:paraId="050512F0"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2000</w:t>
            </w:r>
          </w:p>
        </w:tc>
        <w:tc>
          <w:tcPr>
            <w:tcW w:w="773" w:type="dxa"/>
            <w:gridSpan w:val="3"/>
            <w:tcBorders>
              <w:top w:val="nil"/>
              <w:left w:val="nil"/>
              <w:bottom w:val="single" w:sz="8" w:space="0" w:color="auto"/>
              <w:right w:val="nil"/>
            </w:tcBorders>
            <w:shd w:val="clear" w:color="auto" w:fill="auto"/>
            <w:noWrap/>
            <w:vAlign w:val="center"/>
            <w:hideMark/>
          </w:tcPr>
          <w:p w14:paraId="2EB428E7"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2001</w:t>
            </w:r>
          </w:p>
        </w:tc>
        <w:tc>
          <w:tcPr>
            <w:tcW w:w="777" w:type="dxa"/>
            <w:gridSpan w:val="3"/>
            <w:tcBorders>
              <w:top w:val="nil"/>
              <w:left w:val="nil"/>
              <w:bottom w:val="single" w:sz="8" w:space="0" w:color="auto"/>
              <w:right w:val="nil"/>
            </w:tcBorders>
            <w:shd w:val="clear" w:color="auto" w:fill="auto"/>
            <w:noWrap/>
            <w:vAlign w:val="center"/>
            <w:hideMark/>
          </w:tcPr>
          <w:p w14:paraId="5091E3BC"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2002</w:t>
            </w:r>
          </w:p>
        </w:tc>
        <w:tc>
          <w:tcPr>
            <w:tcW w:w="778" w:type="dxa"/>
            <w:gridSpan w:val="2"/>
            <w:tcBorders>
              <w:top w:val="nil"/>
              <w:left w:val="nil"/>
              <w:bottom w:val="single" w:sz="8" w:space="0" w:color="auto"/>
              <w:right w:val="nil"/>
            </w:tcBorders>
            <w:shd w:val="clear" w:color="auto" w:fill="auto"/>
            <w:noWrap/>
            <w:vAlign w:val="center"/>
            <w:hideMark/>
          </w:tcPr>
          <w:p w14:paraId="07DA7785"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2003</w:t>
            </w:r>
          </w:p>
        </w:tc>
        <w:tc>
          <w:tcPr>
            <w:tcW w:w="778" w:type="dxa"/>
            <w:gridSpan w:val="4"/>
            <w:tcBorders>
              <w:top w:val="nil"/>
              <w:left w:val="nil"/>
              <w:bottom w:val="single" w:sz="8" w:space="0" w:color="auto"/>
              <w:right w:val="nil"/>
            </w:tcBorders>
            <w:shd w:val="clear" w:color="auto" w:fill="auto"/>
            <w:noWrap/>
            <w:vAlign w:val="center"/>
            <w:hideMark/>
          </w:tcPr>
          <w:p w14:paraId="6327E316"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2004</w:t>
            </w:r>
          </w:p>
        </w:tc>
        <w:tc>
          <w:tcPr>
            <w:tcW w:w="777" w:type="dxa"/>
            <w:gridSpan w:val="2"/>
            <w:tcBorders>
              <w:top w:val="nil"/>
              <w:left w:val="nil"/>
              <w:bottom w:val="single" w:sz="8" w:space="0" w:color="auto"/>
              <w:right w:val="nil"/>
            </w:tcBorders>
            <w:shd w:val="clear" w:color="auto" w:fill="auto"/>
            <w:noWrap/>
            <w:vAlign w:val="center"/>
            <w:hideMark/>
          </w:tcPr>
          <w:p w14:paraId="0C3F9E8F"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2005</w:t>
            </w:r>
          </w:p>
        </w:tc>
        <w:tc>
          <w:tcPr>
            <w:tcW w:w="778" w:type="dxa"/>
            <w:gridSpan w:val="2"/>
            <w:tcBorders>
              <w:top w:val="nil"/>
              <w:left w:val="nil"/>
              <w:bottom w:val="single" w:sz="8" w:space="0" w:color="auto"/>
              <w:right w:val="nil"/>
            </w:tcBorders>
            <w:shd w:val="clear" w:color="auto" w:fill="auto"/>
            <w:noWrap/>
            <w:vAlign w:val="center"/>
            <w:hideMark/>
          </w:tcPr>
          <w:p w14:paraId="7FB28613"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2006</w:t>
            </w:r>
          </w:p>
        </w:tc>
        <w:tc>
          <w:tcPr>
            <w:tcW w:w="777" w:type="dxa"/>
            <w:gridSpan w:val="2"/>
            <w:tcBorders>
              <w:top w:val="nil"/>
              <w:left w:val="nil"/>
              <w:bottom w:val="single" w:sz="8" w:space="0" w:color="auto"/>
              <w:right w:val="nil"/>
            </w:tcBorders>
            <w:shd w:val="clear" w:color="auto" w:fill="auto"/>
            <w:noWrap/>
            <w:vAlign w:val="center"/>
            <w:hideMark/>
          </w:tcPr>
          <w:p w14:paraId="7ECE7498"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2007</w:t>
            </w:r>
          </w:p>
        </w:tc>
        <w:tc>
          <w:tcPr>
            <w:tcW w:w="778" w:type="dxa"/>
            <w:gridSpan w:val="2"/>
            <w:tcBorders>
              <w:top w:val="nil"/>
              <w:left w:val="nil"/>
              <w:bottom w:val="single" w:sz="8" w:space="0" w:color="auto"/>
              <w:right w:val="nil"/>
            </w:tcBorders>
            <w:shd w:val="clear" w:color="auto" w:fill="auto"/>
            <w:noWrap/>
            <w:vAlign w:val="center"/>
            <w:hideMark/>
          </w:tcPr>
          <w:p w14:paraId="515BE86C"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2008</w:t>
            </w:r>
          </w:p>
        </w:tc>
        <w:tc>
          <w:tcPr>
            <w:tcW w:w="804" w:type="dxa"/>
            <w:gridSpan w:val="2"/>
            <w:tcBorders>
              <w:top w:val="nil"/>
              <w:left w:val="nil"/>
              <w:bottom w:val="single" w:sz="8" w:space="0" w:color="auto"/>
              <w:right w:val="single" w:sz="8" w:space="0" w:color="auto"/>
            </w:tcBorders>
            <w:shd w:val="clear" w:color="auto" w:fill="auto"/>
            <w:noWrap/>
            <w:vAlign w:val="center"/>
            <w:hideMark/>
          </w:tcPr>
          <w:p w14:paraId="4DF06527"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Total</w:t>
            </w:r>
          </w:p>
        </w:tc>
      </w:tr>
      <w:tr w:rsidR="00F00AAE" w:rsidRPr="00AC7884" w14:paraId="6EC8D3F7" w14:textId="77777777" w:rsidTr="00F00AAE">
        <w:trPr>
          <w:gridAfter w:val="2"/>
          <w:wAfter w:w="41" w:type="dxa"/>
          <w:trHeight w:val="197"/>
        </w:trPr>
        <w:tc>
          <w:tcPr>
            <w:tcW w:w="1559" w:type="dxa"/>
            <w:tcBorders>
              <w:top w:val="nil"/>
              <w:left w:val="single" w:sz="8" w:space="0" w:color="auto"/>
              <w:bottom w:val="nil"/>
              <w:right w:val="single" w:sz="8" w:space="0" w:color="auto"/>
            </w:tcBorders>
            <w:shd w:val="clear" w:color="auto" w:fill="auto"/>
            <w:noWrap/>
            <w:vAlign w:val="center"/>
            <w:hideMark/>
          </w:tcPr>
          <w:p w14:paraId="4143167D" w14:textId="77777777" w:rsidR="005559CC" w:rsidRPr="00AC7884" w:rsidRDefault="005559CC" w:rsidP="00AC7884">
            <w:pPr>
              <w:spacing w:after="0" w:line="240" w:lineRule="auto"/>
              <w:rPr>
                <w:rFonts w:ascii="Times New Roman" w:eastAsia="Times New Roman" w:hAnsi="Times New Roman" w:cs="Times New Roman"/>
                <w:i/>
                <w:iCs/>
                <w:color w:val="000000"/>
                <w:sz w:val="20"/>
                <w:szCs w:val="20"/>
                <w:lang w:eastAsia="en-AU"/>
              </w:rPr>
            </w:pPr>
            <w:r w:rsidRPr="00AC7884">
              <w:rPr>
                <w:rFonts w:ascii="Times New Roman" w:eastAsia="Times New Roman" w:hAnsi="Times New Roman" w:cs="Times New Roman"/>
                <w:i/>
                <w:iCs/>
                <w:color w:val="000000"/>
                <w:sz w:val="20"/>
                <w:szCs w:val="20"/>
                <w:lang w:eastAsia="en-AU"/>
              </w:rPr>
              <w:t>All</w:t>
            </w:r>
          </w:p>
        </w:tc>
        <w:tc>
          <w:tcPr>
            <w:tcW w:w="771" w:type="dxa"/>
            <w:tcBorders>
              <w:top w:val="nil"/>
              <w:left w:val="single" w:sz="8" w:space="0" w:color="auto"/>
              <w:bottom w:val="nil"/>
              <w:right w:val="nil"/>
            </w:tcBorders>
            <w:shd w:val="clear" w:color="auto" w:fill="auto"/>
            <w:noWrap/>
            <w:vAlign w:val="center"/>
            <w:hideMark/>
          </w:tcPr>
          <w:p w14:paraId="45C29F50"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w:t>
            </w:r>
          </w:p>
        </w:tc>
        <w:tc>
          <w:tcPr>
            <w:tcW w:w="773" w:type="dxa"/>
            <w:gridSpan w:val="3"/>
            <w:tcBorders>
              <w:top w:val="nil"/>
              <w:left w:val="nil"/>
              <w:bottom w:val="nil"/>
              <w:right w:val="nil"/>
            </w:tcBorders>
            <w:shd w:val="clear" w:color="auto" w:fill="auto"/>
            <w:noWrap/>
            <w:vAlign w:val="center"/>
            <w:hideMark/>
          </w:tcPr>
          <w:p w14:paraId="56669B19"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w:t>
            </w:r>
          </w:p>
        </w:tc>
        <w:tc>
          <w:tcPr>
            <w:tcW w:w="777" w:type="dxa"/>
            <w:gridSpan w:val="3"/>
            <w:tcBorders>
              <w:top w:val="nil"/>
              <w:left w:val="nil"/>
              <w:bottom w:val="nil"/>
              <w:right w:val="nil"/>
            </w:tcBorders>
            <w:shd w:val="clear" w:color="auto" w:fill="auto"/>
            <w:noWrap/>
            <w:vAlign w:val="center"/>
            <w:hideMark/>
          </w:tcPr>
          <w:p w14:paraId="39590285"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7</w:t>
            </w:r>
          </w:p>
        </w:tc>
        <w:tc>
          <w:tcPr>
            <w:tcW w:w="778" w:type="dxa"/>
            <w:gridSpan w:val="2"/>
            <w:tcBorders>
              <w:top w:val="nil"/>
              <w:left w:val="nil"/>
              <w:bottom w:val="nil"/>
              <w:right w:val="nil"/>
            </w:tcBorders>
            <w:shd w:val="clear" w:color="auto" w:fill="auto"/>
            <w:noWrap/>
            <w:vAlign w:val="center"/>
            <w:hideMark/>
          </w:tcPr>
          <w:p w14:paraId="26C28C7F"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14</w:t>
            </w:r>
          </w:p>
        </w:tc>
        <w:tc>
          <w:tcPr>
            <w:tcW w:w="778" w:type="dxa"/>
            <w:gridSpan w:val="4"/>
            <w:tcBorders>
              <w:top w:val="nil"/>
              <w:left w:val="nil"/>
              <w:bottom w:val="nil"/>
              <w:right w:val="nil"/>
            </w:tcBorders>
            <w:shd w:val="clear" w:color="auto" w:fill="auto"/>
            <w:noWrap/>
            <w:vAlign w:val="center"/>
            <w:hideMark/>
          </w:tcPr>
          <w:p w14:paraId="1094B85C"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20</w:t>
            </w:r>
          </w:p>
        </w:tc>
        <w:tc>
          <w:tcPr>
            <w:tcW w:w="777" w:type="dxa"/>
            <w:gridSpan w:val="2"/>
            <w:tcBorders>
              <w:top w:val="nil"/>
              <w:left w:val="nil"/>
              <w:bottom w:val="nil"/>
              <w:right w:val="nil"/>
            </w:tcBorders>
            <w:shd w:val="clear" w:color="auto" w:fill="auto"/>
            <w:noWrap/>
            <w:vAlign w:val="center"/>
            <w:hideMark/>
          </w:tcPr>
          <w:p w14:paraId="34715B31"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27</w:t>
            </w:r>
          </w:p>
        </w:tc>
        <w:tc>
          <w:tcPr>
            <w:tcW w:w="778" w:type="dxa"/>
            <w:gridSpan w:val="2"/>
            <w:tcBorders>
              <w:top w:val="nil"/>
              <w:left w:val="nil"/>
              <w:bottom w:val="nil"/>
              <w:right w:val="nil"/>
            </w:tcBorders>
            <w:shd w:val="clear" w:color="auto" w:fill="auto"/>
            <w:noWrap/>
            <w:vAlign w:val="center"/>
            <w:hideMark/>
          </w:tcPr>
          <w:p w14:paraId="7BC4425C"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29</w:t>
            </w:r>
          </w:p>
        </w:tc>
        <w:tc>
          <w:tcPr>
            <w:tcW w:w="777" w:type="dxa"/>
            <w:gridSpan w:val="2"/>
            <w:tcBorders>
              <w:top w:val="nil"/>
              <w:left w:val="nil"/>
              <w:bottom w:val="nil"/>
              <w:right w:val="nil"/>
            </w:tcBorders>
            <w:shd w:val="clear" w:color="auto" w:fill="auto"/>
            <w:noWrap/>
            <w:vAlign w:val="center"/>
            <w:hideMark/>
          </w:tcPr>
          <w:p w14:paraId="3332C247"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38</w:t>
            </w:r>
          </w:p>
        </w:tc>
        <w:tc>
          <w:tcPr>
            <w:tcW w:w="778" w:type="dxa"/>
            <w:gridSpan w:val="2"/>
            <w:tcBorders>
              <w:top w:val="nil"/>
              <w:left w:val="nil"/>
              <w:bottom w:val="nil"/>
              <w:right w:val="nil"/>
            </w:tcBorders>
            <w:shd w:val="clear" w:color="auto" w:fill="auto"/>
            <w:noWrap/>
            <w:vAlign w:val="center"/>
            <w:hideMark/>
          </w:tcPr>
          <w:p w14:paraId="3D53E533"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33</w:t>
            </w:r>
          </w:p>
        </w:tc>
        <w:tc>
          <w:tcPr>
            <w:tcW w:w="804" w:type="dxa"/>
            <w:gridSpan w:val="2"/>
            <w:tcBorders>
              <w:top w:val="nil"/>
              <w:left w:val="nil"/>
              <w:bottom w:val="nil"/>
              <w:right w:val="single" w:sz="8" w:space="0" w:color="auto"/>
            </w:tcBorders>
            <w:shd w:val="clear" w:color="auto" w:fill="auto"/>
            <w:noWrap/>
            <w:vAlign w:val="center"/>
            <w:hideMark/>
          </w:tcPr>
          <w:p w14:paraId="568CB35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171</w:t>
            </w:r>
          </w:p>
        </w:tc>
      </w:tr>
      <w:tr w:rsidR="00F00AAE" w:rsidRPr="00AC7884" w14:paraId="1E755E5B" w14:textId="77777777" w:rsidTr="00F00AAE">
        <w:trPr>
          <w:gridAfter w:val="2"/>
          <w:wAfter w:w="41" w:type="dxa"/>
          <w:trHeight w:val="197"/>
        </w:trPr>
        <w:tc>
          <w:tcPr>
            <w:tcW w:w="1559" w:type="dxa"/>
            <w:tcBorders>
              <w:top w:val="nil"/>
              <w:left w:val="single" w:sz="8" w:space="0" w:color="auto"/>
              <w:bottom w:val="nil"/>
              <w:right w:val="single" w:sz="8" w:space="0" w:color="auto"/>
            </w:tcBorders>
            <w:shd w:val="clear" w:color="auto" w:fill="auto"/>
            <w:noWrap/>
            <w:vAlign w:val="center"/>
            <w:hideMark/>
          </w:tcPr>
          <w:p w14:paraId="29788FE3" w14:textId="77777777" w:rsidR="005559CC" w:rsidRPr="00AC7884" w:rsidRDefault="005559CC" w:rsidP="00AC7884">
            <w:pPr>
              <w:spacing w:after="0" w:line="240" w:lineRule="auto"/>
              <w:rPr>
                <w:rFonts w:ascii="Times New Roman" w:eastAsia="Times New Roman" w:hAnsi="Times New Roman" w:cs="Times New Roman"/>
                <w:i/>
                <w:iCs/>
                <w:color w:val="000000"/>
                <w:sz w:val="20"/>
                <w:szCs w:val="20"/>
                <w:lang w:eastAsia="en-AU"/>
              </w:rPr>
            </w:pPr>
            <w:r w:rsidRPr="00AC7884">
              <w:rPr>
                <w:rFonts w:ascii="Times New Roman" w:eastAsia="Times New Roman" w:hAnsi="Times New Roman" w:cs="Times New Roman"/>
                <w:i/>
                <w:iCs/>
                <w:color w:val="000000"/>
                <w:sz w:val="20"/>
                <w:szCs w:val="20"/>
                <w:lang w:eastAsia="en-AU"/>
              </w:rPr>
              <w:t>PAR</w:t>
            </w:r>
          </w:p>
        </w:tc>
        <w:tc>
          <w:tcPr>
            <w:tcW w:w="771" w:type="dxa"/>
            <w:tcBorders>
              <w:top w:val="nil"/>
              <w:left w:val="nil"/>
              <w:bottom w:val="nil"/>
              <w:right w:val="nil"/>
            </w:tcBorders>
            <w:shd w:val="clear" w:color="auto" w:fill="auto"/>
            <w:noWrap/>
            <w:vAlign w:val="center"/>
            <w:hideMark/>
          </w:tcPr>
          <w:p w14:paraId="1134B35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0</w:t>
            </w:r>
          </w:p>
        </w:tc>
        <w:tc>
          <w:tcPr>
            <w:tcW w:w="773" w:type="dxa"/>
            <w:gridSpan w:val="3"/>
            <w:tcBorders>
              <w:top w:val="nil"/>
              <w:left w:val="nil"/>
              <w:bottom w:val="nil"/>
              <w:right w:val="nil"/>
            </w:tcBorders>
            <w:shd w:val="clear" w:color="auto" w:fill="auto"/>
            <w:noWrap/>
            <w:vAlign w:val="center"/>
            <w:hideMark/>
          </w:tcPr>
          <w:p w14:paraId="2DD0A2BD"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0</w:t>
            </w:r>
          </w:p>
        </w:tc>
        <w:tc>
          <w:tcPr>
            <w:tcW w:w="777" w:type="dxa"/>
            <w:gridSpan w:val="3"/>
            <w:tcBorders>
              <w:top w:val="nil"/>
              <w:left w:val="nil"/>
              <w:bottom w:val="nil"/>
              <w:right w:val="nil"/>
            </w:tcBorders>
            <w:shd w:val="clear" w:color="auto" w:fill="auto"/>
            <w:noWrap/>
            <w:vAlign w:val="center"/>
            <w:hideMark/>
          </w:tcPr>
          <w:p w14:paraId="380004DA"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3</w:t>
            </w:r>
          </w:p>
        </w:tc>
        <w:tc>
          <w:tcPr>
            <w:tcW w:w="778" w:type="dxa"/>
            <w:gridSpan w:val="2"/>
            <w:tcBorders>
              <w:top w:val="nil"/>
              <w:left w:val="nil"/>
              <w:bottom w:val="nil"/>
              <w:right w:val="nil"/>
            </w:tcBorders>
            <w:shd w:val="clear" w:color="auto" w:fill="auto"/>
            <w:noWrap/>
            <w:vAlign w:val="center"/>
            <w:hideMark/>
          </w:tcPr>
          <w:p w14:paraId="73C6F104"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6</w:t>
            </w:r>
          </w:p>
        </w:tc>
        <w:tc>
          <w:tcPr>
            <w:tcW w:w="778" w:type="dxa"/>
            <w:gridSpan w:val="4"/>
            <w:tcBorders>
              <w:top w:val="nil"/>
              <w:left w:val="nil"/>
              <w:bottom w:val="nil"/>
              <w:right w:val="nil"/>
            </w:tcBorders>
            <w:shd w:val="clear" w:color="auto" w:fill="auto"/>
            <w:noWrap/>
            <w:vAlign w:val="center"/>
            <w:hideMark/>
          </w:tcPr>
          <w:p w14:paraId="32190DC8"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4</w:t>
            </w:r>
          </w:p>
        </w:tc>
        <w:tc>
          <w:tcPr>
            <w:tcW w:w="777" w:type="dxa"/>
            <w:gridSpan w:val="2"/>
            <w:tcBorders>
              <w:top w:val="nil"/>
              <w:left w:val="nil"/>
              <w:bottom w:val="nil"/>
              <w:right w:val="nil"/>
            </w:tcBorders>
            <w:shd w:val="clear" w:color="auto" w:fill="auto"/>
            <w:noWrap/>
            <w:vAlign w:val="center"/>
            <w:hideMark/>
          </w:tcPr>
          <w:p w14:paraId="063277B8"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5</w:t>
            </w:r>
          </w:p>
        </w:tc>
        <w:tc>
          <w:tcPr>
            <w:tcW w:w="778" w:type="dxa"/>
            <w:gridSpan w:val="2"/>
            <w:tcBorders>
              <w:top w:val="nil"/>
              <w:left w:val="nil"/>
              <w:bottom w:val="nil"/>
              <w:right w:val="nil"/>
            </w:tcBorders>
            <w:shd w:val="clear" w:color="auto" w:fill="auto"/>
            <w:noWrap/>
            <w:vAlign w:val="center"/>
            <w:hideMark/>
          </w:tcPr>
          <w:p w14:paraId="59277AF3"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3</w:t>
            </w:r>
          </w:p>
        </w:tc>
        <w:tc>
          <w:tcPr>
            <w:tcW w:w="777" w:type="dxa"/>
            <w:gridSpan w:val="2"/>
            <w:tcBorders>
              <w:top w:val="nil"/>
              <w:left w:val="nil"/>
              <w:bottom w:val="nil"/>
              <w:right w:val="nil"/>
            </w:tcBorders>
            <w:shd w:val="clear" w:color="auto" w:fill="auto"/>
            <w:noWrap/>
            <w:vAlign w:val="center"/>
            <w:hideMark/>
          </w:tcPr>
          <w:p w14:paraId="5AA4A374"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5</w:t>
            </w:r>
          </w:p>
        </w:tc>
        <w:tc>
          <w:tcPr>
            <w:tcW w:w="778" w:type="dxa"/>
            <w:gridSpan w:val="2"/>
            <w:tcBorders>
              <w:top w:val="nil"/>
              <w:left w:val="nil"/>
              <w:bottom w:val="nil"/>
              <w:right w:val="nil"/>
            </w:tcBorders>
            <w:shd w:val="clear" w:color="auto" w:fill="auto"/>
            <w:noWrap/>
            <w:vAlign w:val="center"/>
            <w:hideMark/>
          </w:tcPr>
          <w:p w14:paraId="791F778C"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5</w:t>
            </w:r>
          </w:p>
        </w:tc>
        <w:tc>
          <w:tcPr>
            <w:tcW w:w="804" w:type="dxa"/>
            <w:gridSpan w:val="2"/>
            <w:tcBorders>
              <w:top w:val="nil"/>
              <w:left w:val="nil"/>
              <w:bottom w:val="nil"/>
              <w:right w:val="single" w:sz="8" w:space="0" w:color="auto"/>
            </w:tcBorders>
            <w:shd w:val="clear" w:color="auto" w:fill="auto"/>
            <w:noWrap/>
            <w:vAlign w:val="center"/>
            <w:hideMark/>
          </w:tcPr>
          <w:p w14:paraId="473A30F7"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31</w:t>
            </w:r>
          </w:p>
        </w:tc>
      </w:tr>
      <w:tr w:rsidR="00F00AAE" w:rsidRPr="00AC7884" w14:paraId="542A5E3F" w14:textId="77777777" w:rsidTr="00F00AAE">
        <w:trPr>
          <w:gridAfter w:val="2"/>
          <w:wAfter w:w="41" w:type="dxa"/>
          <w:trHeight w:val="197"/>
        </w:trPr>
        <w:tc>
          <w:tcPr>
            <w:tcW w:w="1559" w:type="dxa"/>
            <w:tcBorders>
              <w:top w:val="nil"/>
              <w:left w:val="single" w:sz="8" w:space="0" w:color="auto"/>
              <w:bottom w:val="nil"/>
              <w:right w:val="single" w:sz="8" w:space="0" w:color="auto"/>
            </w:tcBorders>
            <w:shd w:val="clear" w:color="auto" w:fill="auto"/>
            <w:noWrap/>
            <w:vAlign w:val="center"/>
            <w:hideMark/>
          </w:tcPr>
          <w:p w14:paraId="17B18EBF" w14:textId="77777777" w:rsidR="005559CC" w:rsidRPr="00AC7884" w:rsidRDefault="005559CC" w:rsidP="00AC7884">
            <w:pPr>
              <w:spacing w:after="0" w:line="240" w:lineRule="auto"/>
              <w:rPr>
                <w:rFonts w:ascii="Times New Roman" w:eastAsia="Times New Roman" w:hAnsi="Times New Roman" w:cs="Times New Roman"/>
                <w:i/>
                <w:iCs/>
                <w:color w:val="000000"/>
                <w:sz w:val="20"/>
                <w:szCs w:val="20"/>
                <w:lang w:eastAsia="en-AU"/>
              </w:rPr>
            </w:pPr>
            <w:r w:rsidRPr="00AC7884">
              <w:rPr>
                <w:rFonts w:ascii="Times New Roman" w:eastAsia="Times New Roman" w:hAnsi="Times New Roman" w:cs="Times New Roman"/>
                <w:i/>
                <w:iCs/>
                <w:color w:val="000000"/>
                <w:sz w:val="20"/>
                <w:szCs w:val="20"/>
                <w:lang w:eastAsia="en-AU"/>
              </w:rPr>
              <w:t>IP</w:t>
            </w:r>
          </w:p>
        </w:tc>
        <w:tc>
          <w:tcPr>
            <w:tcW w:w="771" w:type="dxa"/>
            <w:tcBorders>
              <w:top w:val="nil"/>
              <w:left w:val="nil"/>
              <w:bottom w:val="nil"/>
              <w:right w:val="nil"/>
            </w:tcBorders>
            <w:shd w:val="clear" w:color="auto" w:fill="auto"/>
            <w:noWrap/>
            <w:vAlign w:val="center"/>
            <w:hideMark/>
          </w:tcPr>
          <w:p w14:paraId="11BDE605"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w:t>
            </w:r>
          </w:p>
        </w:tc>
        <w:tc>
          <w:tcPr>
            <w:tcW w:w="773" w:type="dxa"/>
            <w:gridSpan w:val="3"/>
            <w:tcBorders>
              <w:top w:val="nil"/>
              <w:left w:val="nil"/>
              <w:bottom w:val="nil"/>
              <w:right w:val="nil"/>
            </w:tcBorders>
            <w:shd w:val="clear" w:color="auto" w:fill="auto"/>
            <w:noWrap/>
            <w:vAlign w:val="center"/>
            <w:hideMark/>
          </w:tcPr>
          <w:p w14:paraId="3D2DFCDF"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w:t>
            </w:r>
          </w:p>
        </w:tc>
        <w:tc>
          <w:tcPr>
            <w:tcW w:w="777" w:type="dxa"/>
            <w:gridSpan w:val="3"/>
            <w:tcBorders>
              <w:top w:val="nil"/>
              <w:left w:val="nil"/>
              <w:bottom w:val="nil"/>
              <w:right w:val="nil"/>
            </w:tcBorders>
            <w:shd w:val="clear" w:color="auto" w:fill="auto"/>
            <w:noWrap/>
            <w:vAlign w:val="center"/>
            <w:hideMark/>
          </w:tcPr>
          <w:p w14:paraId="284AD38D"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4</w:t>
            </w:r>
          </w:p>
        </w:tc>
        <w:tc>
          <w:tcPr>
            <w:tcW w:w="778" w:type="dxa"/>
            <w:gridSpan w:val="2"/>
            <w:tcBorders>
              <w:top w:val="nil"/>
              <w:left w:val="nil"/>
              <w:bottom w:val="nil"/>
              <w:right w:val="nil"/>
            </w:tcBorders>
            <w:shd w:val="clear" w:color="auto" w:fill="auto"/>
            <w:noWrap/>
            <w:vAlign w:val="center"/>
            <w:hideMark/>
          </w:tcPr>
          <w:p w14:paraId="59A2883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7</w:t>
            </w:r>
          </w:p>
        </w:tc>
        <w:tc>
          <w:tcPr>
            <w:tcW w:w="778" w:type="dxa"/>
            <w:gridSpan w:val="4"/>
            <w:tcBorders>
              <w:top w:val="nil"/>
              <w:left w:val="nil"/>
              <w:bottom w:val="nil"/>
              <w:right w:val="nil"/>
            </w:tcBorders>
            <w:shd w:val="clear" w:color="auto" w:fill="auto"/>
            <w:noWrap/>
            <w:vAlign w:val="center"/>
            <w:hideMark/>
          </w:tcPr>
          <w:p w14:paraId="4B505E1A"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6</w:t>
            </w:r>
          </w:p>
        </w:tc>
        <w:tc>
          <w:tcPr>
            <w:tcW w:w="777" w:type="dxa"/>
            <w:gridSpan w:val="2"/>
            <w:tcBorders>
              <w:top w:val="nil"/>
              <w:left w:val="nil"/>
              <w:bottom w:val="nil"/>
              <w:right w:val="nil"/>
            </w:tcBorders>
            <w:shd w:val="clear" w:color="auto" w:fill="auto"/>
            <w:noWrap/>
            <w:vAlign w:val="center"/>
            <w:hideMark/>
          </w:tcPr>
          <w:p w14:paraId="6536E728"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8</w:t>
            </w:r>
          </w:p>
        </w:tc>
        <w:tc>
          <w:tcPr>
            <w:tcW w:w="778" w:type="dxa"/>
            <w:gridSpan w:val="2"/>
            <w:tcBorders>
              <w:top w:val="nil"/>
              <w:left w:val="nil"/>
              <w:bottom w:val="nil"/>
              <w:right w:val="nil"/>
            </w:tcBorders>
            <w:shd w:val="clear" w:color="auto" w:fill="auto"/>
            <w:noWrap/>
            <w:vAlign w:val="center"/>
            <w:hideMark/>
          </w:tcPr>
          <w:p w14:paraId="064ECFF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5</w:t>
            </w:r>
          </w:p>
        </w:tc>
        <w:tc>
          <w:tcPr>
            <w:tcW w:w="777" w:type="dxa"/>
            <w:gridSpan w:val="2"/>
            <w:tcBorders>
              <w:top w:val="nil"/>
              <w:left w:val="nil"/>
              <w:bottom w:val="nil"/>
              <w:right w:val="nil"/>
            </w:tcBorders>
            <w:shd w:val="clear" w:color="auto" w:fill="auto"/>
            <w:noWrap/>
            <w:vAlign w:val="center"/>
            <w:hideMark/>
          </w:tcPr>
          <w:p w14:paraId="188CCF7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11</w:t>
            </w:r>
          </w:p>
        </w:tc>
        <w:tc>
          <w:tcPr>
            <w:tcW w:w="778" w:type="dxa"/>
            <w:gridSpan w:val="2"/>
            <w:tcBorders>
              <w:top w:val="nil"/>
              <w:left w:val="nil"/>
              <w:bottom w:val="nil"/>
              <w:right w:val="nil"/>
            </w:tcBorders>
            <w:shd w:val="clear" w:color="auto" w:fill="auto"/>
            <w:noWrap/>
            <w:vAlign w:val="center"/>
            <w:hideMark/>
          </w:tcPr>
          <w:p w14:paraId="6CFF9318"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13</w:t>
            </w:r>
          </w:p>
        </w:tc>
        <w:tc>
          <w:tcPr>
            <w:tcW w:w="804" w:type="dxa"/>
            <w:gridSpan w:val="2"/>
            <w:tcBorders>
              <w:top w:val="nil"/>
              <w:left w:val="nil"/>
              <w:bottom w:val="nil"/>
              <w:right w:val="single" w:sz="8" w:space="0" w:color="auto"/>
            </w:tcBorders>
            <w:shd w:val="clear" w:color="auto" w:fill="auto"/>
            <w:noWrap/>
            <w:vAlign w:val="center"/>
            <w:hideMark/>
          </w:tcPr>
          <w:p w14:paraId="23BAE68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57</w:t>
            </w:r>
          </w:p>
        </w:tc>
      </w:tr>
      <w:tr w:rsidR="00F00AAE" w:rsidRPr="00AC7884" w14:paraId="59620346" w14:textId="77777777" w:rsidTr="00F00AAE">
        <w:trPr>
          <w:gridAfter w:val="2"/>
          <w:wAfter w:w="41" w:type="dxa"/>
          <w:trHeight w:val="208"/>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86E803C" w14:textId="77777777" w:rsidR="005559CC" w:rsidRPr="00AC7884" w:rsidRDefault="005559CC" w:rsidP="00AC7884">
            <w:pPr>
              <w:spacing w:after="0" w:line="240" w:lineRule="auto"/>
              <w:rPr>
                <w:rFonts w:ascii="Times New Roman" w:eastAsia="Times New Roman" w:hAnsi="Times New Roman" w:cs="Times New Roman"/>
                <w:i/>
                <w:iCs/>
                <w:color w:val="000000"/>
                <w:sz w:val="20"/>
                <w:szCs w:val="20"/>
                <w:lang w:eastAsia="en-AU"/>
              </w:rPr>
            </w:pPr>
            <w:r w:rsidRPr="00AC7884">
              <w:rPr>
                <w:rFonts w:ascii="Times New Roman" w:eastAsia="Times New Roman" w:hAnsi="Times New Roman" w:cs="Times New Roman"/>
                <w:i/>
                <w:iCs/>
                <w:color w:val="000000"/>
                <w:sz w:val="20"/>
                <w:szCs w:val="20"/>
                <w:lang w:eastAsia="en-AU"/>
              </w:rPr>
              <w:t>OB</w:t>
            </w:r>
          </w:p>
        </w:tc>
        <w:tc>
          <w:tcPr>
            <w:tcW w:w="771" w:type="dxa"/>
            <w:tcBorders>
              <w:top w:val="nil"/>
              <w:left w:val="nil"/>
              <w:bottom w:val="single" w:sz="8" w:space="0" w:color="auto"/>
              <w:right w:val="nil"/>
            </w:tcBorders>
            <w:shd w:val="clear" w:color="auto" w:fill="auto"/>
            <w:noWrap/>
            <w:vAlign w:val="center"/>
            <w:hideMark/>
          </w:tcPr>
          <w:p w14:paraId="423A6679"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0</w:t>
            </w:r>
          </w:p>
        </w:tc>
        <w:tc>
          <w:tcPr>
            <w:tcW w:w="773" w:type="dxa"/>
            <w:gridSpan w:val="3"/>
            <w:tcBorders>
              <w:top w:val="nil"/>
              <w:left w:val="nil"/>
              <w:bottom w:val="single" w:sz="8" w:space="0" w:color="auto"/>
              <w:right w:val="nil"/>
            </w:tcBorders>
            <w:shd w:val="clear" w:color="auto" w:fill="auto"/>
            <w:noWrap/>
            <w:vAlign w:val="center"/>
            <w:hideMark/>
          </w:tcPr>
          <w:p w14:paraId="557A005B"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0</w:t>
            </w:r>
          </w:p>
        </w:tc>
        <w:tc>
          <w:tcPr>
            <w:tcW w:w="777" w:type="dxa"/>
            <w:gridSpan w:val="3"/>
            <w:tcBorders>
              <w:top w:val="nil"/>
              <w:left w:val="nil"/>
              <w:bottom w:val="single" w:sz="8" w:space="0" w:color="auto"/>
              <w:right w:val="nil"/>
            </w:tcBorders>
            <w:shd w:val="clear" w:color="auto" w:fill="auto"/>
            <w:noWrap/>
            <w:vAlign w:val="center"/>
            <w:hideMark/>
          </w:tcPr>
          <w:p w14:paraId="446C7914"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0</w:t>
            </w:r>
          </w:p>
        </w:tc>
        <w:tc>
          <w:tcPr>
            <w:tcW w:w="778" w:type="dxa"/>
            <w:gridSpan w:val="2"/>
            <w:tcBorders>
              <w:top w:val="nil"/>
              <w:left w:val="nil"/>
              <w:bottom w:val="single" w:sz="8" w:space="0" w:color="auto"/>
              <w:right w:val="nil"/>
            </w:tcBorders>
            <w:shd w:val="clear" w:color="auto" w:fill="auto"/>
            <w:noWrap/>
            <w:vAlign w:val="center"/>
            <w:hideMark/>
          </w:tcPr>
          <w:p w14:paraId="106DBBD3"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w:t>
            </w:r>
          </w:p>
        </w:tc>
        <w:tc>
          <w:tcPr>
            <w:tcW w:w="778" w:type="dxa"/>
            <w:gridSpan w:val="4"/>
            <w:tcBorders>
              <w:top w:val="nil"/>
              <w:left w:val="nil"/>
              <w:bottom w:val="single" w:sz="8" w:space="0" w:color="auto"/>
              <w:right w:val="nil"/>
            </w:tcBorders>
            <w:shd w:val="clear" w:color="auto" w:fill="auto"/>
            <w:noWrap/>
            <w:vAlign w:val="center"/>
            <w:hideMark/>
          </w:tcPr>
          <w:p w14:paraId="5CCB5309"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10</w:t>
            </w:r>
          </w:p>
        </w:tc>
        <w:tc>
          <w:tcPr>
            <w:tcW w:w="777" w:type="dxa"/>
            <w:gridSpan w:val="2"/>
            <w:tcBorders>
              <w:top w:val="nil"/>
              <w:left w:val="nil"/>
              <w:bottom w:val="single" w:sz="8" w:space="0" w:color="auto"/>
              <w:right w:val="nil"/>
            </w:tcBorders>
            <w:shd w:val="clear" w:color="auto" w:fill="auto"/>
            <w:noWrap/>
            <w:vAlign w:val="center"/>
            <w:hideMark/>
          </w:tcPr>
          <w:p w14:paraId="7F3D61BF"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14</w:t>
            </w:r>
          </w:p>
        </w:tc>
        <w:tc>
          <w:tcPr>
            <w:tcW w:w="778" w:type="dxa"/>
            <w:gridSpan w:val="2"/>
            <w:tcBorders>
              <w:top w:val="nil"/>
              <w:left w:val="nil"/>
              <w:bottom w:val="single" w:sz="8" w:space="0" w:color="auto"/>
              <w:right w:val="nil"/>
            </w:tcBorders>
            <w:shd w:val="clear" w:color="auto" w:fill="auto"/>
            <w:noWrap/>
            <w:vAlign w:val="center"/>
            <w:hideMark/>
          </w:tcPr>
          <w:p w14:paraId="70DBE8A6"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21</w:t>
            </w:r>
          </w:p>
        </w:tc>
        <w:tc>
          <w:tcPr>
            <w:tcW w:w="777" w:type="dxa"/>
            <w:gridSpan w:val="2"/>
            <w:tcBorders>
              <w:top w:val="nil"/>
              <w:left w:val="nil"/>
              <w:bottom w:val="single" w:sz="8" w:space="0" w:color="auto"/>
              <w:right w:val="nil"/>
            </w:tcBorders>
            <w:shd w:val="clear" w:color="auto" w:fill="auto"/>
            <w:noWrap/>
            <w:vAlign w:val="center"/>
            <w:hideMark/>
          </w:tcPr>
          <w:p w14:paraId="3F7929B5"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22</w:t>
            </w:r>
          </w:p>
        </w:tc>
        <w:tc>
          <w:tcPr>
            <w:tcW w:w="778" w:type="dxa"/>
            <w:gridSpan w:val="2"/>
            <w:tcBorders>
              <w:top w:val="nil"/>
              <w:left w:val="nil"/>
              <w:bottom w:val="single" w:sz="8" w:space="0" w:color="auto"/>
              <w:right w:val="nil"/>
            </w:tcBorders>
            <w:shd w:val="clear" w:color="auto" w:fill="auto"/>
            <w:noWrap/>
            <w:vAlign w:val="center"/>
            <w:hideMark/>
          </w:tcPr>
          <w:p w14:paraId="2641D2E8"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15</w:t>
            </w:r>
          </w:p>
        </w:tc>
        <w:tc>
          <w:tcPr>
            <w:tcW w:w="804" w:type="dxa"/>
            <w:gridSpan w:val="2"/>
            <w:tcBorders>
              <w:top w:val="nil"/>
              <w:left w:val="nil"/>
              <w:bottom w:val="single" w:sz="8" w:space="0" w:color="auto"/>
              <w:right w:val="single" w:sz="8" w:space="0" w:color="auto"/>
            </w:tcBorders>
            <w:shd w:val="clear" w:color="auto" w:fill="auto"/>
            <w:noWrap/>
            <w:vAlign w:val="center"/>
            <w:hideMark/>
          </w:tcPr>
          <w:p w14:paraId="4644D311" w14:textId="77777777" w:rsidR="005559CC" w:rsidRPr="005559CC" w:rsidRDefault="005559CC" w:rsidP="005559CC">
            <w:pPr>
              <w:spacing w:after="0" w:line="240" w:lineRule="auto"/>
              <w:jc w:val="right"/>
              <w:rPr>
                <w:rFonts w:ascii="Times New Roman" w:hAnsi="Times New Roman" w:cs="Times New Roman"/>
                <w:sz w:val="20"/>
                <w:szCs w:val="20"/>
              </w:rPr>
            </w:pPr>
            <w:r w:rsidRPr="005559CC">
              <w:rPr>
                <w:rFonts w:ascii="Times New Roman" w:hAnsi="Times New Roman" w:cs="Times New Roman"/>
                <w:sz w:val="20"/>
                <w:szCs w:val="20"/>
              </w:rPr>
              <w:t>83</w:t>
            </w:r>
          </w:p>
        </w:tc>
      </w:tr>
      <w:tr w:rsidR="00AC7884" w:rsidRPr="00AC7884" w14:paraId="6750149E" w14:textId="77777777" w:rsidTr="00F00AAE">
        <w:trPr>
          <w:gridAfter w:val="1"/>
          <w:wAfter w:w="26" w:type="dxa"/>
          <w:trHeight w:val="219"/>
        </w:trPr>
        <w:tc>
          <w:tcPr>
            <w:tcW w:w="6133"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2474F1" w14:textId="77777777" w:rsidR="00AC7884" w:rsidRPr="00AC7884" w:rsidRDefault="00AC7884" w:rsidP="00AC7884">
            <w:pPr>
              <w:spacing w:after="0" w:line="240" w:lineRule="auto"/>
              <w:jc w:val="center"/>
              <w:rPr>
                <w:rFonts w:ascii="Times New Roman" w:eastAsia="Times New Roman" w:hAnsi="Times New Roman" w:cs="Times New Roman"/>
                <w:b/>
                <w:bCs/>
                <w:color w:val="000000"/>
                <w:sz w:val="24"/>
                <w:szCs w:val="24"/>
                <w:lang w:eastAsia="en-AU"/>
              </w:rPr>
            </w:pPr>
            <w:r w:rsidRPr="00AC7884">
              <w:rPr>
                <w:rFonts w:ascii="Times New Roman" w:eastAsia="Times New Roman" w:hAnsi="Times New Roman" w:cs="Times New Roman"/>
                <w:b/>
                <w:bCs/>
                <w:color w:val="000000"/>
                <w:sz w:val="24"/>
                <w:szCs w:val="24"/>
                <w:lang w:eastAsia="en-AU"/>
              </w:rPr>
              <w:t>Panel B: Firm continuous variables</w:t>
            </w:r>
          </w:p>
        </w:tc>
        <w:tc>
          <w:tcPr>
            <w:tcW w:w="632" w:type="dxa"/>
            <w:gridSpan w:val="2"/>
            <w:tcBorders>
              <w:top w:val="nil"/>
              <w:left w:val="nil"/>
              <w:bottom w:val="nil"/>
              <w:right w:val="nil"/>
            </w:tcBorders>
            <w:shd w:val="clear" w:color="auto" w:fill="auto"/>
            <w:noWrap/>
            <w:vAlign w:val="center"/>
            <w:hideMark/>
          </w:tcPr>
          <w:p w14:paraId="31A6F33B"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6CCDE251"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1702CFF"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77AF7F2"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0386D96E" w14:textId="77777777" w:rsidR="00AC7884" w:rsidRPr="00AC7884" w:rsidRDefault="00AC7884" w:rsidP="00AC7884">
            <w:pPr>
              <w:spacing w:after="0" w:line="240" w:lineRule="auto"/>
              <w:rPr>
                <w:rFonts w:ascii="Calibri" w:eastAsia="Times New Roman" w:hAnsi="Calibri" w:cs="Times New Roman"/>
                <w:color w:val="000000"/>
                <w:lang w:eastAsia="en-AU"/>
              </w:rPr>
            </w:pPr>
          </w:p>
        </w:tc>
      </w:tr>
      <w:tr w:rsidR="00F00AAE" w:rsidRPr="00AC7884" w14:paraId="15DBC79C" w14:textId="77777777" w:rsidTr="00F00AAE">
        <w:trPr>
          <w:gridAfter w:val="1"/>
          <w:wAfter w:w="27" w:type="dxa"/>
          <w:trHeight w:val="208"/>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633F26E" w14:textId="77777777" w:rsidR="00AC7884" w:rsidRPr="00AC7884" w:rsidRDefault="00AC7884" w:rsidP="00AC7884">
            <w:pPr>
              <w:spacing w:after="0" w:line="240" w:lineRule="auto"/>
              <w:rPr>
                <w:rFonts w:ascii="Times New Roman" w:eastAsia="Times New Roman" w:hAnsi="Times New Roman" w:cs="Times New Roman"/>
                <w:b/>
                <w:bCs/>
                <w:color w:val="000000"/>
                <w:sz w:val="20"/>
                <w:szCs w:val="20"/>
                <w:lang w:eastAsia="en-AU"/>
              </w:rPr>
            </w:pPr>
            <w:r w:rsidRPr="00AC7884">
              <w:rPr>
                <w:rFonts w:ascii="Times New Roman" w:eastAsia="Times New Roman" w:hAnsi="Times New Roman" w:cs="Times New Roman"/>
                <w:b/>
                <w:bCs/>
                <w:color w:val="000000"/>
                <w:sz w:val="20"/>
                <w:szCs w:val="20"/>
                <w:lang w:eastAsia="en-AU"/>
              </w:rPr>
              <w:t>Variable</w:t>
            </w:r>
          </w:p>
        </w:tc>
        <w:tc>
          <w:tcPr>
            <w:tcW w:w="903" w:type="dxa"/>
            <w:gridSpan w:val="2"/>
            <w:tcBorders>
              <w:top w:val="nil"/>
              <w:left w:val="nil"/>
              <w:bottom w:val="single" w:sz="8" w:space="0" w:color="auto"/>
              <w:right w:val="nil"/>
            </w:tcBorders>
            <w:shd w:val="clear" w:color="auto" w:fill="auto"/>
            <w:noWrap/>
            <w:vAlign w:val="center"/>
            <w:hideMark/>
          </w:tcPr>
          <w:p w14:paraId="11E81133"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Mean</w:t>
            </w:r>
          </w:p>
        </w:tc>
        <w:tc>
          <w:tcPr>
            <w:tcW w:w="913" w:type="dxa"/>
            <w:gridSpan w:val="3"/>
            <w:tcBorders>
              <w:top w:val="nil"/>
              <w:left w:val="nil"/>
              <w:bottom w:val="single" w:sz="8" w:space="0" w:color="auto"/>
              <w:right w:val="nil"/>
            </w:tcBorders>
            <w:shd w:val="clear" w:color="auto" w:fill="auto"/>
            <w:noWrap/>
            <w:vAlign w:val="center"/>
            <w:hideMark/>
          </w:tcPr>
          <w:p w14:paraId="0EE87D97"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Median</w:t>
            </w:r>
          </w:p>
        </w:tc>
        <w:tc>
          <w:tcPr>
            <w:tcW w:w="914" w:type="dxa"/>
            <w:gridSpan w:val="3"/>
            <w:tcBorders>
              <w:top w:val="nil"/>
              <w:left w:val="nil"/>
              <w:bottom w:val="single" w:sz="8" w:space="0" w:color="auto"/>
              <w:right w:val="nil"/>
            </w:tcBorders>
            <w:shd w:val="clear" w:color="auto" w:fill="auto"/>
            <w:noWrap/>
            <w:vAlign w:val="center"/>
            <w:hideMark/>
          </w:tcPr>
          <w:p w14:paraId="0826B5D8"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Std. Dev.</w:t>
            </w:r>
          </w:p>
        </w:tc>
        <w:tc>
          <w:tcPr>
            <w:tcW w:w="914" w:type="dxa"/>
            <w:gridSpan w:val="3"/>
            <w:tcBorders>
              <w:top w:val="nil"/>
              <w:left w:val="nil"/>
              <w:bottom w:val="single" w:sz="8" w:space="0" w:color="auto"/>
              <w:right w:val="nil"/>
            </w:tcBorders>
            <w:shd w:val="clear" w:color="auto" w:fill="auto"/>
            <w:noWrap/>
            <w:vAlign w:val="center"/>
            <w:hideMark/>
          </w:tcPr>
          <w:p w14:paraId="501AC47C"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Min.</w:t>
            </w:r>
          </w:p>
        </w:tc>
        <w:tc>
          <w:tcPr>
            <w:tcW w:w="929" w:type="dxa"/>
            <w:gridSpan w:val="3"/>
            <w:tcBorders>
              <w:top w:val="nil"/>
              <w:left w:val="nil"/>
              <w:bottom w:val="single" w:sz="8" w:space="0" w:color="auto"/>
              <w:right w:val="single" w:sz="8" w:space="0" w:color="auto"/>
            </w:tcBorders>
            <w:shd w:val="clear" w:color="auto" w:fill="auto"/>
            <w:noWrap/>
            <w:vAlign w:val="center"/>
            <w:hideMark/>
          </w:tcPr>
          <w:p w14:paraId="2DF0988C" w14:textId="77777777" w:rsidR="00AC7884" w:rsidRPr="00AC7884" w:rsidRDefault="00AC7884"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Max.</w:t>
            </w:r>
          </w:p>
        </w:tc>
        <w:tc>
          <w:tcPr>
            <w:tcW w:w="632" w:type="dxa"/>
            <w:gridSpan w:val="2"/>
            <w:tcBorders>
              <w:top w:val="nil"/>
              <w:left w:val="nil"/>
              <w:bottom w:val="nil"/>
              <w:right w:val="nil"/>
            </w:tcBorders>
            <w:shd w:val="clear" w:color="auto" w:fill="auto"/>
            <w:noWrap/>
            <w:vAlign w:val="center"/>
            <w:hideMark/>
          </w:tcPr>
          <w:p w14:paraId="021901FD"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146DF332"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5917860E"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67E9D1A" w14:textId="77777777" w:rsidR="00AC7884" w:rsidRPr="00AC7884" w:rsidRDefault="00AC7884" w:rsidP="00AC7884">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725DDC5D" w14:textId="77777777" w:rsidR="00AC7884" w:rsidRPr="00AC7884" w:rsidRDefault="00AC7884" w:rsidP="00AC7884">
            <w:pPr>
              <w:spacing w:after="0" w:line="240" w:lineRule="auto"/>
              <w:rPr>
                <w:rFonts w:ascii="Calibri" w:eastAsia="Times New Roman" w:hAnsi="Calibri" w:cs="Times New Roman"/>
                <w:color w:val="000000"/>
                <w:lang w:eastAsia="en-AU"/>
              </w:rPr>
            </w:pPr>
          </w:p>
        </w:tc>
      </w:tr>
      <w:tr w:rsidR="00F00AAE" w:rsidRPr="00AC7884" w14:paraId="50BACDD8" w14:textId="77777777" w:rsidTr="00F00AAE">
        <w:trPr>
          <w:gridAfter w:val="1"/>
          <w:wAfter w:w="27" w:type="dxa"/>
          <w:trHeight w:val="197"/>
        </w:trPr>
        <w:tc>
          <w:tcPr>
            <w:tcW w:w="1559" w:type="dxa"/>
            <w:tcBorders>
              <w:top w:val="nil"/>
              <w:left w:val="single" w:sz="8" w:space="0" w:color="000000"/>
              <w:bottom w:val="nil"/>
              <w:right w:val="single" w:sz="8" w:space="0" w:color="auto"/>
            </w:tcBorders>
            <w:shd w:val="clear" w:color="auto" w:fill="auto"/>
            <w:vAlign w:val="center"/>
            <w:hideMark/>
          </w:tcPr>
          <w:p w14:paraId="2B856DD6" w14:textId="662E18EB" w:rsidR="005674B7" w:rsidRPr="00AC7884" w:rsidRDefault="005674B7" w:rsidP="005674B7">
            <w:pPr>
              <w:spacing w:after="0" w:line="240" w:lineRule="auto"/>
              <w:rPr>
                <w:rFonts w:ascii="Times New Roman" w:eastAsia="Times New Roman" w:hAnsi="Times New Roman" w:cs="Times New Roman"/>
                <w:i/>
                <w:iCs/>
                <w:color w:val="000000"/>
                <w:sz w:val="20"/>
                <w:szCs w:val="20"/>
                <w:lang w:eastAsia="en-AU"/>
              </w:rPr>
            </w:pPr>
            <w:r>
              <w:rPr>
                <w:rFonts w:ascii="Times New Roman" w:eastAsia="Times New Roman" w:hAnsi="Times New Roman" w:cs="Times New Roman"/>
                <w:i/>
                <w:iCs/>
                <w:color w:val="000000"/>
                <w:sz w:val="20"/>
                <w:szCs w:val="20"/>
                <w:lang w:eastAsia="en-AU"/>
              </w:rPr>
              <w:t>Age</w:t>
            </w:r>
          </w:p>
        </w:tc>
        <w:tc>
          <w:tcPr>
            <w:tcW w:w="903" w:type="dxa"/>
            <w:gridSpan w:val="2"/>
            <w:tcBorders>
              <w:top w:val="nil"/>
              <w:left w:val="nil"/>
              <w:bottom w:val="nil"/>
              <w:right w:val="nil"/>
            </w:tcBorders>
            <w:shd w:val="clear" w:color="auto" w:fill="auto"/>
            <w:noWrap/>
            <w:vAlign w:val="center"/>
            <w:hideMark/>
          </w:tcPr>
          <w:p w14:paraId="38D36D21" w14:textId="68065471"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3,996</w:t>
            </w:r>
          </w:p>
        </w:tc>
        <w:tc>
          <w:tcPr>
            <w:tcW w:w="913" w:type="dxa"/>
            <w:gridSpan w:val="3"/>
            <w:tcBorders>
              <w:top w:val="nil"/>
              <w:left w:val="nil"/>
              <w:bottom w:val="nil"/>
              <w:right w:val="nil"/>
            </w:tcBorders>
            <w:shd w:val="clear" w:color="auto" w:fill="auto"/>
            <w:noWrap/>
            <w:vAlign w:val="center"/>
            <w:hideMark/>
          </w:tcPr>
          <w:p w14:paraId="220E6248" w14:textId="690AF1B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2,444</w:t>
            </w:r>
          </w:p>
        </w:tc>
        <w:tc>
          <w:tcPr>
            <w:tcW w:w="914" w:type="dxa"/>
            <w:gridSpan w:val="3"/>
            <w:tcBorders>
              <w:top w:val="nil"/>
              <w:left w:val="nil"/>
              <w:bottom w:val="nil"/>
              <w:right w:val="nil"/>
            </w:tcBorders>
            <w:shd w:val="clear" w:color="auto" w:fill="auto"/>
            <w:noWrap/>
            <w:vAlign w:val="center"/>
            <w:hideMark/>
          </w:tcPr>
          <w:p w14:paraId="1CDD2F16" w14:textId="3D04D8E2"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3,838</w:t>
            </w:r>
          </w:p>
        </w:tc>
        <w:tc>
          <w:tcPr>
            <w:tcW w:w="914" w:type="dxa"/>
            <w:gridSpan w:val="3"/>
            <w:tcBorders>
              <w:top w:val="nil"/>
              <w:left w:val="nil"/>
              <w:bottom w:val="nil"/>
              <w:right w:val="nil"/>
            </w:tcBorders>
            <w:shd w:val="clear" w:color="auto" w:fill="auto"/>
            <w:noWrap/>
            <w:vAlign w:val="center"/>
            <w:hideMark/>
          </w:tcPr>
          <w:p w14:paraId="6C642B0B" w14:textId="0F22FC05"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165</w:t>
            </w:r>
          </w:p>
        </w:tc>
        <w:tc>
          <w:tcPr>
            <w:tcW w:w="929" w:type="dxa"/>
            <w:gridSpan w:val="3"/>
            <w:tcBorders>
              <w:top w:val="nil"/>
              <w:left w:val="nil"/>
              <w:bottom w:val="nil"/>
              <w:right w:val="single" w:sz="8" w:space="0" w:color="000000"/>
            </w:tcBorders>
            <w:shd w:val="clear" w:color="auto" w:fill="auto"/>
            <w:noWrap/>
            <w:vAlign w:val="center"/>
            <w:hideMark/>
          </w:tcPr>
          <w:p w14:paraId="59D42CD8" w14:textId="279F3CC8"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13,783</w:t>
            </w:r>
          </w:p>
        </w:tc>
        <w:tc>
          <w:tcPr>
            <w:tcW w:w="632" w:type="dxa"/>
            <w:gridSpan w:val="2"/>
            <w:tcBorders>
              <w:top w:val="nil"/>
              <w:left w:val="nil"/>
              <w:bottom w:val="nil"/>
              <w:right w:val="nil"/>
            </w:tcBorders>
            <w:shd w:val="clear" w:color="auto" w:fill="auto"/>
            <w:noWrap/>
            <w:vAlign w:val="center"/>
            <w:hideMark/>
          </w:tcPr>
          <w:p w14:paraId="3BC95161"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543DA32"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7166F7B"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2BF87D2"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08CA375E"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3439BC34" w14:textId="77777777" w:rsidTr="00F00AAE">
        <w:trPr>
          <w:gridAfter w:val="1"/>
          <w:wAfter w:w="27" w:type="dxa"/>
          <w:trHeight w:val="197"/>
        </w:trPr>
        <w:tc>
          <w:tcPr>
            <w:tcW w:w="1559" w:type="dxa"/>
            <w:tcBorders>
              <w:top w:val="nil"/>
              <w:left w:val="single" w:sz="8" w:space="0" w:color="000000"/>
              <w:bottom w:val="nil"/>
              <w:right w:val="single" w:sz="8" w:space="0" w:color="auto"/>
            </w:tcBorders>
            <w:shd w:val="clear" w:color="auto" w:fill="auto"/>
            <w:vAlign w:val="center"/>
            <w:hideMark/>
          </w:tcPr>
          <w:p w14:paraId="2977A6E3" w14:textId="77777777" w:rsidR="005674B7" w:rsidRPr="00AC7884" w:rsidRDefault="005674B7" w:rsidP="005674B7">
            <w:pPr>
              <w:spacing w:after="0" w:line="240" w:lineRule="auto"/>
              <w:rPr>
                <w:rFonts w:ascii="Times New Roman" w:eastAsia="Times New Roman" w:hAnsi="Times New Roman" w:cs="Times New Roman"/>
                <w:i/>
                <w:iCs/>
                <w:color w:val="000000"/>
                <w:sz w:val="20"/>
                <w:szCs w:val="20"/>
                <w:lang w:eastAsia="en-AU"/>
              </w:rPr>
            </w:pPr>
            <w:proofErr w:type="spellStart"/>
            <w:r>
              <w:rPr>
                <w:rFonts w:ascii="Times New Roman" w:eastAsia="Times New Roman" w:hAnsi="Times New Roman" w:cs="Times New Roman"/>
                <w:i/>
                <w:iCs/>
                <w:color w:val="000000"/>
                <w:sz w:val="20"/>
                <w:szCs w:val="20"/>
                <w:lang w:eastAsia="en-AU"/>
              </w:rPr>
              <w:t>LnAge</w:t>
            </w:r>
            <w:proofErr w:type="spellEnd"/>
          </w:p>
        </w:tc>
        <w:tc>
          <w:tcPr>
            <w:tcW w:w="903" w:type="dxa"/>
            <w:gridSpan w:val="2"/>
            <w:tcBorders>
              <w:top w:val="nil"/>
              <w:left w:val="nil"/>
              <w:bottom w:val="nil"/>
              <w:right w:val="nil"/>
            </w:tcBorders>
            <w:shd w:val="clear" w:color="auto" w:fill="auto"/>
            <w:noWrap/>
            <w:vAlign w:val="center"/>
            <w:hideMark/>
          </w:tcPr>
          <w:p w14:paraId="6E4A0B55" w14:textId="443D7F08"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7.880</w:t>
            </w:r>
          </w:p>
        </w:tc>
        <w:tc>
          <w:tcPr>
            <w:tcW w:w="913" w:type="dxa"/>
            <w:gridSpan w:val="3"/>
            <w:tcBorders>
              <w:top w:val="nil"/>
              <w:left w:val="nil"/>
              <w:bottom w:val="nil"/>
              <w:right w:val="nil"/>
            </w:tcBorders>
            <w:shd w:val="clear" w:color="auto" w:fill="auto"/>
            <w:noWrap/>
            <w:vAlign w:val="center"/>
            <w:hideMark/>
          </w:tcPr>
          <w:p w14:paraId="29A1B6EA" w14:textId="43116D4C"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7.801</w:t>
            </w:r>
          </w:p>
        </w:tc>
        <w:tc>
          <w:tcPr>
            <w:tcW w:w="914" w:type="dxa"/>
            <w:gridSpan w:val="3"/>
            <w:tcBorders>
              <w:top w:val="nil"/>
              <w:left w:val="nil"/>
              <w:bottom w:val="nil"/>
              <w:right w:val="nil"/>
            </w:tcBorders>
            <w:shd w:val="clear" w:color="auto" w:fill="auto"/>
            <w:noWrap/>
            <w:vAlign w:val="center"/>
            <w:hideMark/>
          </w:tcPr>
          <w:p w14:paraId="3BF2EC60" w14:textId="659A8604"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0.937</w:t>
            </w:r>
          </w:p>
        </w:tc>
        <w:tc>
          <w:tcPr>
            <w:tcW w:w="914" w:type="dxa"/>
            <w:gridSpan w:val="3"/>
            <w:tcBorders>
              <w:top w:val="nil"/>
              <w:left w:val="nil"/>
              <w:bottom w:val="nil"/>
              <w:right w:val="nil"/>
            </w:tcBorders>
            <w:shd w:val="clear" w:color="auto" w:fill="auto"/>
            <w:noWrap/>
            <w:vAlign w:val="center"/>
            <w:hideMark/>
          </w:tcPr>
          <w:p w14:paraId="7162EFA5" w14:textId="460B6C5D"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5.677</w:t>
            </w:r>
          </w:p>
        </w:tc>
        <w:tc>
          <w:tcPr>
            <w:tcW w:w="929" w:type="dxa"/>
            <w:gridSpan w:val="3"/>
            <w:tcBorders>
              <w:top w:val="nil"/>
              <w:left w:val="nil"/>
              <w:bottom w:val="nil"/>
              <w:right w:val="single" w:sz="8" w:space="0" w:color="000000"/>
            </w:tcBorders>
            <w:shd w:val="clear" w:color="auto" w:fill="auto"/>
            <w:noWrap/>
            <w:vAlign w:val="center"/>
            <w:hideMark/>
          </w:tcPr>
          <w:p w14:paraId="7B9085CC" w14:textId="6E27AB47"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9.531</w:t>
            </w:r>
          </w:p>
        </w:tc>
        <w:tc>
          <w:tcPr>
            <w:tcW w:w="632" w:type="dxa"/>
            <w:gridSpan w:val="2"/>
            <w:tcBorders>
              <w:top w:val="nil"/>
              <w:left w:val="nil"/>
              <w:bottom w:val="nil"/>
              <w:right w:val="nil"/>
            </w:tcBorders>
            <w:shd w:val="clear" w:color="auto" w:fill="auto"/>
            <w:noWrap/>
            <w:vAlign w:val="center"/>
            <w:hideMark/>
          </w:tcPr>
          <w:p w14:paraId="7269E2DC"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63310695"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6AD67B49"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414494B5"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7F09C0E3"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7653CF80" w14:textId="77777777" w:rsidTr="00F00AAE">
        <w:trPr>
          <w:gridAfter w:val="1"/>
          <w:wAfter w:w="27" w:type="dxa"/>
          <w:trHeight w:val="197"/>
        </w:trPr>
        <w:tc>
          <w:tcPr>
            <w:tcW w:w="1559" w:type="dxa"/>
            <w:tcBorders>
              <w:top w:val="nil"/>
              <w:left w:val="single" w:sz="8" w:space="0" w:color="000000"/>
              <w:bottom w:val="nil"/>
              <w:right w:val="single" w:sz="8" w:space="0" w:color="auto"/>
            </w:tcBorders>
            <w:shd w:val="clear" w:color="auto" w:fill="auto"/>
            <w:vAlign w:val="center"/>
            <w:hideMark/>
          </w:tcPr>
          <w:p w14:paraId="25F5D48F" w14:textId="117EDC52" w:rsidR="005674B7" w:rsidRPr="00AC7884" w:rsidRDefault="005674B7" w:rsidP="005674B7">
            <w:pPr>
              <w:spacing w:after="0" w:line="240" w:lineRule="auto"/>
              <w:rPr>
                <w:rFonts w:ascii="Times New Roman" w:eastAsia="Times New Roman" w:hAnsi="Times New Roman" w:cs="Times New Roman"/>
                <w:i/>
                <w:iCs/>
                <w:color w:val="000000"/>
                <w:sz w:val="20"/>
                <w:szCs w:val="20"/>
                <w:lang w:eastAsia="en-AU"/>
              </w:rPr>
            </w:pPr>
            <w:r w:rsidRPr="00AC7884">
              <w:rPr>
                <w:rFonts w:ascii="Times New Roman" w:eastAsia="Times New Roman" w:hAnsi="Times New Roman" w:cs="Times New Roman"/>
                <w:i/>
                <w:iCs/>
                <w:color w:val="000000"/>
                <w:sz w:val="20"/>
                <w:szCs w:val="20"/>
                <w:lang w:eastAsia="en-AU"/>
              </w:rPr>
              <w:t>Top20</w:t>
            </w:r>
          </w:p>
        </w:tc>
        <w:tc>
          <w:tcPr>
            <w:tcW w:w="903" w:type="dxa"/>
            <w:gridSpan w:val="2"/>
            <w:tcBorders>
              <w:top w:val="nil"/>
              <w:left w:val="nil"/>
              <w:bottom w:val="nil"/>
              <w:right w:val="nil"/>
            </w:tcBorders>
            <w:shd w:val="clear" w:color="auto" w:fill="auto"/>
            <w:noWrap/>
            <w:vAlign w:val="center"/>
            <w:hideMark/>
          </w:tcPr>
          <w:p w14:paraId="62E8383B" w14:textId="507C4117"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0.576</w:t>
            </w:r>
          </w:p>
        </w:tc>
        <w:tc>
          <w:tcPr>
            <w:tcW w:w="913" w:type="dxa"/>
            <w:gridSpan w:val="3"/>
            <w:tcBorders>
              <w:top w:val="nil"/>
              <w:left w:val="nil"/>
              <w:bottom w:val="nil"/>
              <w:right w:val="nil"/>
            </w:tcBorders>
            <w:shd w:val="clear" w:color="auto" w:fill="auto"/>
            <w:noWrap/>
            <w:vAlign w:val="center"/>
            <w:hideMark/>
          </w:tcPr>
          <w:p w14:paraId="01C217D0" w14:textId="4860E580"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0.588</w:t>
            </w:r>
          </w:p>
        </w:tc>
        <w:tc>
          <w:tcPr>
            <w:tcW w:w="914" w:type="dxa"/>
            <w:gridSpan w:val="3"/>
            <w:tcBorders>
              <w:top w:val="nil"/>
              <w:left w:val="nil"/>
              <w:bottom w:val="nil"/>
              <w:right w:val="nil"/>
            </w:tcBorders>
            <w:shd w:val="clear" w:color="auto" w:fill="auto"/>
            <w:noWrap/>
            <w:vAlign w:val="center"/>
            <w:hideMark/>
          </w:tcPr>
          <w:p w14:paraId="0E183B04" w14:textId="71E02FF1"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0.132</w:t>
            </w:r>
          </w:p>
        </w:tc>
        <w:tc>
          <w:tcPr>
            <w:tcW w:w="914" w:type="dxa"/>
            <w:gridSpan w:val="3"/>
            <w:tcBorders>
              <w:top w:val="nil"/>
              <w:left w:val="nil"/>
              <w:bottom w:val="nil"/>
              <w:right w:val="nil"/>
            </w:tcBorders>
            <w:shd w:val="clear" w:color="auto" w:fill="auto"/>
            <w:noWrap/>
            <w:vAlign w:val="center"/>
            <w:hideMark/>
          </w:tcPr>
          <w:p w14:paraId="529CC1A0" w14:textId="43CAA511"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0.309</w:t>
            </w:r>
          </w:p>
        </w:tc>
        <w:tc>
          <w:tcPr>
            <w:tcW w:w="929" w:type="dxa"/>
            <w:gridSpan w:val="3"/>
            <w:tcBorders>
              <w:top w:val="nil"/>
              <w:left w:val="nil"/>
              <w:bottom w:val="nil"/>
              <w:right w:val="single" w:sz="8" w:space="0" w:color="000000"/>
            </w:tcBorders>
            <w:shd w:val="clear" w:color="auto" w:fill="auto"/>
            <w:noWrap/>
            <w:vAlign w:val="center"/>
            <w:hideMark/>
          </w:tcPr>
          <w:p w14:paraId="62BCF84E" w14:textId="28EFAF0D"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0.906</w:t>
            </w:r>
          </w:p>
        </w:tc>
        <w:tc>
          <w:tcPr>
            <w:tcW w:w="632" w:type="dxa"/>
            <w:gridSpan w:val="2"/>
            <w:tcBorders>
              <w:top w:val="nil"/>
              <w:left w:val="nil"/>
              <w:bottom w:val="nil"/>
              <w:right w:val="nil"/>
            </w:tcBorders>
            <w:shd w:val="clear" w:color="auto" w:fill="auto"/>
            <w:noWrap/>
            <w:vAlign w:val="center"/>
            <w:hideMark/>
          </w:tcPr>
          <w:p w14:paraId="068EB8BB"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2C51A318"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52EA9C4B"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D7ADB84"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3D440A81"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053C34E5" w14:textId="77777777" w:rsidTr="00F00AAE">
        <w:trPr>
          <w:gridAfter w:val="1"/>
          <w:wAfter w:w="27" w:type="dxa"/>
          <w:trHeight w:val="197"/>
        </w:trPr>
        <w:tc>
          <w:tcPr>
            <w:tcW w:w="1559" w:type="dxa"/>
            <w:tcBorders>
              <w:top w:val="nil"/>
              <w:left w:val="single" w:sz="8" w:space="0" w:color="000000"/>
              <w:bottom w:val="nil"/>
              <w:right w:val="single" w:sz="8" w:space="0" w:color="auto"/>
            </w:tcBorders>
            <w:shd w:val="clear" w:color="auto" w:fill="auto"/>
            <w:vAlign w:val="center"/>
            <w:hideMark/>
          </w:tcPr>
          <w:p w14:paraId="084C5D23" w14:textId="325AE064" w:rsidR="005674B7" w:rsidRPr="00AC7884" w:rsidRDefault="005674B7" w:rsidP="00F00AAE">
            <w:pPr>
              <w:spacing w:after="0" w:line="240" w:lineRule="auto"/>
              <w:rPr>
                <w:rFonts w:ascii="Times New Roman" w:eastAsia="Times New Roman" w:hAnsi="Times New Roman" w:cs="Times New Roman"/>
                <w:i/>
                <w:iCs/>
                <w:color w:val="000000"/>
                <w:sz w:val="20"/>
                <w:szCs w:val="20"/>
                <w:lang w:eastAsia="en-AU"/>
              </w:rPr>
            </w:pPr>
            <w:proofErr w:type="spellStart"/>
            <w:r w:rsidRPr="00AC7884">
              <w:rPr>
                <w:rFonts w:ascii="Times New Roman" w:eastAsia="Times New Roman" w:hAnsi="Times New Roman" w:cs="Times New Roman"/>
                <w:i/>
                <w:iCs/>
                <w:color w:val="000000"/>
                <w:sz w:val="20"/>
                <w:szCs w:val="20"/>
                <w:lang w:eastAsia="en-AU"/>
              </w:rPr>
              <w:t>MCap</w:t>
            </w:r>
            <w:proofErr w:type="spellEnd"/>
          </w:p>
        </w:tc>
        <w:tc>
          <w:tcPr>
            <w:tcW w:w="903" w:type="dxa"/>
            <w:gridSpan w:val="2"/>
            <w:tcBorders>
              <w:top w:val="nil"/>
              <w:left w:val="nil"/>
              <w:bottom w:val="nil"/>
              <w:right w:val="nil"/>
            </w:tcBorders>
            <w:shd w:val="clear" w:color="auto" w:fill="auto"/>
            <w:noWrap/>
            <w:vAlign w:val="center"/>
            <w:hideMark/>
          </w:tcPr>
          <w:p w14:paraId="749DB019" w14:textId="2B42238D" w:rsidR="005674B7" w:rsidRPr="005674B7" w:rsidRDefault="00F00AAE" w:rsidP="005674B7">
            <w:pPr>
              <w:spacing w:after="0" w:line="240" w:lineRule="auto"/>
              <w:jc w:val="right"/>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291.3</w:t>
            </w:r>
          </w:p>
        </w:tc>
        <w:tc>
          <w:tcPr>
            <w:tcW w:w="913" w:type="dxa"/>
            <w:gridSpan w:val="3"/>
            <w:tcBorders>
              <w:top w:val="nil"/>
              <w:left w:val="nil"/>
              <w:bottom w:val="nil"/>
              <w:right w:val="nil"/>
            </w:tcBorders>
            <w:shd w:val="clear" w:color="auto" w:fill="auto"/>
            <w:noWrap/>
            <w:vAlign w:val="center"/>
            <w:hideMark/>
          </w:tcPr>
          <w:p w14:paraId="6079AB9C" w14:textId="65FE490E" w:rsidR="005674B7" w:rsidRPr="005674B7" w:rsidRDefault="00F00AAE" w:rsidP="005674B7">
            <w:pPr>
              <w:spacing w:after="0" w:line="240" w:lineRule="auto"/>
              <w:jc w:val="right"/>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143.1</w:t>
            </w:r>
          </w:p>
        </w:tc>
        <w:tc>
          <w:tcPr>
            <w:tcW w:w="914" w:type="dxa"/>
            <w:gridSpan w:val="3"/>
            <w:tcBorders>
              <w:top w:val="nil"/>
              <w:left w:val="nil"/>
              <w:bottom w:val="nil"/>
              <w:right w:val="nil"/>
            </w:tcBorders>
            <w:shd w:val="clear" w:color="auto" w:fill="auto"/>
            <w:noWrap/>
            <w:vAlign w:val="center"/>
            <w:hideMark/>
          </w:tcPr>
          <w:p w14:paraId="36B97BAE" w14:textId="740757DD" w:rsidR="005674B7" w:rsidRPr="005674B7" w:rsidRDefault="00F00AAE" w:rsidP="005674B7">
            <w:pPr>
              <w:spacing w:after="0" w:line="240" w:lineRule="auto"/>
              <w:jc w:val="right"/>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299.6</w:t>
            </w:r>
          </w:p>
        </w:tc>
        <w:tc>
          <w:tcPr>
            <w:tcW w:w="914" w:type="dxa"/>
            <w:gridSpan w:val="3"/>
            <w:tcBorders>
              <w:top w:val="nil"/>
              <w:left w:val="nil"/>
              <w:bottom w:val="nil"/>
              <w:right w:val="nil"/>
            </w:tcBorders>
            <w:shd w:val="clear" w:color="auto" w:fill="auto"/>
            <w:noWrap/>
            <w:vAlign w:val="center"/>
            <w:hideMark/>
          </w:tcPr>
          <w:p w14:paraId="04CA8D4B" w14:textId="3FBA9486" w:rsidR="005674B7" w:rsidRPr="005674B7" w:rsidRDefault="00F00AAE" w:rsidP="005674B7">
            <w:pPr>
              <w:spacing w:after="0" w:line="240" w:lineRule="auto"/>
              <w:jc w:val="right"/>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2.4</w:t>
            </w:r>
          </w:p>
        </w:tc>
        <w:tc>
          <w:tcPr>
            <w:tcW w:w="929" w:type="dxa"/>
            <w:gridSpan w:val="3"/>
            <w:tcBorders>
              <w:top w:val="nil"/>
              <w:left w:val="nil"/>
              <w:bottom w:val="nil"/>
              <w:right w:val="single" w:sz="8" w:space="0" w:color="000000"/>
            </w:tcBorders>
            <w:shd w:val="clear" w:color="auto" w:fill="auto"/>
            <w:noWrap/>
            <w:vAlign w:val="center"/>
            <w:hideMark/>
          </w:tcPr>
          <w:p w14:paraId="699B29DF" w14:textId="0ADD7025" w:rsidR="005674B7" w:rsidRPr="005674B7" w:rsidRDefault="00F00AAE" w:rsidP="005674B7">
            <w:pPr>
              <w:spacing w:after="0" w:line="240" w:lineRule="auto"/>
              <w:jc w:val="right"/>
              <w:rPr>
                <w:rFonts w:ascii="Times New Roman" w:eastAsia="Times New Roman" w:hAnsi="Times New Roman" w:cs="Times New Roman"/>
                <w:color w:val="000000"/>
                <w:sz w:val="20"/>
                <w:szCs w:val="20"/>
                <w:lang w:eastAsia="en-AU"/>
              </w:rPr>
            </w:pPr>
            <w:r>
              <w:rPr>
                <w:rFonts w:ascii="Times New Roman" w:hAnsi="Times New Roman" w:cs="Times New Roman"/>
                <w:color w:val="000000"/>
                <w:sz w:val="20"/>
                <w:szCs w:val="20"/>
              </w:rPr>
              <w:t>1,421.0</w:t>
            </w:r>
          </w:p>
        </w:tc>
        <w:tc>
          <w:tcPr>
            <w:tcW w:w="632" w:type="dxa"/>
            <w:gridSpan w:val="2"/>
            <w:tcBorders>
              <w:top w:val="nil"/>
              <w:left w:val="nil"/>
              <w:bottom w:val="nil"/>
              <w:right w:val="nil"/>
            </w:tcBorders>
            <w:shd w:val="clear" w:color="auto" w:fill="auto"/>
            <w:noWrap/>
            <w:vAlign w:val="center"/>
            <w:hideMark/>
          </w:tcPr>
          <w:p w14:paraId="00A22FA0"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6909B7E8"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4E1349F"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EAC87EF"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7BE7C34C"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3F395CA8" w14:textId="77777777" w:rsidTr="00F00AAE">
        <w:trPr>
          <w:gridAfter w:val="1"/>
          <w:wAfter w:w="27" w:type="dxa"/>
          <w:trHeight w:val="197"/>
        </w:trPr>
        <w:tc>
          <w:tcPr>
            <w:tcW w:w="1559" w:type="dxa"/>
            <w:tcBorders>
              <w:top w:val="nil"/>
              <w:left w:val="single" w:sz="8" w:space="0" w:color="000000"/>
              <w:right w:val="single" w:sz="8" w:space="0" w:color="auto"/>
            </w:tcBorders>
            <w:shd w:val="clear" w:color="auto" w:fill="auto"/>
            <w:vAlign w:val="center"/>
            <w:hideMark/>
          </w:tcPr>
          <w:p w14:paraId="71C5F973" w14:textId="77777777" w:rsidR="005674B7" w:rsidRPr="00AC7884" w:rsidRDefault="005674B7" w:rsidP="005674B7">
            <w:pPr>
              <w:spacing w:after="0" w:line="240" w:lineRule="auto"/>
              <w:rPr>
                <w:rFonts w:ascii="Times New Roman" w:eastAsia="Times New Roman" w:hAnsi="Times New Roman" w:cs="Times New Roman"/>
                <w:i/>
                <w:iCs/>
                <w:color w:val="000000"/>
                <w:sz w:val="20"/>
                <w:szCs w:val="20"/>
                <w:lang w:eastAsia="en-AU"/>
              </w:rPr>
            </w:pPr>
            <w:proofErr w:type="spellStart"/>
            <w:r w:rsidRPr="00AC7884">
              <w:rPr>
                <w:rFonts w:ascii="Times New Roman" w:eastAsia="Times New Roman" w:hAnsi="Times New Roman" w:cs="Times New Roman"/>
                <w:i/>
                <w:iCs/>
                <w:color w:val="000000"/>
                <w:sz w:val="20"/>
                <w:szCs w:val="20"/>
                <w:lang w:eastAsia="en-AU"/>
              </w:rPr>
              <w:t>LnMCap</w:t>
            </w:r>
            <w:proofErr w:type="spellEnd"/>
          </w:p>
        </w:tc>
        <w:tc>
          <w:tcPr>
            <w:tcW w:w="903" w:type="dxa"/>
            <w:gridSpan w:val="2"/>
            <w:tcBorders>
              <w:top w:val="nil"/>
              <w:left w:val="nil"/>
              <w:right w:val="nil"/>
            </w:tcBorders>
            <w:shd w:val="clear" w:color="auto" w:fill="auto"/>
            <w:noWrap/>
            <w:vAlign w:val="center"/>
            <w:hideMark/>
          </w:tcPr>
          <w:p w14:paraId="52FF9CD3" w14:textId="1B08BBC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5.077</w:t>
            </w:r>
          </w:p>
        </w:tc>
        <w:tc>
          <w:tcPr>
            <w:tcW w:w="913" w:type="dxa"/>
            <w:gridSpan w:val="3"/>
            <w:tcBorders>
              <w:top w:val="nil"/>
              <w:left w:val="nil"/>
              <w:right w:val="nil"/>
            </w:tcBorders>
            <w:shd w:val="clear" w:color="auto" w:fill="auto"/>
            <w:noWrap/>
            <w:vAlign w:val="center"/>
            <w:hideMark/>
          </w:tcPr>
          <w:p w14:paraId="333021CC" w14:textId="66398215"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4.963</w:t>
            </w:r>
          </w:p>
        </w:tc>
        <w:tc>
          <w:tcPr>
            <w:tcW w:w="914" w:type="dxa"/>
            <w:gridSpan w:val="3"/>
            <w:tcBorders>
              <w:top w:val="nil"/>
              <w:left w:val="nil"/>
              <w:right w:val="nil"/>
            </w:tcBorders>
            <w:shd w:val="clear" w:color="auto" w:fill="auto"/>
            <w:noWrap/>
            <w:vAlign w:val="center"/>
            <w:hideMark/>
          </w:tcPr>
          <w:p w14:paraId="588D4C1A" w14:textId="0A25318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1.211</w:t>
            </w:r>
          </w:p>
        </w:tc>
        <w:tc>
          <w:tcPr>
            <w:tcW w:w="914" w:type="dxa"/>
            <w:gridSpan w:val="3"/>
            <w:tcBorders>
              <w:top w:val="nil"/>
              <w:left w:val="nil"/>
              <w:right w:val="nil"/>
            </w:tcBorders>
            <w:shd w:val="clear" w:color="auto" w:fill="auto"/>
            <w:noWrap/>
            <w:vAlign w:val="center"/>
            <w:hideMark/>
          </w:tcPr>
          <w:p w14:paraId="3FAD55BD" w14:textId="409E376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1.963</w:t>
            </w:r>
          </w:p>
        </w:tc>
        <w:tc>
          <w:tcPr>
            <w:tcW w:w="929" w:type="dxa"/>
            <w:gridSpan w:val="3"/>
            <w:tcBorders>
              <w:top w:val="nil"/>
              <w:left w:val="nil"/>
              <w:right w:val="single" w:sz="8" w:space="0" w:color="000000"/>
            </w:tcBorders>
            <w:shd w:val="clear" w:color="auto" w:fill="auto"/>
            <w:noWrap/>
            <w:vAlign w:val="center"/>
            <w:hideMark/>
          </w:tcPr>
          <w:p w14:paraId="77BF1AC2" w14:textId="242DD0D4"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7.259</w:t>
            </w:r>
          </w:p>
        </w:tc>
        <w:tc>
          <w:tcPr>
            <w:tcW w:w="632" w:type="dxa"/>
            <w:gridSpan w:val="2"/>
            <w:tcBorders>
              <w:top w:val="nil"/>
              <w:left w:val="nil"/>
              <w:bottom w:val="nil"/>
              <w:right w:val="nil"/>
            </w:tcBorders>
            <w:shd w:val="clear" w:color="auto" w:fill="auto"/>
            <w:noWrap/>
            <w:vAlign w:val="center"/>
            <w:hideMark/>
          </w:tcPr>
          <w:p w14:paraId="79728247"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8FCDD19"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57BAD2EF"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53B0646"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346C710A"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66790F12" w14:textId="77777777" w:rsidTr="00F00AAE">
        <w:trPr>
          <w:gridAfter w:val="1"/>
          <w:wAfter w:w="27" w:type="dxa"/>
          <w:trHeight w:val="208"/>
        </w:trPr>
        <w:tc>
          <w:tcPr>
            <w:tcW w:w="1559" w:type="dxa"/>
            <w:tcBorders>
              <w:top w:val="nil"/>
              <w:left w:val="single" w:sz="8" w:space="0" w:color="000000"/>
              <w:bottom w:val="single" w:sz="8" w:space="0" w:color="000000"/>
              <w:right w:val="single" w:sz="8" w:space="0" w:color="auto"/>
            </w:tcBorders>
            <w:shd w:val="clear" w:color="auto" w:fill="auto"/>
            <w:vAlign w:val="center"/>
            <w:hideMark/>
          </w:tcPr>
          <w:p w14:paraId="16A47293" w14:textId="635F3D5C" w:rsidR="005674B7" w:rsidRPr="00B35CC0" w:rsidRDefault="005674B7" w:rsidP="005674B7">
            <w:pPr>
              <w:spacing w:after="0" w:line="240" w:lineRule="auto"/>
              <w:rPr>
                <w:rFonts w:ascii="Times New Roman" w:eastAsia="Times New Roman" w:hAnsi="Times New Roman" w:cs="Times New Roman"/>
                <w:i/>
                <w:iCs/>
                <w:color w:val="000000"/>
                <w:sz w:val="20"/>
                <w:szCs w:val="20"/>
                <w:lang w:eastAsia="en-AU"/>
              </w:rPr>
            </w:pPr>
            <w:r>
              <w:rPr>
                <w:rFonts w:ascii="Times New Roman" w:eastAsia="Times New Roman" w:hAnsi="Times New Roman" w:cs="Times New Roman"/>
                <w:i/>
                <w:iCs/>
                <w:color w:val="000000"/>
                <w:sz w:val="20"/>
                <w:szCs w:val="20"/>
                <w:lang w:eastAsia="en-AU"/>
              </w:rPr>
              <w:t>TLTA</w:t>
            </w:r>
          </w:p>
        </w:tc>
        <w:tc>
          <w:tcPr>
            <w:tcW w:w="903" w:type="dxa"/>
            <w:gridSpan w:val="2"/>
            <w:tcBorders>
              <w:top w:val="nil"/>
              <w:left w:val="nil"/>
              <w:bottom w:val="single" w:sz="8" w:space="0" w:color="000000"/>
              <w:right w:val="nil"/>
            </w:tcBorders>
            <w:shd w:val="clear" w:color="auto" w:fill="auto"/>
            <w:noWrap/>
            <w:vAlign w:val="center"/>
            <w:hideMark/>
          </w:tcPr>
          <w:p w14:paraId="3DCC2734" w14:textId="0206944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0.345</w:t>
            </w:r>
          </w:p>
        </w:tc>
        <w:tc>
          <w:tcPr>
            <w:tcW w:w="913" w:type="dxa"/>
            <w:gridSpan w:val="3"/>
            <w:tcBorders>
              <w:top w:val="nil"/>
              <w:left w:val="nil"/>
              <w:bottom w:val="single" w:sz="8" w:space="0" w:color="000000"/>
              <w:right w:val="nil"/>
            </w:tcBorders>
            <w:shd w:val="clear" w:color="auto" w:fill="auto"/>
            <w:noWrap/>
            <w:vAlign w:val="center"/>
            <w:hideMark/>
          </w:tcPr>
          <w:p w14:paraId="5C08B966" w14:textId="3371C381"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0.344</w:t>
            </w:r>
          </w:p>
        </w:tc>
        <w:tc>
          <w:tcPr>
            <w:tcW w:w="914" w:type="dxa"/>
            <w:gridSpan w:val="3"/>
            <w:tcBorders>
              <w:top w:val="nil"/>
              <w:left w:val="nil"/>
              <w:bottom w:val="single" w:sz="8" w:space="0" w:color="000000"/>
              <w:right w:val="nil"/>
            </w:tcBorders>
            <w:shd w:val="clear" w:color="auto" w:fill="auto"/>
            <w:noWrap/>
            <w:vAlign w:val="center"/>
            <w:hideMark/>
          </w:tcPr>
          <w:p w14:paraId="55BD7125" w14:textId="179D029B"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0.216</w:t>
            </w:r>
          </w:p>
        </w:tc>
        <w:tc>
          <w:tcPr>
            <w:tcW w:w="914" w:type="dxa"/>
            <w:gridSpan w:val="3"/>
            <w:tcBorders>
              <w:top w:val="nil"/>
              <w:left w:val="nil"/>
              <w:bottom w:val="single" w:sz="8" w:space="0" w:color="000000"/>
              <w:right w:val="nil"/>
            </w:tcBorders>
            <w:shd w:val="clear" w:color="auto" w:fill="auto"/>
            <w:noWrap/>
            <w:vAlign w:val="center"/>
            <w:hideMark/>
          </w:tcPr>
          <w:p w14:paraId="5FAA7247" w14:textId="3F269BB1"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0.013</w:t>
            </w:r>
          </w:p>
        </w:tc>
        <w:tc>
          <w:tcPr>
            <w:tcW w:w="929" w:type="dxa"/>
            <w:gridSpan w:val="3"/>
            <w:tcBorders>
              <w:top w:val="nil"/>
              <w:left w:val="nil"/>
              <w:bottom w:val="single" w:sz="8" w:space="0" w:color="000000"/>
              <w:right w:val="single" w:sz="8" w:space="0" w:color="000000"/>
            </w:tcBorders>
            <w:shd w:val="clear" w:color="auto" w:fill="auto"/>
            <w:noWrap/>
            <w:vAlign w:val="center"/>
            <w:hideMark/>
          </w:tcPr>
          <w:p w14:paraId="28EF05D4" w14:textId="0B534A45"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0.765</w:t>
            </w:r>
          </w:p>
        </w:tc>
        <w:tc>
          <w:tcPr>
            <w:tcW w:w="632" w:type="dxa"/>
            <w:gridSpan w:val="2"/>
            <w:tcBorders>
              <w:top w:val="nil"/>
              <w:left w:val="nil"/>
              <w:bottom w:val="nil"/>
              <w:right w:val="nil"/>
            </w:tcBorders>
            <w:shd w:val="clear" w:color="auto" w:fill="auto"/>
            <w:noWrap/>
            <w:vAlign w:val="center"/>
            <w:hideMark/>
          </w:tcPr>
          <w:p w14:paraId="74BF6F67"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6F21B701"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B76937A"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F04A1BD"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3FBD9139"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C7884" w14:paraId="4174E822" w14:textId="77777777" w:rsidTr="00F00AAE">
        <w:trPr>
          <w:gridAfter w:val="2"/>
          <w:wAfter w:w="45" w:type="dxa"/>
          <w:trHeight w:val="197"/>
        </w:trPr>
        <w:tc>
          <w:tcPr>
            <w:tcW w:w="3581" w:type="dxa"/>
            <w:gridSpan w:val="7"/>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D441DCC" w14:textId="77777777" w:rsidR="0089626A" w:rsidRPr="00AC7884" w:rsidRDefault="0089626A" w:rsidP="00AC7884">
            <w:pPr>
              <w:spacing w:after="0" w:line="240" w:lineRule="auto"/>
              <w:jc w:val="center"/>
              <w:rPr>
                <w:rFonts w:ascii="Times New Roman" w:eastAsia="Times New Roman" w:hAnsi="Times New Roman" w:cs="Times New Roman"/>
                <w:b/>
                <w:bCs/>
                <w:color w:val="000000"/>
                <w:sz w:val="24"/>
                <w:szCs w:val="24"/>
                <w:lang w:eastAsia="en-AU"/>
              </w:rPr>
            </w:pPr>
            <w:r w:rsidRPr="00AC7884">
              <w:rPr>
                <w:rFonts w:ascii="Times New Roman" w:eastAsia="Times New Roman" w:hAnsi="Times New Roman" w:cs="Times New Roman"/>
                <w:b/>
                <w:bCs/>
                <w:color w:val="000000"/>
                <w:sz w:val="24"/>
                <w:szCs w:val="24"/>
                <w:lang w:eastAsia="en-AU"/>
              </w:rPr>
              <w:t>Panel C: Firm binary variables</w:t>
            </w:r>
          </w:p>
        </w:tc>
        <w:tc>
          <w:tcPr>
            <w:tcW w:w="1131" w:type="dxa"/>
            <w:gridSpan w:val="4"/>
            <w:tcBorders>
              <w:top w:val="single" w:sz="8" w:space="0" w:color="000000"/>
              <w:left w:val="nil"/>
              <w:bottom w:val="nil"/>
              <w:right w:val="nil"/>
            </w:tcBorders>
            <w:shd w:val="clear" w:color="auto" w:fill="auto"/>
            <w:noWrap/>
            <w:vAlign w:val="center"/>
            <w:hideMark/>
          </w:tcPr>
          <w:p w14:paraId="49380967" w14:textId="77777777" w:rsidR="0089626A" w:rsidRPr="00AC7884" w:rsidRDefault="0089626A" w:rsidP="00AC7884">
            <w:pPr>
              <w:spacing w:after="0" w:line="240" w:lineRule="auto"/>
              <w:jc w:val="right"/>
              <w:rPr>
                <w:rFonts w:ascii="Times New Roman" w:eastAsia="Times New Roman" w:hAnsi="Times New Roman" w:cs="Times New Roman"/>
                <w:color w:val="000000"/>
                <w:sz w:val="20"/>
                <w:szCs w:val="20"/>
                <w:lang w:eastAsia="en-AU"/>
              </w:rPr>
            </w:pPr>
          </w:p>
        </w:tc>
        <w:tc>
          <w:tcPr>
            <w:tcW w:w="704" w:type="dxa"/>
            <w:gridSpan w:val="2"/>
            <w:tcBorders>
              <w:top w:val="single" w:sz="8" w:space="0" w:color="000000"/>
              <w:left w:val="nil"/>
              <w:bottom w:val="nil"/>
              <w:right w:val="nil"/>
            </w:tcBorders>
            <w:shd w:val="clear" w:color="auto" w:fill="auto"/>
            <w:noWrap/>
            <w:vAlign w:val="center"/>
            <w:hideMark/>
          </w:tcPr>
          <w:p w14:paraId="05CD9CA6" w14:textId="77777777" w:rsidR="0089626A" w:rsidRPr="00AC7884" w:rsidRDefault="0089626A" w:rsidP="00AC7884">
            <w:pPr>
              <w:spacing w:after="0" w:line="240" w:lineRule="auto"/>
              <w:jc w:val="right"/>
              <w:rPr>
                <w:rFonts w:ascii="Times New Roman" w:eastAsia="Times New Roman" w:hAnsi="Times New Roman" w:cs="Times New Roman"/>
                <w:color w:val="000000"/>
                <w:sz w:val="20"/>
                <w:szCs w:val="20"/>
                <w:lang w:eastAsia="en-AU"/>
              </w:rPr>
            </w:pPr>
          </w:p>
        </w:tc>
        <w:tc>
          <w:tcPr>
            <w:tcW w:w="716" w:type="dxa"/>
            <w:gridSpan w:val="2"/>
            <w:tcBorders>
              <w:top w:val="single" w:sz="8" w:space="0" w:color="000000"/>
              <w:left w:val="nil"/>
              <w:bottom w:val="nil"/>
              <w:right w:val="nil"/>
            </w:tcBorders>
            <w:shd w:val="clear" w:color="auto" w:fill="auto"/>
            <w:noWrap/>
            <w:vAlign w:val="center"/>
            <w:hideMark/>
          </w:tcPr>
          <w:p w14:paraId="3BFF32D2" w14:textId="77777777" w:rsidR="0089626A" w:rsidRPr="00AC7884" w:rsidRDefault="0089626A" w:rsidP="00AC7884">
            <w:pPr>
              <w:spacing w:after="0" w:line="240" w:lineRule="auto"/>
              <w:jc w:val="right"/>
              <w:rPr>
                <w:rFonts w:ascii="Times New Roman" w:eastAsia="Times New Roman" w:hAnsi="Times New Roman" w:cs="Times New Roman"/>
                <w:color w:val="000000"/>
                <w:sz w:val="20"/>
                <w:szCs w:val="20"/>
                <w:lang w:eastAsia="en-AU"/>
              </w:rPr>
            </w:pPr>
          </w:p>
        </w:tc>
        <w:tc>
          <w:tcPr>
            <w:tcW w:w="632" w:type="dxa"/>
            <w:gridSpan w:val="2"/>
            <w:tcBorders>
              <w:top w:val="nil"/>
              <w:left w:val="nil"/>
              <w:bottom w:val="nil"/>
              <w:right w:val="nil"/>
            </w:tcBorders>
            <w:shd w:val="clear" w:color="auto" w:fill="auto"/>
            <w:noWrap/>
            <w:vAlign w:val="center"/>
            <w:hideMark/>
          </w:tcPr>
          <w:p w14:paraId="484D63B4"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5BF6B9D2"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2343876E"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0AF4E24"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hideMark/>
          </w:tcPr>
          <w:p w14:paraId="1055AA5A" w14:textId="77777777" w:rsidR="0089626A" w:rsidRPr="00AC7884" w:rsidRDefault="0089626A" w:rsidP="00AC7884">
            <w:pPr>
              <w:spacing w:after="0" w:line="240" w:lineRule="auto"/>
              <w:rPr>
                <w:rFonts w:ascii="Calibri" w:eastAsia="Times New Roman" w:hAnsi="Calibri" w:cs="Times New Roman"/>
                <w:color w:val="000000"/>
                <w:lang w:eastAsia="en-AU"/>
              </w:rPr>
            </w:pPr>
          </w:p>
        </w:tc>
      </w:tr>
      <w:tr w:rsidR="00F00AAE" w:rsidRPr="00AC7884" w14:paraId="39200EF8" w14:textId="77777777" w:rsidTr="00F00AAE">
        <w:trPr>
          <w:gridAfter w:val="2"/>
          <w:wAfter w:w="45" w:type="dxa"/>
          <w:trHeight w:val="208"/>
        </w:trPr>
        <w:tc>
          <w:tcPr>
            <w:tcW w:w="3581" w:type="dxa"/>
            <w:gridSpan w:val="7"/>
            <w:vMerge/>
            <w:tcBorders>
              <w:top w:val="single" w:sz="8" w:space="0" w:color="auto"/>
              <w:left w:val="single" w:sz="8" w:space="0" w:color="auto"/>
              <w:bottom w:val="single" w:sz="8" w:space="0" w:color="000000"/>
              <w:right w:val="single" w:sz="8" w:space="0" w:color="000000"/>
            </w:tcBorders>
            <w:vAlign w:val="center"/>
            <w:hideMark/>
          </w:tcPr>
          <w:p w14:paraId="3CFA24FD" w14:textId="77777777" w:rsidR="0089626A" w:rsidRPr="00AC7884" w:rsidRDefault="0089626A" w:rsidP="00AC7884">
            <w:pPr>
              <w:spacing w:after="0" w:line="240" w:lineRule="auto"/>
              <w:rPr>
                <w:rFonts w:ascii="Times New Roman" w:eastAsia="Times New Roman" w:hAnsi="Times New Roman" w:cs="Times New Roman"/>
                <w:b/>
                <w:bCs/>
                <w:color w:val="000000"/>
                <w:sz w:val="24"/>
                <w:szCs w:val="24"/>
                <w:lang w:eastAsia="en-AU"/>
              </w:rPr>
            </w:pPr>
          </w:p>
        </w:tc>
        <w:tc>
          <w:tcPr>
            <w:tcW w:w="1131" w:type="dxa"/>
            <w:gridSpan w:val="4"/>
            <w:tcBorders>
              <w:top w:val="nil"/>
              <w:left w:val="nil"/>
              <w:bottom w:val="nil"/>
              <w:right w:val="nil"/>
            </w:tcBorders>
            <w:shd w:val="clear" w:color="auto" w:fill="auto"/>
            <w:noWrap/>
            <w:vAlign w:val="center"/>
            <w:hideMark/>
          </w:tcPr>
          <w:p w14:paraId="6369C012"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6AFA5B49"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716" w:type="dxa"/>
            <w:gridSpan w:val="2"/>
            <w:tcBorders>
              <w:top w:val="nil"/>
              <w:left w:val="nil"/>
              <w:bottom w:val="nil"/>
              <w:right w:val="nil"/>
            </w:tcBorders>
            <w:shd w:val="clear" w:color="auto" w:fill="auto"/>
            <w:noWrap/>
            <w:vAlign w:val="center"/>
            <w:hideMark/>
          </w:tcPr>
          <w:p w14:paraId="218CFD2D"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38D9725A"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904B9B8"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15558537"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CE43965"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hideMark/>
          </w:tcPr>
          <w:p w14:paraId="2A7A83D3" w14:textId="77777777" w:rsidR="0089626A" w:rsidRPr="00AC7884" w:rsidRDefault="0089626A" w:rsidP="00AC7884">
            <w:pPr>
              <w:spacing w:after="0" w:line="240" w:lineRule="auto"/>
              <w:rPr>
                <w:rFonts w:ascii="Calibri" w:eastAsia="Times New Roman" w:hAnsi="Calibri" w:cs="Times New Roman"/>
                <w:color w:val="000000"/>
                <w:lang w:eastAsia="en-AU"/>
              </w:rPr>
            </w:pPr>
          </w:p>
        </w:tc>
      </w:tr>
      <w:tr w:rsidR="00F00AAE" w:rsidRPr="00AC7884" w14:paraId="5A64394F" w14:textId="77777777" w:rsidTr="00F00AAE">
        <w:trPr>
          <w:gridAfter w:val="2"/>
          <w:wAfter w:w="46" w:type="dxa"/>
          <w:trHeight w:val="208"/>
        </w:trPr>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DEB075A" w14:textId="77777777" w:rsidR="0089626A" w:rsidRPr="00AC7884" w:rsidRDefault="0089626A" w:rsidP="00AC7884">
            <w:pPr>
              <w:spacing w:after="0" w:line="240" w:lineRule="auto"/>
              <w:rPr>
                <w:rFonts w:ascii="Times New Roman" w:eastAsia="Times New Roman" w:hAnsi="Times New Roman" w:cs="Times New Roman"/>
                <w:b/>
                <w:bCs/>
                <w:color w:val="000000"/>
                <w:sz w:val="20"/>
                <w:szCs w:val="20"/>
                <w:lang w:eastAsia="en-AU"/>
              </w:rPr>
            </w:pPr>
            <w:r w:rsidRPr="00AC7884">
              <w:rPr>
                <w:rFonts w:ascii="Times New Roman" w:eastAsia="Times New Roman" w:hAnsi="Times New Roman" w:cs="Times New Roman"/>
                <w:b/>
                <w:bCs/>
                <w:color w:val="000000"/>
                <w:sz w:val="20"/>
                <w:szCs w:val="20"/>
                <w:lang w:eastAsia="en-AU"/>
              </w:rPr>
              <w:t>Variable</w:t>
            </w:r>
          </w:p>
        </w:tc>
        <w:tc>
          <w:tcPr>
            <w:tcW w:w="1002" w:type="dxa"/>
            <w:gridSpan w:val="3"/>
            <w:tcBorders>
              <w:top w:val="nil"/>
              <w:left w:val="nil"/>
              <w:bottom w:val="single" w:sz="8" w:space="0" w:color="auto"/>
              <w:right w:val="nil"/>
            </w:tcBorders>
            <w:shd w:val="clear" w:color="auto" w:fill="auto"/>
            <w:noWrap/>
            <w:vAlign w:val="center"/>
            <w:hideMark/>
          </w:tcPr>
          <w:p w14:paraId="5C85D791" w14:textId="77777777" w:rsidR="0089626A" w:rsidRPr="00AC7884" w:rsidRDefault="0089626A"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Yes (=1)</w:t>
            </w:r>
          </w:p>
        </w:tc>
        <w:tc>
          <w:tcPr>
            <w:tcW w:w="1019" w:type="dxa"/>
            <w:gridSpan w:val="3"/>
            <w:tcBorders>
              <w:top w:val="nil"/>
              <w:left w:val="nil"/>
              <w:bottom w:val="single" w:sz="8" w:space="0" w:color="auto"/>
              <w:right w:val="single" w:sz="8" w:space="0" w:color="auto"/>
            </w:tcBorders>
            <w:shd w:val="clear" w:color="auto" w:fill="auto"/>
            <w:noWrap/>
            <w:vAlign w:val="center"/>
            <w:hideMark/>
          </w:tcPr>
          <w:p w14:paraId="15ABC7A5" w14:textId="77777777" w:rsidR="0089626A" w:rsidRPr="00AC7884" w:rsidRDefault="0089626A" w:rsidP="00AC7884">
            <w:pPr>
              <w:spacing w:after="0" w:line="240" w:lineRule="auto"/>
              <w:jc w:val="center"/>
              <w:rPr>
                <w:rFonts w:ascii="Times New Roman" w:eastAsia="Times New Roman" w:hAnsi="Times New Roman" w:cs="Times New Roman"/>
                <w:b/>
                <w:bCs/>
                <w:i/>
                <w:iCs/>
                <w:color w:val="000000"/>
                <w:sz w:val="20"/>
                <w:szCs w:val="20"/>
                <w:lang w:eastAsia="en-AU"/>
              </w:rPr>
            </w:pPr>
            <w:r w:rsidRPr="00AC7884">
              <w:rPr>
                <w:rFonts w:ascii="Times New Roman" w:eastAsia="Times New Roman" w:hAnsi="Times New Roman" w:cs="Times New Roman"/>
                <w:b/>
                <w:bCs/>
                <w:i/>
                <w:iCs/>
                <w:color w:val="000000"/>
                <w:sz w:val="20"/>
                <w:szCs w:val="20"/>
                <w:lang w:eastAsia="en-AU"/>
              </w:rPr>
              <w:t>Percent</w:t>
            </w:r>
          </w:p>
        </w:tc>
        <w:tc>
          <w:tcPr>
            <w:tcW w:w="1131" w:type="dxa"/>
            <w:gridSpan w:val="4"/>
            <w:tcBorders>
              <w:top w:val="nil"/>
              <w:left w:val="nil"/>
              <w:bottom w:val="nil"/>
              <w:right w:val="nil"/>
            </w:tcBorders>
            <w:shd w:val="clear" w:color="auto" w:fill="auto"/>
            <w:noWrap/>
            <w:vAlign w:val="center"/>
            <w:hideMark/>
          </w:tcPr>
          <w:p w14:paraId="7A16C2FB"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5643004F"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716" w:type="dxa"/>
            <w:gridSpan w:val="2"/>
            <w:tcBorders>
              <w:top w:val="nil"/>
              <w:left w:val="nil"/>
              <w:bottom w:val="nil"/>
              <w:right w:val="nil"/>
            </w:tcBorders>
            <w:shd w:val="clear" w:color="auto" w:fill="auto"/>
            <w:noWrap/>
            <w:vAlign w:val="center"/>
            <w:hideMark/>
          </w:tcPr>
          <w:p w14:paraId="636FAA8B"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4DEE7A26"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50D0F3F9"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B2C6E12"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287A7D7" w14:textId="77777777" w:rsidR="0089626A" w:rsidRPr="00AC7884" w:rsidRDefault="0089626A" w:rsidP="00AC7884">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hideMark/>
          </w:tcPr>
          <w:p w14:paraId="593ED452" w14:textId="77777777" w:rsidR="0089626A" w:rsidRPr="00AC7884" w:rsidRDefault="0089626A" w:rsidP="00AC7884">
            <w:pPr>
              <w:spacing w:after="0" w:line="240" w:lineRule="auto"/>
              <w:rPr>
                <w:rFonts w:ascii="Calibri" w:eastAsia="Times New Roman" w:hAnsi="Calibri" w:cs="Times New Roman"/>
                <w:color w:val="000000"/>
                <w:lang w:eastAsia="en-AU"/>
              </w:rPr>
            </w:pPr>
          </w:p>
        </w:tc>
      </w:tr>
      <w:tr w:rsidR="00F00AAE" w:rsidRPr="00AC7884" w14:paraId="5D9E97C8" w14:textId="77777777" w:rsidTr="00F00AAE">
        <w:trPr>
          <w:gridAfter w:val="2"/>
          <w:wAfter w:w="46" w:type="dxa"/>
          <w:trHeight w:val="197"/>
        </w:trPr>
        <w:tc>
          <w:tcPr>
            <w:tcW w:w="1559" w:type="dxa"/>
            <w:tcBorders>
              <w:top w:val="nil"/>
              <w:left w:val="single" w:sz="8" w:space="0" w:color="auto"/>
              <w:bottom w:val="nil"/>
              <w:right w:val="single" w:sz="8" w:space="0" w:color="auto"/>
            </w:tcBorders>
            <w:shd w:val="clear" w:color="auto" w:fill="auto"/>
            <w:vAlign w:val="center"/>
            <w:hideMark/>
          </w:tcPr>
          <w:p w14:paraId="51F77EA3" w14:textId="77777777" w:rsidR="005674B7" w:rsidRPr="00AC7884" w:rsidRDefault="005674B7" w:rsidP="005674B7">
            <w:pPr>
              <w:spacing w:after="0" w:line="240" w:lineRule="auto"/>
              <w:rPr>
                <w:rFonts w:ascii="Times New Roman" w:eastAsia="Times New Roman" w:hAnsi="Times New Roman" w:cs="Times New Roman"/>
                <w:i/>
                <w:iCs/>
                <w:color w:val="000000"/>
                <w:sz w:val="20"/>
                <w:szCs w:val="20"/>
                <w:lang w:eastAsia="en-AU"/>
              </w:rPr>
            </w:pPr>
            <w:proofErr w:type="spellStart"/>
            <w:r w:rsidRPr="001A5280">
              <w:rPr>
                <w:rFonts w:ascii="Times New Roman" w:eastAsia="Times New Roman" w:hAnsi="Times New Roman" w:cs="Times New Roman"/>
                <w:i/>
                <w:iCs/>
                <w:color w:val="000000"/>
                <w:sz w:val="20"/>
                <w:szCs w:val="20"/>
                <w:lang w:eastAsia="en-AU"/>
              </w:rPr>
              <w:t>AnlCov</w:t>
            </w:r>
            <w:proofErr w:type="spellEnd"/>
          </w:p>
        </w:tc>
        <w:tc>
          <w:tcPr>
            <w:tcW w:w="1002" w:type="dxa"/>
            <w:gridSpan w:val="3"/>
            <w:tcBorders>
              <w:top w:val="nil"/>
              <w:left w:val="nil"/>
              <w:bottom w:val="nil"/>
              <w:right w:val="nil"/>
            </w:tcBorders>
            <w:shd w:val="clear" w:color="auto" w:fill="auto"/>
            <w:noWrap/>
            <w:vAlign w:val="center"/>
            <w:hideMark/>
          </w:tcPr>
          <w:p w14:paraId="1EC2257C" w14:textId="42C8A493"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133</w:t>
            </w:r>
          </w:p>
        </w:tc>
        <w:tc>
          <w:tcPr>
            <w:tcW w:w="1019" w:type="dxa"/>
            <w:gridSpan w:val="3"/>
            <w:tcBorders>
              <w:top w:val="nil"/>
              <w:left w:val="nil"/>
              <w:bottom w:val="nil"/>
              <w:right w:val="single" w:sz="8" w:space="0" w:color="auto"/>
            </w:tcBorders>
            <w:shd w:val="clear" w:color="auto" w:fill="auto"/>
            <w:noWrap/>
            <w:vAlign w:val="center"/>
            <w:hideMark/>
          </w:tcPr>
          <w:p w14:paraId="1924B99A" w14:textId="1353FFB6" w:rsidR="005674B7" w:rsidRPr="005674B7"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5674B7">
              <w:rPr>
                <w:rFonts w:ascii="Times New Roman" w:hAnsi="Times New Roman" w:cs="Times New Roman"/>
                <w:color w:val="000000"/>
                <w:sz w:val="20"/>
                <w:szCs w:val="20"/>
              </w:rPr>
              <w:t>77.3%</w:t>
            </w:r>
          </w:p>
        </w:tc>
        <w:tc>
          <w:tcPr>
            <w:tcW w:w="1131" w:type="dxa"/>
            <w:gridSpan w:val="4"/>
            <w:tcBorders>
              <w:top w:val="nil"/>
              <w:left w:val="nil"/>
              <w:bottom w:val="nil"/>
              <w:right w:val="nil"/>
            </w:tcBorders>
            <w:shd w:val="clear" w:color="auto" w:fill="auto"/>
            <w:noWrap/>
            <w:vAlign w:val="center"/>
            <w:hideMark/>
          </w:tcPr>
          <w:p w14:paraId="30F0FB39"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hideMark/>
          </w:tcPr>
          <w:p w14:paraId="27E28EFA"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716" w:type="dxa"/>
            <w:gridSpan w:val="2"/>
            <w:tcBorders>
              <w:top w:val="nil"/>
              <w:left w:val="nil"/>
              <w:bottom w:val="nil"/>
              <w:right w:val="nil"/>
            </w:tcBorders>
            <w:shd w:val="clear" w:color="auto" w:fill="auto"/>
            <w:noWrap/>
            <w:vAlign w:val="center"/>
            <w:hideMark/>
          </w:tcPr>
          <w:p w14:paraId="3993DB6C"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78558676"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041460F8"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1CD8C690"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hideMark/>
          </w:tcPr>
          <w:p w14:paraId="43464C31" w14:textId="77777777" w:rsidR="005674B7" w:rsidRPr="00AC7884" w:rsidRDefault="005674B7" w:rsidP="005674B7">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hideMark/>
          </w:tcPr>
          <w:p w14:paraId="7AE5D162" w14:textId="77777777" w:rsidR="005674B7" w:rsidRPr="00AC7884" w:rsidRDefault="005674B7" w:rsidP="005674B7">
            <w:pPr>
              <w:spacing w:after="0" w:line="240" w:lineRule="auto"/>
              <w:rPr>
                <w:rFonts w:ascii="Calibri" w:eastAsia="Times New Roman" w:hAnsi="Calibri" w:cs="Times New Roman"/>
                <w:color w:val="000000"/>
                <w:lang w:eastAsia="en-AU"/>
              </w:rPr>
            </w:pPr>
          </w:p>
        </w:tc>
      </w:tr>
      <w:tr w:rsidR="00F00AAE" w:rsidRPr="00A47024" w14:paraId="04F9C71A" w14:textId="77777777" w:rsidTr="00F00AAE">
        <w:trPr>
          <w:gridAfter w:val="2"/>
          <w:wAfter w:w="46" w:type="dxa"/>
          <w:trHeight w:val="208"/>
        </w:trPr>
        <w:tc>
          <w:tcPr>
            <w:tcW w:w="1559" w:type="dxa"/>
            <w:tcBorders>
              <w:top w:val="nil"/>
              <w:left w:val="single" w:sz="8" w:space="0" w:color="auto"/>
              <w:right w:val="single" w:sz="8" w:space="0" w:color="auto"/>
            </w:tcBorders>
            <w:shd w:val="clear" w:color="auto" w:fill="auto"/>
            <w:vAlign w:val="center"/>
          </w:tcPr>
          <w:p w14:paraId="2831C52D" w14:textId="77777777" w:rsidR="005674B7" w:rsidRPr="00A47024" w:rsidRDefault="005674B7" w:rsidP="005674B7">
            <w:pPr>
              <w:spacing w:after="0" w:line="240" w:lineRule="auto"/>
              <w:rPr>
                <w:rFonts w:ascii="Times New Roman" w:eastAsia="Times New Roman" w:hAnsi="Times New Roman" w:cs="Times New Roman"/>
                <w:i/>
                <w:iCs/>
                <w:color w:val="000000"/>
                <w:sz w:val="20"/>
                <w:szCs w:val="20"/>
                <w:lang w:eastAsia="en-AU"/>
              </w:rPr>
            </w:pPr>
            <w:proofErr w:type="spellStart"/>
            <w:r w:rsidRPr="00A47024">
              <w:rPr>
                <w:rFonts w:ascii="Times New Roman" w:eastAsia="Times New Roman" w:hAnsi="Times New Roman" w:cs="Times New Roman"/>
                <w:i/>
                <w:iCs/>
                <w:color w:val="000000"/>
                <w:sz w:val="20"/>
                <w:szCs w:val="20"/>
                <w:lang w:eastAsia="en-AU"/>
              </w:rPr>
              <w:t>CFO_Dum</w:t>
            </w:r>
            <w:proofErr w:type="spellEnd"/>
          </w:p>
        </w:tc>
        <w:tc>
          <w:tcPr>
            <w:tcW w:w="1002" w:type="dxa"/>
            <w:gridSpan w:val="3"/>
            <w:tcBorders>
              <w:top w:val="nil"/>
              <w:left w:val="nil"/>
              <w:right w:val="nil"/>
            </w:tcBorders>
            <w:shd w:val="clear" w:color="auto" w:fill="auto"/>
            <w:noWrap/>
            <w:vAlign w:val="center"/>
          </w:tcPr>
          <w:p w14:paraId="186609F2" w14:textId="5BAF640A" w:rsidR="005674B7" w:rsidRPr="00A47024"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A47024">
              <w:rPr>
                <w:rFonts w:ascii="Times New Roman" w:hAnsi="Times New Roman" w:cs="Times New Roman"/>
                <w:color w:val="000000"/>
                <w:sz w:val="20"/>
                <w:szCs w:val="20"/>
              </w:rPr>
              <w:t>85</w:t>
            </w:r>
          </w:p>
        </w:tc>
        <w:tc>
          <w:tcPr>
            <w:tcW w:w="1019" w:type="dxa"/>
            <w:gridSpan w:val="3"/>
            <w:tcBorders>
              <w:top w:val="nil"/>
              <w:left w:val="nil"/>
              <w:right w:val="single" w:sz="8" w:space="0" w:color="auto"/>
            </w:tcBorders>
            <w:shd w:val="clear" w:color="auto" w:fill="auto"/>
            <w:noWrap/>
            <w:vAlign w:val="center"/>
          </w:tcPr>
          <w:p w14:paraId="1D983E0A" w14:textId="2A1F9E13" w:rsidR="005674B7" w:rsidRPr="00A47024" w:rsidRDefault="005674B7" w:rsidP="005674B7">
            <w:pPr>
              <w:spacing w:after="0" w:line="240" w:lineRule="auto"/>
              <w:jc w:val="right"/>
              <w:rPr>
                <w:rFonts w:ascii="Times New Roman" w:eastAsia="Times New Roman" w:hAnsi="Times New Roman" w:cs="Times New Roman"/>
                <w:color w:val="000000"/>
                <w:sz w:val="20"/>
                <w:szCs w:val="20"/>
                <w:lang w:eastAsia="en-AU"/>
              </w:rPr>
            </w:pPr>
            <w:r w:rsidRPr="00A47024">
              <w:rPr>
                <w:rFonts w:ascii="Times New Roman" w:hAnsi="Times New Roman" w:cs="Times New Roman"/>
                <w:color w:val="000000"/>
                <w:sz w:val="20"/>
                <w:szCs w:val="20"/>
              </w:rPr>
              <w:t>49.4%</w:t>
            </w:r>
          </w:p>
        </w:tc>
        <w:tc>
          <w:tcPr>
            <w:tcW w:w="1131" w:type="dxa"/>
            <w:gridSpan w:val="4"/>
            <w:tcBorders>
              <w:top w:val="nil"/>
              <w:left w:val="nil"/>
              <w:bottom w:val="nil"/>
              <w:right w:val="nil"/>
            </w:tcBorders>
            <w:shd w:val="clear" w:color="auto" w:fill="auto"/>
            <w:noWrap/>
            <w:vAlign w:val="center"/>
          </w:tcPr>
          <w:p w14:paraId="7490D727"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tcPr>
          <w:p w14:paraId="739AE4FB"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716" w:type="dxa"/>
            <w:gridSpan w:val="2"/>
            <w:tcBorders>
              <w:top w:val="nil"/>
              <w:left w:val="nil"/>
              <w:bottom w:val="nil"/>
              <w:right w:val="nil"/>
            </w:tcBorders>
            <w:shd w:val="clear" w:color="auto" w:fill="auto"/>
            <w:noWrap/>
            <w:vAlign w:val="center"/>
          </w:tcPr>
          <w:p w14:paraId="184F6E18"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3A3F3A67"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26B0574A"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56116B80"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7556017C" w14:textId="77777777" w:rsidR="005674B7" w:rsidRPr="00A47024" w:rsidRDefault="005674B7" w:rsidP="005674B7">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tcPr>
          <w:p w14:paraId="7F83F924" w14:textId="77777777" w:rsidR="005674B7" w:rsidRPr="00A47024" w:rsidRDefault="005674B7" w:rsidP="005674B7">
            <w:pPr>
              <w:spacing w:after="0" w:line="240" w:lineRule="auto"/>
              <w:rPr>
                <w:rFonts w:ascii="Calibri" w:eastAsia="Times New Roman" w:hAnsi="Calibri" w:cs="Times New Roman"/>
                <w:color w:val="000000"/>
                <w:lang w:eastAsia="en-AU"/>
              </w:rPr>
            </w:pPr>
          </w:p>
        </w:tc>
      </w:tr>
      <w:tr w:rsidR="00F00AAE" w:rsidRPr="00A47024" w14:paraId="765C6E59" w14:textId="77777777" w:rsidTr="00F00AAE">
        <w:trPr>
          <w:gridAfter w:val="2"/>
          <w:wAfter w:w="46" w:type="dxa"/>
          <w:trHeight w:val="208"/>
        </w:trPr>
        <w:tc>
          <w:tcPr>
            <w:tcW w:w="1559" w:type="dxa"/>
            <w:tcBorders>
              <w:left w:val="single" w:sz="8" w:space="0" w:color="auto"/>
              <w:bottom w:val="single" w:sz="8" w:space="0" w:color="auto"/>
              <w:right w:val="single" w:sz="8" w:space="0" w:color="auto"/>
            </w:tcBorders>
            <w:shd w:val="clear" w:color="auto" w:fill="auto"/>
            <w:vAlign w:val="center"/>
          </w:tcPr>
          <w:p w14:paraId="182E8D93" w14:textId="77777777" w:rsidR="002E4DDA" w:rsidRPr="00A47024" w:rsidRDefault="002E4DDA" w:rsidP="009C25D5">
            <w:pPr>
              <w:spacing w:after="0" w:line="240" w:lineRule="auto"/>
              <w:rPr>
                <w:rFonts w:ascii="Times New Roman" w:eastAsia="Times New Roman" w:hAnsi="Times New Roman" w:cs="Times New Roman"/>
                <w:i/>
                <w:iCs/>
                <w:color w:val="000000"/>
                <w:sz w:val="20"/>
                <w:szCs w:val="20"/>
                <w:lang w:eastAsia="en-AU"/>
              </w:rPr>
            </w:pPr>
            <w:proofErr w:type="spellStart"/>
            <w:r w:rsidRPr="00A47024">
              <w:rPr>
                <w:rFonts w:ascii="Times New Roman" w:eastAsia="Times New Roman" w:hAnsi="Times New Roman" w:cs="Times New Roman"/>
                <w:i/>
                <w:iCs/>
                <w:color w:val="000000"/>
                <w:sz w:val="20"/>
                <w:szCs w:val="20"/>
                <w:lang w:eastAsia="en-AU"/>
              </w:rPr>
              <w:t>PSD</w:t>
            </w:r>
            <w:r w:rsidR="009C25D5" w:rsidRPr="00A47024">
              <w:rPr>
                <w:rFonts w:ascii="Times New Roman" w:eastAsia="Times New Roman" w:hAnsi="Times New Roman" w:cs="Times New Roman"/>
                <w:i/>
                <w:iCs/>
                <w:color w:val="000000"/>
                <w:sz w:val="20"/>
                <w:szCs w:val="20"/>
                <w:lang w:eastAsia="en-AU"/>
              </w:rPr>
              <w:t>isc</w:t>
            </w:r>
            <w:proofErr w:type="spellEnd"/>
          </w:p>
        </w:tc>
        <w:tc>
          <w:tcPr>
            <w:tcW w:w="1002" w:type="dxa"/>
            <w:gridSpan w:val="3"/>
            <w:tcBorders>
              <w:left w:val="nil"/>
              <w:bottom w:val="single" w:sz="8" w:space="0" w:color="auto"/>
              <w:right w:val="nil"/>
            </w:tcBorders>
            <w:shd w:val="clear" w:color="auto" w:fill="auto"/>
            <w:noWrap/>
            <w:vAlign w:val="center"/>
          </w:tcPr>
          <w:p w14:paraId="4CFA02DD" w14:textId="0769ECE9" w:rsidR="002E4DDA" w:rsidRPr="00A47024" w:rsidRDefault="00A47024" w:rsidP="00AC7884">
            <w:pPr>
              <w:spacing w:after="0" w:line="240" w:lineRule="auto"/>
              <w:jc w:val="right"/>
              <w:rPr>
                <w:rFonts w:ascii="Times New Roman" w:eastAsia="Times New Roman" w:hAnsi="Times New Roman" w:cs="Times New Roman"/>
                <w:color w:val="000000"/>
                <w:sz w:val="20"/>
                <w:szCs w:val="20"/>
                <w:lang w:eastAsia="en-AU"/>
              </w:rPr>
            </w:pPr>
            <w:r w:rsidRPr="00A47024">
              <w:rPr>
                <w:rFonts w:ascii="Times New Roman" w:eastAsia="Times New Roman" w:hAnsi="Times New Roman" w:cs="Times New Roman"/>
                <w:color w:val="000000"/>
                <w:sz w:val="20"/>
                <w:szCs w:val="20"/>
                <w:lang w:eastAsia="en-AU"/>
              </w:rPr>
              <w:t>49</w:t>
            </w:r>
          </w:p>
        </w:tc>
        <w:tc>
          <w:tcPr>
            <w:tcW w:w="1019" w:type="dxa"/>
            <w:gridSpan w:val="3"/>
            <w:tcBorders>
              <w:left w:val="nil"/>
              <w:bottom w:val="single" w:sz="8" w:space="0" w:color="auto"/>
              <w:right w:val="single" w:sz="8" w:space="0" w:color="auto"/>
            </w:tcBorders>
            <w:shd w:val="clear" w:color="auto" w:fill="auto"/>
            <w:noWrap/>
            <w:vAlign w:val="center"/>
          </w:tcPr>
          <w:p w14:paraId="2E4CB68C" w14:textId="24525ECB" w:rsidR="002E4DDA" w:rsidRPr="00A47024" w:rsidRDefault="00C708A6" w:rsidP="00A47024">
            <w:pPr>
              <w:spacing w:after="0" w:line="240" w:lineRule="auto"/>
              <w:jc w:val="right"/>
              <w:rPr>
                <w:rFonts w:ascii="Times New Roman" w:eastAsia="Times New Roman" w:hAnsi="Times New Roman" w:cs="Times New Roman"/>
                <w:color w:val="000000"/>
                <w:sz w:val="20"/>
                <w:szCs w:val="20"/>
                <w:lang w:eastAsia="en-AU"/>
              </w:rPr>
            </w:pPr>
            <w:r w:rsidRPr="00A47024">
              <w:rPr>
                <w:rFonts w:ascii="Times New Roman" w:eastAsia="Times New Roman" w:hAnsi="Times New Roman" w:cs="Times New Roman"/>
                <w:color w:val="000000"/>
                <w:sz w:val="20"/>
                <w:szCs w:val="20"/>
                <w:lang w:eastAsia="en-AU"/>
              </w:rPr>
              <w:t>2</w:t>
            </w:r>
            <w:r w:rsidR="00A47024" w:rsidRPr="00A47024">
              <w:rPr>
                <w:rFonts w:ascii="Times New Roman" w:eastAsia="Times New Roman" w:hAnsi="Times New Roman" w:cs="Times New Roman"/>
                <w:color w:val="000000"/>
                <w:sz w:val="20"/>
                <w:szCs w:val="20"/>
                <w:lang w:eastAsia="en-AU"/>
              </w:rPr>
              <w:t>8</w:t>
            </w:r>
            <w:r w:rsidRPr="00A47024">
              <w:rPr>
                <w:rFonts w:ascii="Times New Roman" w:eastAsia="Times New Roman" w:hAnsi="Times New Roman" w:cs="Times New Roman"/>
                <w:color w:val="000000"/>
                <w:sz w:val="20"/>
                <w:szCs w:val="20"/>
                <w:lang w:eastAsia="en-AU"/>
              </w:rPr>
              <w:t>.7%</w:t>
            </w:r>
          </w:p>
        </w:tc>
        <w:tc>
          <w:tcPr>
            <w:tcW w:w="1131" w:type="dxa"/>
            <w:gridSpan w:val="4"/>
            <w:tcBorders>
              <w:top w:val="nil"/>
              <w:left w:val="nil"/>
              <w:bottom w:val="nil"/>
              <w:right w:val="nil"/>
            </w:tcBorders>
            <w:shd w:val="clear" w:color="auto" w:fill="auto"/>
            <w:noWrap/>
            <w:vAlign w:val="center"/>
          </w:tcPr>
          <w:p w14:paraId="5003DFAA"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704" w:type="dxa"/>
            <w:gridSpan w:val="2"/>
            <w:tcBorders>
              <w:top w:val="nil"/>
              <w:left w:val="nil"/>
              <w:bottom w:val="nil"/>
              <w:right w:val="nil"/>
            </w:tcBorders>
            <w:shd w:val="clear" w:color="auto" w:fill="auto"/>
            <w:noWrap/>
            <w:vAlign w:val="center"/>
          </w:tcPr>
          <w:p w14:paraId="3FA86F8C"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716" w:type="dxa"/>
            <w:gridSpan w:val="2"/>
            <w:tcBorders>
              <w:top w:val="nil"/>
              <w:left w:val="nil"/>
              <w:bottom w:val="nil"/>
              <w:right w:val="nil"/>
            </w:tcBorders>
            <w:shd w:val="clear" w:color="auto" w:fill="auto"/>
            <w:noWrap/>
            <w:vAlign w:val="center"/>
          </w:tcPr>
          <w:p w14:paraId="3BCC3230"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23AE3D98"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6E7DC81B"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6A72B67B"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632" w:type="dxa"/>
            <w:gridSpan w:val="2"/>
            <w:tcBorders>
              <w:top w:val="nil"/>
              <w:left w:val="nil"/>
              <w:bottom w:val="nil"/>
              <w:right w:val="nil"/>
            </w:tcBorders>
            <w:shd w:val="clear" w:color="auto" w:fill="auto"/>
            <w:noWrap/>
            <w:vAlign w:val="center"/>
          </w:tcPr>
          <w:p w14:paraId="4DCF847E" w14:textId="77777777" w:rsidR="002E4DDA" w:rsidRPr="00A47024" w:rsidRDefault="002E4DDA" w:rsidP="00AC7884">
            <w:pPr>
              <w:spacing w:after="0" w:line="240" w:lineRule="auto"/>
              <w:rPr>
                <w:rFonts w:ascii="Calibri" w:eastAsia="Times New Roman" w:hAnsi="Calibri" w:cs="Times New Roman"/>
                <w:color w:val="000000"/>
                <w:lang w:eastAsia="en-AU"/>
              </w:rPr>
            </w:pPr>
          </w:p>
        </w:tc>
        <w:tc>
          <w:tcPr>
            <w:tcW w:w="686" w:type="dxa"/>
            <w:tcBorders>
              <w:top w:val="nil"/>
              <w:left w:val="nil"/>
              <w:bottom w:val="nil"/>
              <w:right w:val="nil"/>
            </w:tcBorders>
            <w:shd w:val="clear" w:color="auto" w:fill="auto"/>
            <w:noWrap/>
            <w:vAlign w:val="center"/>
          </w:tcPr>
          <w:p w14:paraId="2D1AC09F" w14:textId="77777777" w:rsidR="002E4DDA" w:rsidRPr="00A47024" w:rsidRDefault="002E4DDA" w:rsidP="00AC7884">
            <w:pPr>
              <w:spacing w:after="0" w:line="240" w:lineRule="auto"/>
              <w:rPr>
                <w:rFonts w:ascii="Calibri" w:eastAsia="Times New Roman" w:hAnsi="Calibri" w:cs="Times New Roman"/>
                <w:color w:val="000000"/>
                <w:lang w:eastAsia="en-AU"/>
              </w:rPr>
            </w:pPr>
          </w:p>
        </w:tc>
      </w:tr>
    </w:tbl>
    <w:p w14:paraId="53023D53" w14:textId="43631062" w:rsidR="00406F6C" w:rsidRPr="00B94C4D" w:rsidRDefault="00E729C2" w:rsidP="00406F6C">
      <w:pPr>
        <w:spacing w:after="0" w:line="240" w:lineRule="auto"/>
        <w:jc w:val="both"/>
      </w:pPr>
      <w:r w:rsidRPr="00A47024">
        <w:rPr>
          <w:rFonts w:ascii="Times New Roman" w:hAnsi="Times New Roman"/>
          <w:sz w:val="20"/>
          <w:szCs w:val="20"/>
        </w:rPr>
        <w:t xml:space="preserve">Table 1 presents </w:t>
      </w:r>
      <w:r w:rsidR="001A5280" w:rsidRPr="00A47024">
        <w:rPr>
          <w:rFonts w:ascii="Times New Roman" w:hAnsi="Times New Roman"/>
          <w:sz w:val="20"/>
          <w:szCs w:val="20"/>
        </w:rPr>
        <w:t xml:space="preserve">descriptive statistics. Panel A shows the distribution of disclosure outlet use over time. Panel B and C present firm descriptive statistics. </w:t>
      </w:r>
      <w:r w:rsidR="001A5280" w:rsidRPr="00A47024">
        <w:rPr>
          <w:rFonts w:ascii="Times New Roman" w:eastAsia="MS Mincho" w:hAnsi="Times New Roman" w:cs="Times New Roman"/>
          <w:i/>
          <w:sz w:val="20"/>
          <w:szCs w:val="20"/>
          <w:lang w:val="en-NZ" w:eastAsia="ja-JP"/>
        </w:rPr>
        <w:t>PAR</w:t>
      </w:r>
      <w:r w:rsidR="001A5280" w:rsidRPr="00A47024">
        <w:rPr>
          <w:rFonts w:ascii="Times New Roman" w:eastAsia="MS Mincho" w:hAnsi="Times New Roman" w:cs="Times New Roman"/>
          <w:sz w:val="20"/>
          <w:szCs w:val="20"/>
          <w:lang w:val="en-NZ" w:eastAsia="ja-JP"/>
        </w:rPr>
        <w:t xml:space="preserve"> is a dummy variable equal to one if firm </w:t>
      </w:r>
      <w:proofErr w:type="spellStart"/>
      <w:r w:rsidR="001A5280" w:rsidRPr="00A47024">
        <w:rPr>
          <w:rFonts w:ascii="Times New Roman" w:eastAsia="MS Mincho" w:hAnsi="Times New Roman" w:cs="Times New Roman"/>
          <w:i/>
          <w:sz w:val="20"/>
          <w:szCs w:val="20"/>
          <w:lang w:val="en-NZ" w:eastAsia="ja-JP"/>
        </w:rPr>
        <w:t>i</w:t>
      </w:r>
      <w:proofErr w:type="spellEnd"/>
      <w:r w:rsidR="001A5280" w:rsidRPr="00A47024">
        <w:rPr>
          <w:rFonts w:ascii="Times New Roman" w:eastAsia="MS Mincho" w:hAnsi="Times New Roman" w:cs="Times New Roman"/>
          <w:sz w:val="20"/>
          <w:szCs w:val="20"/>
          <w:lang w:val="en-NZ" w:eastAsia="ja-JP"/>
        </w:rPr>
        <w:t xml:space="preserve"> purchased analyst research at time </w:t>
      </w:r>
      <w:r w:rsidR="001A5280" w:rsidRPr="00A47024">
        <w:rPr>
          <w:rFonts w:ascii="Times New Roman" w:eastAsia="MS Mincho" w:hAnsi="Times New Roman" w:cs="Times New Roman"/>
          <w:i/>
          <w:sz w:val="20"/>
          <w:szCs w:val="20"/>
          <w:lang w:val="en-NZ" w:eastAsia="ja-JP"/>
        </w:rPr>
        <w:t>t</w:t>
      </w:r>
      <w:r w:rsidR="001A5280" w:rsidRPr="00A47024">
        <w:rPr>
          <w:rFonts w:ascii="Times New Roman" w:eastAsia="MS Mincho" w:hAnsi="Times New Roman" w:cs="Times New Roman"/>
          <w:sz w:val="20"/>
          <w:szCs w:val="20"/>
          <w:lang w:val="en-NZ" w:eastAsia="ja-JP"/>
        </w:rPr>
        <w:t xml:space="preserve">; </w:t>
      </w:r>
      <w:r w:rsidR="001A5280" w:rsidRPr="00A47024">
        <w:rPr>
          <w:rFonts w:ascii="Times New Roman" w:eastAsia="MS Mincho" w:hAnsi="Times New Roman" w:cs="Times New Roman"/>
          <w:i/>
          <w:sz w:val="20"/>
          <w:szCs w:val="20"/>
          <w:lang w:val="en-NZ" w:eastAsia="ja-JP"/>
        </w:rPr>
        <w:t>IP</w:t>
      </w:r>
      <w:r w:rsidR="001A5280" w:rsidRPr="00A47024">
        <w:rPr>
          <w:rFonts w:ascii="Times New Roman" w:eastAsia="MS Mincho" w:hAnsi="Times New Roman" w:cs="Times New Roman"/>
          <w:sz w:val="20"/>
          <w:szCs w:val="20"/>
          <w:lang w:val="en-NZ" w:eastAsia="ja-JP"/>
        </w:rPr>
        <w:t xml:space="preserve"> is a dummy variable equal to one if</w:t>
      </w:r>
      <w:r w:rsidR="001A5280" w:rsidRPr="001A5280">
        <w:rPr>
          <w:rFonts w:ascii="Times New Roman" w:eastAsia="MS Mincho" w:hAnsi="Times New Roman" w:cs="Times New Roman"/>
          <w:sz w:val="20"/>
          <w:szCs w:val="20"/>
          <w:lang w:val="en-NZ" w:eastAsia="ja-JP"/>
        </w:rPr>
        <w:t xml:space="preserve"> firm </w:t>
      </w:r>
      <w:proofErr w:type="spellStart"/>
      <w:r w:rsidR="001A5280" w:rsidRPr="001A5280">
        <w:rPr>
          <w:rFonts w:ascii="Times New Roman" w:eastAsia="MS Mincho" w:hAnsi="Times New Roman" w:cs="Times New Roman"/>
          <w:i/>
          <w:sz w:val="20"/>
          <w:szCs w:val="20"/>
          <w:lang w:val="en-NZ" w:eastAsia="ja-JP"/>
        </w:rPr>
        <w:t>i</w:t>
      </w:r>
      <w:proofErr w:type="spellEnd"/>
      <w:r w:rsidR="001A5280" w:rsidRPr="001A5280">
        <w:rPr>
          <w:rFonts w:ascii="Times New Roman" w:eastAsia="MS Mincho" w:hAnsi="Times New Roman" w:cs="Times New Roman"/>
          <w:sz w:val="20"/>
          <w:szCs w:val="20"/>
          <w:lang w:val="en-NZ" w:eastAsia="ja-JP"/>
        </w:rPr>
        <w:t xml:space="preserve"> held an investor presentation at time </w:t>
      </w:r>
      <w:r w:rsidR="001A5280" w:rsidRPr="001A5280">
        <w:rPr>
          <w:rFonts w:ascii="Times New Roman" w:eastAsia="MS Mincho" w:hAnsi="Times New Roman" w:cs="Times New Roman"/>
          <w:i/>
          <w:sz w:val="20"/>
          <w:szCs w:val="20"/>
          <w:lang w:val="en-NZ" w:eastAsia="ja-JP"/>
        </w:rPr>
        <w:t>t</w:t>
      </w:r>
      <w:r w:rsidR="001A5280" w:rsidRPr="001A5280">
        <w:rPr>
          <w:rFonts w:ascii="Times New Roman" w:eastAsia="MS Mincho" w:hAnsi="Times New Roman" w:cs="Times New Roman"/>
          <w:sz w:val="20"/>
          <w:szCs w:val="20"/>
          <w:lang w:val="en-NZ" w:eastAsia="ja-JP"/>
        </w:rPr>
        <w:t xml:space="preserve"> and </w:t>
      </w:r>
      <w:r w:rsidR="001A5280" w:rsidRPr="001A5280">
        <w:rPr>
          <w:rFonts w:ascii="Times New Roman" w:eastAsia="MS Mincho" w:hAnsi="Times New Roman" w:cs="Times New Roman"/>
          <w:i/>
          <w:sz w:val="20"/>
          <w:szCs w:val="20"/>
          <w:lang w:val="en-NZ" w:eastAsia="ja-JP"/>
        </w:rPr>
        <w:t>OB</w:t>
      </w:r>
      <w:r w:rsidR="001A5280" w:rsidRPr="001A5280">
        <w:rPr>
          <w:rFonts w:ascii="Times New Roman" w:eastAsia="MS Mincho" w:hAnsi="Times New Roman" w:cs="Times New Roman"/>
          <w:sz w:val="20"/>
          <w:szCs w:val="20"/>
          <w:lang w:val="en-NZ" w:eastAsia="ja-JP"/>
        </w:rPr>
        <w:t xml:space="preserve"> is a dummy variable equal to one if firm </w:t>
      </w:r>
      <w:proofErr w:type="spellStart"/>
      <w:r w:rsidR="001A5280" w:rsidRPr="001A5280">
        <w:rPr>
          <w:rFonts w:ascii="Times New Roman" w:eastAsia="MS Mincho" w:hAnsi="Times New Roman" w:cs="Times New Roman"/>
          <w:i/>
          <w:sz w:val="20"/>
          <w:szCs w:val="20"/>
          <w:lang w:val="en-NZ" w:eastAsia="ja-JP"/>
        </w:rPr>
        <w:t>i</w:t>
      </w:r>
      <w:proofErr w:type="spellEnd"/>
      <w:r w:rsidR="001A5280" w:rsidRPr="001A5280">
        <w:rPr>
          <w:rFonts w:ascii="Times New Roman" w:eastAsia="MS Mincho" w:hAnsi="Times New Roman" w:cs="Times New Roman"/>
          <w:sz w:val="20"/>
          <w:szCs w:val="20"/>
          <w:lang w:val="en-NZ" w:eastAsia="ja-JP"/>
        </w:rPr>
        <w:t xml:space="preserve"> held an Open Briefing at time </w:t>
      </w:r>
      <w:r w:rsidR="001A5280" w:rsidRPr="001A5280">
        <w:rPr>
          <w:rFonts w:ascii="Times New Roman" w:eastAsia="MS Mincho" w:hAnsi="Times New Roman" w:cs="Times New Roman"/>
          <w:i/>
          <w:sz w:val="20"/>
          <w:szCs w:val="20"/>
          <w:lang w:val="en-NZ" w:eastAsia="ja-JP"/>
        </w:rPr>
        <w:t xml:space="preserve">t; </w:t>
      </w:r>
      <w:r w:rsidR="00F00AAE" w:rsidRPr="001A5280">
        <w:rPr>
          <w:rFonts w:ascii="Times New Roman" w:eastAsia="MS Mincho" w:hAnsi="Times New Roman" w:cs="Times New Roman"/>
          <w:i/>
          <w:sz w:val="20"/>
          <w:szCs w:val="20"/>
          <w:lang w:val="en-NZ" w:eastAsia="ja-JP"/>
        </w:rPr>
        <w:t xml:space="preserve">Age </w:t>
      </w:r>
      <w:r w:rsidR="00F00AAE">
        <w:rPr>
          <w:rFonts w:ascii="Times New Roman" w:eastAsia="MS Mincho" w:hAnsi="Times New Roman" w:cs="Times New Roman"/>
          <w:sz w:val="20"/>
          <w:szCs w:val="20"/>
          <w:lang w:val="en-NZ" w:eastAsia="ja-JP"/>
        </w:rPr>
        <w:t xml:space="preserve">is </w:t>
      </w:r>
      <w:r w:rsidR="00F00AAE" w:rsidRPr="00406F6C">
        <w:rPr>
          <w:rFonts w:ascii="Times New Roman" w:eastAsia="MS Mincho" w:hAnsi="Times New Roman" w:cs="Times New Roman"/>
          <w:sz w:val="20"/>
          <w:szCs w:val="20"/>
          <w:lang w:val="en-NZ" w:eastAsia="ja-JP"/>
        </w:rPr>
        <w:t xml:space="preserve">the age of firm </w:t>
      </w:r>
      <w:proofErr w:type="spellStart"/>
      <w:r w:rsidR="00F00AAE" w:rsidRPr="00406F6C">
        <w:rPr>
          <w:rFonts w:ascii="Times New Roman" w:eastAsia="MS Mincho" w:hAnsi="Times New Roman" w:cs="Times New Roman"/>
          <w:i/>
          <w:sz w:val="20"/>
          <w:szCs w:val="20"/>
          <w:lang w:val="en-NZ" w:eastAsia="ja-JP"/>
        </w:rPr>
        <w:t>i</w:t>
      </w:r>
      <w:proofErr w:type="spellEnd"/>
      <w:r w:rsidR="00F00AAE" w:rsidRPr="00406F6C">
        <w:rPr>
          <w:rFonts w:ascii="Times New Roman" w:eastAsia="MS Mincho" w:hAnsi="Times New Roman" w:cs="Times New Roman"/>
          <w:i/>
          <w:sz w:val="20"/>
          <w:szCs w:val="20"/>
          <w:lang w:val="en-NZ" w:eastAsia="ja-JP"/>
        </w:rPr>
        <w:t xml:space="preserve"> </w:t>
      </w:r>
      <w:r w:rsidR="00F00AAE" w:rsidRPr="00406F6C">
        <w:rPr>
          <w:rFonts w:ascii="Times New Roman" w:eastAsia="MS Mincho" w:hAnsi="Times New Roman" w:cs="Times New Roman"/>
          <w:sz w:val="20"/>
          <w:szCs w:val="20"/>
          <w:lang w:val="en-NZ" w:eastAsia="ja-JP"/>
        </w:rPr>
        <w:t>at time</w:t>
      </w:r>
      <w:r w:rsidR="00F00AAE">
        <w:rPr>
          <w:rFonts w:ascii="Times New Roman" w:eastAsia="MS Mincho" w:hAnsi="Times New Roman" w:cs="Times New Roman"/>
          <w:i/>
          <w:sz w:val="20"/>
          <w:szCs w:val="20"/>
          <w:lang w:val="en-NZ" w:eastAsia="ja-JP"/>
        </w:rPr>
        <w:t xml:space="preserve"> t</w:t>
      </w:r>
      <w:r w:rsidR="00F00AAE">
        <w:rPr>
          <w:rFonts w:ascii="Times New Roman" w:eastAsia="MS Mincho" w:hAnsi="Times New Roman" w:cs="Times New Roman"/>
          <w:sz w:val="20"/>
          <w:szCs w:val="20"/>
          <w:lang w:val="en-NZ" w:eastAsia="ja-JP"/>
        </w:rPr>
        <w:t xml:space="preserve"> in days; </w:t>
      </w:r>
      <w:proofErr w:type="spellStart"/>
      <w:r w:rsidR="001A5280" w:rsidRPr="001A5280">
        <w:rPr>
          <w:rFonts w:ascii="Times New Roman" w:eastAsia="MS Mincho" w:hAnsi="Times New Roman" w:cs="Times New Roman"/>
          <w:i/>
          <w:sz w:val="20"/>
          <w:szCs w:val="20"/>
          <w:lang w:val="en-NZ" w:eastAsia="ja-JP"/>
        </w:rPr>
        <w:t>LnAge</w:t>
      </w:r>
      <w:proofErr w:type="spellEnd"/>
      <w:r w:rsidR="001A5280" w:rsidRPr="001A5280">
        <w:rPr>
          <w:rFonts w:ascii="Times New Roman" w:eastAsia="MS Mincho" w:hAnsi="Times New Roman" w:cs="Times New Roman"/>
          <w:i/>
          <w:sz w:val="20"/>
          <w:szCs w:val="20"/>
          <w:lang w:val="en-NZ" w:eastAsia="ja-JP"/>
        </w:rPr>
        <w:t xml:space="preserve"> </w:t>
      </w:r>
      <w:r w:rsidR="001A5280" w:rsidRPr="001A5280">
        <w:rPr>
          <w:rFonts w:ascii="Times New Roman" w:eastAsia="MS Mincho" w:hAnsi="Times New Roman" w:cs="Times New Roman"/>
          <w:sz w:val="20"/>
          <w:szCs w:val="20"/>
          <w:lang w:val="en-NZ" w:eastAsia="ja-JP"/>
        </w:rPr>
        <w:t xml:space="preserve">is the natural logarithm </w:t>
      </w:r>
      <w:r w:rsidR="00F00AAE" w:rsidRPr="00F00AAE">
        <w:rPr>
          <w:rFonts w:ascii="Times New Roman" w:eastAsia="MS Mincho" w:hAnsi="Times New Roman" w:cs="Times New Roman"/>
          <w:i/>
          <w:sz w:val="20"/>
          <w:szCs w:val="20"/>
          <w:lang w:val="en-NZ" w:eastAsia="ja-JP"/>
        </w:rPr>
        <w:t>Age</w:t>
      </w:r>
      <w:r w:rsidR="001A5280" w:rsidRPr="00406F6C">
        <w:rPr>
          <w:rFonts w:ascii="Times New Roman" w:eastAsia="MS Mincho" w:hAnsi="Times New Roman" w:cs="Times New Roman"/>
          <w:sz w:val="20"/>
          <w:szCs w:val="20"/>
          <w:lang w:val="en-NZ" w:eastAsia="ja-JP"/>
        </w:rPr>
        <w:t>;</w:t>
      </w:r>
      <w:r w:rsidR="00F217EA" w:rsidRPr="00406F6C">
        <w:rPr>
          <w:rFonts w:ascii="Times New Roman" w:hAnsi="Times New Roman"/>
          <w:sz w:val="20"/>
          <w:szCs w:val="20"/>
        </w:rPr>
        <w:t xml:space="preserve"> </w:t>
      </w:r>
      <w:r w:rsidR="00406F6C" w:rsidRPr="00406F6C">
        <w:rPr>
          <w:rFonts w:ascii="Times New Roman" w:hAnsi="Times New Roman" w:cs="Times New Roman"/>
          <w:i/>
          <w:sz w:val="20"/>
          <w:szCs w:val="20"/>
        </w:rPr>
        <w:t>Top20</w:t>
      </w:r>
      <w:r w:rsidR="00406F6C" w:rsidRPr="00406F6C">
        <w:rPr>
          <w:rFonts w:ascii="Times New Roman" w:hAnsi="Times New Roman" w:cs="Times New Roman"/>
          <w:sz w:val="20"/>
          <w:szCs w:val="20"/>
        </w:rPr>
        <w:t xml:space="preserve"> is the percentage of shares of firm </w:t>
      </w:r>
      <w:proofErr w:type="spellStart"/>
      <w:r w:rsidR="00406F6C" w:rsidRPr="00406F6C">
        <w:rPr>
          <w:rFonts w:ascii="Times New Roman" w:hAnsi="Times New Roman" w:cs="Times New Roman"/>
          <w:i/>
          <w:sz w:val="20"/>
          <w:szCs w:val="20"/>
        </w:rPr>
        <w:t>i</w:t>
      </w:r>
      <w:proofErr w:type="spellEnd"/>
      <w:r w:rsidR="00406F6C" w:rsidRPr="00406F6C">
        <w:rPr>
          <w:rFonts w:ascii="Times New Roman" w:hAnsi="Times New Roman" w:cs="Times New Roman"/>
          <w:i/>
          <w:sz w:val="20"/>
          <w:szCs w:val="20"/>
        </w:rPr>
        <w:t xml:space="preserve"> </w:t>
      </w:r>
      <w:r w:rsidR="00406F6C" w:rsidRPr="00406F6C">
        <w:rPr>
          <w:rFonts w:ascii="Times New Roman" w:hAnsi="Times New Roman" w:cs="Times New Roman"/>
          <w:sz w:val="20"/>
          <w:szCs w:val="20"/>
        </w:rPr>
        <w:t xml:space="preserve">owned by the largest twenty shareholders as reported in the most recent annual report at time </w:t>
      </w:r>
      <w:r w:rsidR="00406F6C" w:rsidRPr="00406F6C">
        <w:rPr>
          <w:rFonts w:ascii="Times New Roman" w:hAnsi="Times New Roman" w:cs="Times New Roman"/>
          <w:i/>
          <w:sz w:val="20"/>
          <w:szCs w:val="20"/>
        </w:rPr>
        <w:t>t</w:t>
      </w:r>
      <w:r w:rsidR="00F217EA" w:rsidRPr="00406F6C">
        <w:rPr>
          <w:rFonts w:ascii="Times New Roman" w:hAnsi="Times New Roman"/>
          <w:sz w:val="20"/>
          <w:szCs w:val="20"/>
        </w:rPr>
        <w:t xml:space="preserve">; </w:t>
      </w:r>
      <w:proofErr w:type="spellStart"/>
      <w:r w:rsidR="00F00AAE" w:rsidRPr="00406F6C">
        <w:rPr>
          <w:rFonts w:ascii="Times New Roman" w:hAnsi="Times New Roman"/>
          <w:i/>
          <w:sz w:val="20"/>
          <w:szCs w:val="20"/>
        </w:rPr>
        <w:t>MCap</w:t>
      </w:r>
      <w:proofErr w:type="spellEnd"/>
      <w:r w:rsidR="00F00AAE" w:rsidRPr="00406F6C">
        <w:rPr>
          <w:rFonts w:ascii="Times New Roman" w:hAnsi="Times New Roman"/>
          <w:sz w:val="20"/>
          <w:szCs w:val="20"/>
        </w:rPr>
        <w:t xml:space="preserve"> is the market capitalization at time </w:t>
      </w:r>
      <w:r w:rsidR="00F00AAE" w:rsidRPr="00406F6C">
        <w:rPr>
          <w:rFonts w:ascii="Times New Roman" w:hAnsi="Times New Roman"/>
          <w:i/>
          <w:sz w:val="20"/>
          <w:szCs w:val="20"/>
        </w:rPr>
        <w:t>t</w:t>
      </w:r>
      <w:r w:rsidR="00F00AAE" w:rsidRPr="00406F6C">
        <w:rPr>
          <w:rFonts w:ascii="Times New Roman" w:hAnsi="Times New Roman"/>
          <w:sz w:val="20"/>
          <w:szCs w:val="20"/>
        </w:rPr>
        <w:t>-11</w:t>
      </w:r>
      <w:r w:rsidR="00F00AAE">
        <w:rPr>
          <w:rFonts w:ascii="Times New Roman" w:hAnsi="Times New Roman"/>
          <w:sz w:val="20"/>
          <w:szCs w:val="20"/>
        </w:rPr>
        <w:t xml:space="preserve"> in millions</w:t>
      </w:r>
      <w:r w:rsidR="00F00AAE" w:rsidRPr="00406F6C">
        <w:rPr>
          <w:rFonts w:ascii="Times New Roman" w:hAnsi="Times New Roman"/>
          <w:sz w:val="20"/>
          <w:szCs w:val="20"/>
        </w:rPr>
        <w:t xml:space="preserve">; </w:t>
      </w:r>
      <w:proofErr w:type="spellStart"/>
      <w:r w:rsidR="00F00AAE" w:rsidRPr="00406F6C">
        <w:rPr>
          <w:rFonts w:ascii="Times New Roman" w:hAnsi="Times New Roman"/>
          <w:i/>
          <w:sz w:val="20"/>
          <w:szCs w:val="20"/>
        </w:rPr>
        <w:t>LnMCap</w:t>
      </w:r>
      <w:proofErr w:type="spellEnd"/>
      <w:r w:rsidR="00F00AAE" w:rsidRPr="00406F6C">
        <w:rPr>
          <w:rFonts w:ascii="Times New Roman" w:hAnsi="Times New Roman"/>
          <w:sz w:val="20"/>
          <w:szCs w:val="20"/>
        </w:rPr>
        <w:t xml:space="preserve"> is the natural logarithm </w:t>
      </w:r>
      <w:r w:rsidR="00F00AAE">
        <w:rPr>
          <w:rFonts w:ascii="Times New Roman" w:hAnsi="Times New Roman"/>
          <w:sz w:val="20"/>
          <w:szCs w:val="20"/>
        </w:rPr>
        <w:t xml:space="preserve">of </w:t>
      </w:r>
      <w:proofErr w:type="spellStart"/>
      <w:r w:rsidR="00F00AAE" w:rsidRPr="00F00AAE">
        <w:rPr>
          <w:rFonts w:ascii="Times New Roman" w:hAnsi="Times New Roman"/>
          <w:i/>
          <w:sz w:val="20"/>
          <w:szCs w:val="20"/>
        </w:rPr>
        <w:t>MCap</w:t>
      </w:r>
      <w:proofErr w:type="spellEnd"/>
      <w:r w:rsidR="00F00AAE">
        <w:rPr>
          <w:rFonts w:ascii="Times New Roman" w:hAnsi="Times New Roman"/>
          <w:sz w:val="20"/>
          <w:szCs w:val="20"/>
        </w:rPr>
        <w:t xml:space="preserve">; </w:t>
      </w:r>
      <w:r w:rsidR="00F00AAE">
        <w:rPr>
          <w:rFonts w:ascii="Times New Roman" w:hAnsi="Times New Roman" w:cs="Times New Roman"/>
          <w:i/>
          <w:sz w:val="20"/>
          <w:szCs w:val="20"/>
        </w:rPr>
        <w:t>TLTA</w:t>
      </w:r>
      <w:r w:rsidR="00F00AAE" w:rsidRPr="00406F6C">
        <w:rPr>
          <w:rFonts w:ascii="Times New Roman" w:hAnsi="Times New Roman" w:cs="Times New Roman"/>
          <w:sz w:val="20"/>
          <w:szCs w:val="20"/>
        </w:rPr>
        <w:t xml:space="preserve"> is </w:t>
      </w:r>
      <w:r w:rsidR="00F00AAE">
        <w:rPr>
          <w:rFonts w:ascii="Times New Roman" w:hAnsi="Times New Roman" w:cs="Times New Roman"/>
          <w:sz w:val="20"/>
          <w:szCs w:val="20"/>
        </w:rPr>
        <w:t>total liabilities divided by total assets</w:t>
      </w:r>
      <w:r w:rsidR="00F00AAE" w:rsidRPr="00406F6C">
        <w:rPr>
          <w:rFonts w:ascii="Times New Roman" w:hAnsi="Times New Roman" w:cs="Times New Roman"/>
          <w:sz w:val="20"/>
          <w:szCs w:val="20"/>
        </w:rPr>
        <w:t xml:space="preserve"> of firm </w:t>
      </w:r>
      <w:proofErr w:type="spellStart"/>
      <w:r w:rsidR="00F00AAE" w:rsidRPr="00406F6C">
        <w:rPr>
          <w:rFonts w:ascii="Times New Roman" w:hAnsi="Times New Roman" w:cs="Times New Roman"/>
          <w:i/>
          <w:sz w:val="20"/>
          <w:szCs w:val="20"/>
        </w:rPr>
        <w:t>i</w:t>
      </w:r>
      <w:proofErr w:type="spellEnd"/>
      <w:r w:rsidR="00F00AAE" w:rsidRPr="00406F6C">
        <w:rPr>
          <w:rFonts w:ascii="Times New Roman" w:hAnsi="Times New Roman" w:cs="Times New Roman"/>
          <w:i/>
          <w:sz w:val="20"/>
          <w:szCs w:val="20"/>
        </w:rPr>
        <w:t xml:space="preserve"> </w:t>
      </w:r>
      <w:r w:rsidR="00F00AAE" w:rsidRPr="00406F6C">
        <w:rPr>
          <w:rFonts w:ascii="Times New Roman" w:hAnsi="Times New Roman" w:cs="Times New Roman"/>
          <w:sz w:val="20"/>
          <w:szCs w:val="20"/>
        </w:rPr>
        <w:t xml:space="preserve">as reported in the most recent annual report at time </w:t>
      </w:r>
      <w:r w:rsidR="00F00AAE" w:rsidRPr="00406F6C">
        <w:rPr>
          <w:rFonts w:ascii="Times New Roman" w:hAnsi="Times New Roman" w:cs="Times New Roman"/>
          <w:i/>
          <w:sz w:val="20"/>
          <w:szCs w:val="20"/>
        </w:rPr>
        <w:t>t</w:t>
      </w:r>
      <w:r w:rsidR="00F00AAE" w:rsidRPr="006F3FE8">
        <w:rPr>
          <w:rFonts w:ascii="Times New Roman" w:hAnsi="Times New Roman" w:cs="Times New Roman"/>
          <w:sz w:val="20"/>
          <w:szCs w:val="20"/>
        </w:rPr>
        <w:t>;</w:t>
      </w:r>
      <w:r w:rsidR="00406F6C" w:rsidRPr="006F3FE8">
        <w:rPr>
          <w:rFonts w:ascii="Times New Roman" w:hAnsi="Times New Roman" w:cs="Times New Roman"/>
          <w:sz w:val="20"/>
          <w:szCs w:val="20"/>
        </w:rPr>
        <w:t xml:space="preserve"> </w:t>
      </w:r>
      <w:proofErr w:type="spellStart"/>
      <w:r w:rsidR="00406F6C" w:rsidRPr="00406F6C">
        <w:rPr>
          <w:rFonts w:ascii="Times New Roman" w:hAnsi="Times New Roman" w:cs="Times New Roman"/>
          <w:i/>
          <w:sz w:val="20"/>
          <w:szCs w:val="20"/>
        </w:rPr>
        <w:t>AnlCov</w:t>
      </w:r>
      <w:proofErr w:type="spellEnd"/>
      <w:r w:rsidR="00406F6C" w:rsidRPr="00406F6C">
        <w:rPr>
          <w:rFonts w:ascii="Times New Roman" w:hAnsi="Times New Roman" w:cs="Times New Roman"/>
          <w:sz w:val="20"/>
          <w:szCs w:val="20"/>
        </w:rPr>
        <w:t xml:space="preserve"> is a dummy </w:t>
      </w:r>
      <w:r w:rsidR="00406F6C" w:rsidRPr="00A47024">
        <w:rPr>
          <w:rFonts w:ascii="Times New Roman" w:hAnsi="Times New Roman" w:cs="Times New Roman"/>
          <w:sz w:val="20"/>
          <w:szCs w:val="20"/>
        </w:rPr>
        <w:t xml:space="preserve">variable equal to one if firm </w:t>
      </w:r>
      <w:proofErr w:type="spellStart"/>
      <w:r w:rsidR="00406F6C" w:rsidRPr="00A47024">
        <w:rPr>
          <w:rFonts w:ascii="Times New Roman" w:hAnsi="Times New Roman" w:cs="Times New Roman"/>
          <w:i/>
          <w:sz w:val="20"/>
          <w:szCs w:val="20"/>
        </w:rPr>
        <w:t>i</w:t>
      </w:r>
      <w:proofErr w:type="spellEnd"/>
      <w:r w:rsidR="00406F6C" w:rsidRPr="00A47024">
        <w:rPr>
          <w:rFonts w:ascii="Times New Roman" w:hAnsi="Times New Roman" w:cs="Times New Roman"/>
          <w:i/>
          <w:sz w:val="20"/>
          <w:szCs w:val="20"/>
        </w:rPr>
        <w:t xml:space="preserve"> </w:t>
      </w:r>
      <w:r w:rsidR="00406F6C" w:rsidRPr="00A47024">
        <w:rPr>
          <w:rFonts w:ascii="Times New Roman" w:hAnsi="Times New Roman" w:cs="Times New Roman"/>
          <w:sz w:val="20"/>
          <w:szCs w:val="20"/>
        </w:rPr>
        <w:t>has earnin</w:t>
      </w:r>
      <w:r w:rsidR="009C25D5" w:rsidRPr="00A47024">
        <w:rPr>
          <w:rFonts w:ascii="Times New Roman" w:hAnsi="Times New Roman" w:cs="Times New Roman"/>
          <w:sz w:val="20"/>
          <w:szCs w:val="20"/>
        </w:rPr>
        <w:t>gs estimates on IBES as at time</w:t>
      </w:r>
      <w:r w:rsidR="00652912" w:rsidRPr="00A47024">
        <w:rPr>
          <w:rFonts w:ascii="Times New Roman" w:hAnsi="Times New Roman" w:cs="Times New Roman"/>
          <w:sz w:val="20"/>
          <w:szCs w:val="20"/>
        </w:rPr>
        <w:t>;</w:t>
      </w:r>
      <w:r w:rsidR="009C25D5" w:rsidRPr="00A47024">
        <w:rPr>
          <w:rFonts w:ascii="Times New Roman" w:hAnsi="Times New Roman" w:cs="Times New Roman"/>
          <w:i/>
          <w:sz w:val="20"/>
          <w:szCs w:val="20"/>
        </w:rPr>
        <w:t xml:space="preserve"> </w:t>
      </w:r>
      <w:proofErr w:type="spellStart"/>
      <w:r w:rsidR="00652912" w:rsidRPr="00A47024">
        <w:rPr>
          <w:rFonts w:ascii="Times New Roman" w:hAnsi="Times New Roman" w:cs="Times New Roman"/>
          <w:i/>
          <w:sz w:val="20"/>
          <w:szCs w:val="20"/>
        </w:rPr>
        <w:t>CFO_Dum</w:t>
      </w:r>
      <w:proofErr w:type="spellEnd"/>
      <w:r w:rsidR="00652912" w:rsidRPr="00A47024">
        <w:rPr>
          <w:rFonts w:ascii="Times New Roman" w:hAnsi="Times New Roman" w:cs="Times New Roman"/>
          <w:sz w:val="20"/>
          <w:szCs w:val="20"/>
        </w:rPr>
        <w:t xml:space="preserve"> is a dummy variable equal to one if firm </w:t>
      </w:r>
      <w:proofErr w:type="spellStart"/>
      <w:r w:rsidR="00652912" w:rsidRPr="00A47024">
        <w:rPr>
          <w:rFonts w:ascii="Times New Roman" w:hAnsi="Times New Roman" w:cs="Times New Roman"/>
          <w:i/>
          <w:sz w:val="20"/>
          <w:szCs w:val="20"/>
        </w:rPr>
        <w:t>i</w:t>
      </w:r>
      <w:proofErr w:type="spellEnd"/>
      <w:r w:rsidR="00652912" w:rsidRPr="00A47024">
        <w:rPr>
          <w:rFonts w:ascii="Times New Roman" w:hAnsi="Times New Roman" w:cs="Times New Roman"/>
          <w:i/>
          <w:sz w:val="20"/>
          <w:szCs w:val="20"/>
        </w:rPr>
        <w:t xml:space="preserve"> </w:t>
      </w:r>
      <w:r w:rsidR="00652912" w:rsidRPr="00A47024">
        <w:rPr>
          <w:rFonts w:ascii="Times New Roman" w:hAnsi="Times New Roman" w:cs="Times New Roman"/>
          <w:sz w:val="20"/>
          <w:szCs w:val="20"/>
        </w:rPr>
        <w:t xml:space="preserve">has positive net cash flow from operations as reported in the most recent annual report at time </w:t>
      </w:r>
      <w:r w:rsidR="00652912" w:rsidRPr="00A47024">
        <w:rPr>
          <w:rFonts w:ascii="Times New Roman" w:hAnsi="Times New Roman" w:cs="Times New Roman"/>
          <w:i/>
          <w:sz w:val="20"/>
          <w:szCs w:val="20"/>
        </w:rPr>
        <w:t>t</w:t>
      </w:r>
      <w:r w:rsidR="006D2977" w:rsidRPr="00A47024">
        <w:rPr>
          <w:rFonts w:ascii="Times New Roman" w:hAnsi="Times New Roman" w:cs="Times New Roman"/>
          <w:sz w:val="20"/>
          <w:szCs w:val="20"/>
        </w:rPr>
        <w:t xml:space="preserve">; </w:t>
      </w:r>
      <w:r w:rsidR="006F3FE8" w:rsidRPr="00A47024">
        <w:rPr>
          <w:rFonts w:ascii="Times New Roman" w:hAnsi="Times New Roman" w:cs="Times New Roman"/>
          <w:sz w:val="20"/>
          <w:szCs w:val="20"/>
        </w:rPr>
        <w:t>and</w:t>
      </w:r>
      <w:r w:rsidR="009C25D5" w:rsidRPr="00A47024">
        <w:rPr>
          <w:rFonts w:ascii="Times New Roman" w:hAnsi="Times New Roman" w:cs="Times New Roman"/>
          <w:i/>
          <w:sz w:val="20"/>
          <w:szCs w:val="20"/>
        </w:rPr>
        <w:t xml:space="preserve"> </w:t>
      </w:r>
      <w:proofErr w:type="spellStart"/>
      <w:r w:rsidR="009C25D5" w:rsidRPr="00A47024">
        <w:rPr>
          <w:rFonts w:ascii="Times New Roman" w:hAnsi="Times New Roman" w:cs="Times New Roman"/>
          <w:i/>
          <w:sz w:val="20"/>
          <w:szCs w:val="20"/>
        </w:rPr>
        <w:t>PSDisc</w:t>
      </w:r>
      <w:proofErr w:type="spellEnd"/>
      <w:r w:rsidR="009C25D5" w:rsidRPr="00A47024">
        <w:rPr>
          <w:rFonts w:ascii="Times New Roman" w:hAnsi="Times New Roman" w:cs="Times New Roman"/>
          <w:sz w:val="20"/>
          <w:szCs w:val="20"/>
        </w:rPr>
        <w:t xml:space="preserve"> is a dummy variable equal to one </w:t>
      </w:r>
      <w:r w:rsidR="009C25D5" w:rsidRPr="00A47024">
        <w:rPr>
          <w:rFonts w:ascii="Times New Roman" w:hAnsi="Times New Roman" w:cs="Times New Roman"/>
          <w:sz w:val="20"/>
          <w:szCs w:val="20"/>
          <w:lang w:val="en-NZ"/>
        </w:rPr>
        <w:t xml:space="preserve">if another price-sensitive document (i.e. not the disclosure outlet) is released by firm </w:t>
      </w:r>
      <w:proofErr w:type="spellStart"/>
      <w:r w:rsidR="009C25D5" w:rsidRPr="00A47024">
        <w:rPr>
          <w:rFonts w:ascii="Times New Roman" w:hAnsi="Times New Roman" w:cs="Times New Roman"/>
          <w:i/>
          <w:sz w:val="20"/>
          <w:szCs w:val="20"/>
          <w:lang w:val="en-NZ"/>
        </w:rPr>
        <w:t>i</w:t>
      </w:r>
      <w:proofErr w:type="spellEnd"/>
      <w:r w:rsidR="009C25D5" w:rsidRPr="00A47024">
        <w:rPr>
          <w:rFonts w:ascii="Times New Roman" w:hAnsi="Times New Roman" w:cs="Times New Roman"/>
          <w:i/>
          <w:sz w:val="20"/>
          <w:szCs w:val="20"/>
          <w:lang w:val="en-NZ"/>
        </w:rPr>
        <w:t xml:space="preserve"> </w:t>
      </w:r>
      <w:r w:rsidR="009C25D5" w:rsidRPr="00A47024">
        <w:rPr>
          <w:rFonts w:ascii="Times New Roman" w:hAnsi="Times New Roman" w:cs="Times New Roman"/>
          <w:sz w:val="20"/>
          <w:szCs w:val="20"/>
          <w:lang w:val="en-NZ"/>
        </w:rPr>
        <w:t xml:space="preserve">on day’s </w:t>
      </w:r>
      <w:r w:rsidR="009C25D5" w:rsidRPr="00A47024">
        <w:rPr>
          <w:rFonts w:ascii="Times New Roman" w:hAnsi="Times New Roman" w:cs="Times New Roman"/>
          <w:i/>
          <w:sz w:val="20"/>
          <w:szCs w:val="20"/>
          <w:lang w:val="en-NZ"/>
        </w:rPr>
        <w:t>t</w:t>
      </w:r>
      <w:r w:rsidR="009C25D5" w:rsidRPr="00A47024">
        <w:rPr>
          <w:rFonts w:ascii="Times New Roman" w:hAnsi="Times New Roman" w:cs="Times New Roman"/>
          <w:sz w:val="20"/>
          <w:szCs w:val="20"/>
          <w:lang w:val="en-NZ"/>
        </w:rPr>
        <w:t xml:space="preserve">-1 to </w:t>
      </w:r>
      <w:r w:rsidR="009C25D5" w:rsidRPr="00A47024">
        <w:rPr>
          <w:rFonts w:ascii="Times New Roman" w:hAnsi="Times New Roman" w:cs="Times New Roman"/>
          <w:i/>
          <w:sz w:val="20"/>
          <w:szCs w:val="20"/>
          <w:lang w:val="en-NZ"/>
        </w:rPr>
        <w:t xml:space="preserve">t </w:t>
      </w:r>
      <w:r w:rsidR="009C25D5" w:rsidRPr="00A47024">
        <w:rPr>
          <w:rFonts w:ascii="Times New Roman" w:hAnsi="Times New Roman" w:cs="Times New Roman"/>
          <w:sz w:val="20"/>
          <w:szCs w:val="20"/>
          <w:lang w:val="en-NZ"/>
        </w:rPr>
        <w:t>and 0 otherwise</w:t>
      </w:r>
      <w:r w:rsidR="006F3FE8" w:rsidRPr="00A47024">
        <w:rPr>
          <w:rFonts w:ascii="Times New Roman" w:hAnsi="Times New Roman" w:cs="Times New Roman"/>
          <w:sz w:val="20"/>
          <w:szCs w:val="20"/>
          <w:lang w:val="en-NZ"/>
        </w:rPr>
        <w:t>.</w:t>
      </w:r>
    </w:p>
    <w:p w14:paraId="0A84D1A4" w14:textId="77777777" w:rsidR="009C25D5" w:rsidRDefault="009C25D5" w:rsidP="00C72A7E">
      <w:pPr>
        <w:rPr>
          <w:rFonts w:ascii="Times New Roman" w:hAnsi="Times New Roman"/>
          <w:b/>
          <w:sz w:val="24"/>
          <w:szCs w:val="24"/>
        </w:rPr>
      </w:pPr>
    </w:p>
    <w:p w14:paraId="246B291E" w14:textId="77777777" w:rsidR="00C6730A" w:rsidRDefault="00C6730A" w:rsidP="009C25D5">
      <w:pPr>
        <w:rPr>
          <w:rFonts w:ascii="Times New Roman" w:hAnsi="Times New Roman"/>
          <w:b/>
          <w:sz w:val="24"/>
          <w:szCs w:val="24"/>
        </w:rPr>
        <w:sectPr w:rsidR="00C6730A" w:rsidSect="00C6730A">
          <w:pgSz w:w="11906" w:h="16838"/>
          <w:pgMar w:top="1440" w:right="1440" w:bottom="1440" w:left="1440" w:header="708" w:footer="708" w:gutter="0"/>
          <w:cols w:space="708"/>
          <w:docGrid w:linePitch="360"/>
        </w:sectPr>
      </w:pPr>
    </w:p>
    <w:p w14:paraId="3E1521A4" w14:textId="420069AB" w:rsidR="009C25D5" w:rsidRDefault="009C25D5" w:rsidP="00576457">
      <w:pPr>
        <w:spacing w:after="0" w:line="480" w:lineRule="auto"/>
        <w:rPr>
          <w:rFonts w:ascii="Times New Roman" w:hAnsi="Times New Roman"/>
          <w:b/>
          <w:sz w:val="24"/>
          <w:szCs w:val="24"/>
        </w:rPr>
      </w:pPr>
      <w:r>
        <w:rPr>
          <w:rFonts w:ascii="Times New Roman" w:hAnsi="Times New Roman"/>
          <w:b/>
          <w:sz w:val="24"/>
          <w:szCs w:val="24"/>
        </w:rPr>
        <w:lastRenderedPageBreak/>
        <w:t>Table 2: Univariate diff</w:t>
      </w:r>
      <w:r w:rsidR="007B1620">
        <w:rPr>
          <w:rFonts w:ascii="Times New Roman" w:hAnsi="Times New Roman"/>
          <w:b/>
          <w:sz w:val="24"/>
          <w:szCs w:val="24"/>
        </w:rPr>
        <w:t>erences in firm characteristics</w:t>
      </w:r>
    </w:p>
    <w:p w14:paraId="2BF07F63" w14:textId="5F507243" w:rsidR="00576457" w:rsidRPr="00576457" w:rsidRDefault="00576457" w:rsidP="00576457">
      <w:pPr>
        <w:spacing w:after="0" w:line="480" w:lineRule="auto"/>
        <w:rPr>
          <w:rFonts w:ascii="Times New Roman" w:hAnsi="Times New Roman"/>
          <w:b/>
          <w:sz w:val="24"/>
          <w:szCs w:val="24"/>
        </w:rPr>
      </w:pPr>
      <w:r>
        <w:rPr>
          <w:rFonts w:ascii="Times New Roman" w:hAnsi="Times New Roman"/>
          <w:b/>
          <w:sz w:val="24"/>
          <w:szCs w:val="24"/>
        </w:rPr>
        <w:t xml:space="preserve">Panel A: </w:t>
      </w:r>
      <w:r w:rsidR="00BC26A7">
        <w:rPr>
          <w:rFonts w:ascii="Times New Roman" w:hAnsi="Times New Roman"/>
          <w:b/>
          <w:sz w:val="24"/>
          <w:szCs w:val="24"/>
        </w:rPr>
        <w:t>Disclosure</w:t>
      </w:r>
      <w:r>
        <w:rPr>
          <w:rFonts w:ascii="Times New Roman" w:hAnsi="Times New Roman"/>
          <w:b/>
          <w:sz w:val="24"/>
          <w:szCs w:val="24"/>
        </w:rPr>
        <w:t xml:space="preserve"> subsample</w:t>
      </w:r>
      <w:r>
        <w:fldChar w:fldCharType="begin"/>
      </w:r>
      <w:r>
        <w:instrText xml:space="preserve"> LINK </w:instrText>
      </w:r>
      <w:r w:rsidR="00F00AAE">
        <w:instrText xml:space="preserve">Excel.Sheet.12 C:\\Users\\tsco578\\Desktop\\AllDiscOutlet&amp;Jan.xlsx Unbi!R5C2:R13C20 </w:instrText>
      </w:r>
      <w:r>
        <w:instrText xml:space="preserve">\a \f 4 \h  \* MERGEFORMAT </w:instrText>
      </w:r>
      <w:r>
        <w:fldChar w:fldCharType="separate"/>
      </w:r>
    </w:p>
    <w:tbl>
      <w:tblPr>
        <w:tblW w:w="15258" w:type="dxa"/>
        <w:tblLook w:val="04A0" w:firstRow="1" w:lastRow="0" w:firstColumn="1" w:lastColumn="0" w:noHBand="0" w:noVBand="1"/>
      </w:tblPr>
      <w:tblGrid>
        <w:gridCol w:w="1300"/>
        <w:gridCol w:w="944"/>
        <w:gridCol w:w="1327"/>
        <w:gridCol w:w="809"/>
        <w:gridCol w:w="431"/>
        <w:gridCol w:w="809"/>
        <w:gridCol w:w="330"/>
        <w:gridCol w:w="1018"/>
        <w:gridCol w:w="1386"/>
        <w:gridCol w:w="742"/>
        <w:gridCol w:w="432"/>
        <w:gridCol w:w="742"/>
        <w:gridCol w:w="330"/>
        <w:gridCol w:w="930"/>
        <w:gridCol w:w="1287"/>
        <w:gridCol w:w="785"/>
        <w:gridCol w:w="431"/>
        <w:gridCol w:w="785"/>
        <w:gridCol w:w="431"/>
        <w:gridCol w:w="9"/>
      </w:tblGrid>
      <w:tr w:rsidR="00576457" w:rsidRPr="00576457" w14:paraId="5EE988A1" w14:textId="77777777" w:rsidTr="00576457">
        <w:trPr>
          <w:trHeight w:val="211"/>
        </w:trPr>
        <w:tc>
          <w:tcPr>
            <w:tcW w:w="1307" w:type="dxa"/>
            <w:tcBorders>
              <w:top w:val="single" w:sz="8" w:space="0" w:color="auto"/>
              <w:left w:val="single" w:sz="8" w:space="0" w:color="auto"/>
              <w:bottom w:val="nil"/>
              <w:right w:val="single" w:sz="8" w:space="0" w:color="auto"/>
            </w:tcBorders>
            <w:shd w:val="clear" w:color="auto" w:fill="auto"/>
            <w:vAlign w:val="center"/>
            <w:hideMark/>
          </w:tcPr>
          <w:p w14:paraId="4277D50C" w14:textId="77777777" w:rsidR="00576457" w:rsidRPr="00576457" w:rsidRDefault="0057645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 </w:t>
            </w:r>
          </w:p>
        </w:tc>
        <w:tc>
          <w:tcPr>
            <w:tcW w:w="4650" w:type="dxa"/>
            <w:gridSpan w:val="6"/>
            <w:tcBorders>
              <w:top w:val="single" w:sz="8" w:space="0" w:color="auto"/>
              <w:left w:val="nil"/>
              <w:bottom w:val="nil"/>
              <w:right w:val="single" w:sz="8" w:space="0" w:color="000000"/>
            </w:tcBorders>
            <w:shd w:val="clear" w:color="auto" w:fill="auto"/>
            <w:noWrap/>
            <w:vAlign w:val="center"/>
            <w:hideMark/>
          </w:tcPr>
          <w:p w14:paraId="0A350D7F"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Purchased analyst research = 1</w:t>
            </w:r>
          </w:p>
        </w:tc>
        <w:tc>
          <w:tcPr>
            <w:tcW w:w="4650" w:type="dxa"/>
            <w:gridSpan w:val="6"/>
            <w:tcBorders>
              <w:top w:val="single" w:sz="8" w:space="0" w:color="auto"/>
              <w:left w:val="nil"/>
              <w:bottom w:val="nil"/>
              <w:right w:val="single" w:sz="8" w:space="0" w:color="000000"/>
            </w:tcBorders>
            <w:shd w:val="clear" w:color="auto" w:fill="auto"/>
            <w:noWrap/>
            <w:vAlign w:val="center"/>
            <w:hideMark/>
          </w:tcPr>
          <w:p w14:paraId="30537656"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Investor presentations = 1</w:t>
            </w:r>
          </w:p>
        </w:tc>
        <w:tc>
          <w:tcPr>
            <w:tcW w:w="4651" w:type="dxa"/>
            <w:gridSpan w:val="7"/>
            <w:tcBorders>
              <w:top w:val="single" w:sz="8" w:space="0" w:color="auto"/>
              <w:left w:val="nil"/>
              <w:bottom w:val="nil"/>
              <w:right w:val="single" w:sz="8" w:space="0" w:color="000000"/>
            </w:tcBorders>
            <w:shd w:val="clear" w:color="auto" w:fill="auto"/>
            <w:noWrap/>
            <w:vAlign w:val="center"/>
            <w:hideMark/>
          </w:tcPr>
          <w:p w14:paraId="0CEF99BC"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Open Briefings = 1</w:t>
            </w:r>
          </w:p>
        </w:tc>
      </w:tr>
      <w:tr w:rsidR="00576457" w:rsidRPr="00576457" w14:paraId="3F430434" w14:textId="77777777" w:rsidTr="00576457">
        <w:trPr>
          <w:gridAfter w:val="1"/>
          <w:wAfter w:w="8" w:type="dxa"/>
          <w:trHeight w:val="414"/>
        </w:trPr>
        <w:tc>
          <w:tcPr>
            <w:tcW w:w="1307" w:type="dxa"/>
            <w:tcBorders>
              <w:top w:val="nil"/>
              <w:left w:val="single" w:sz="8" w:space="0" w:color="auto"/>
              <w:bottom w:val="single" w:sz="8" w:space="0" w:color="auto"/>
              <w:right w:val="single" w:sz="8" w:space="0" w:color="auto"/>
            </w:tcBorders>
            <w:shd w:val="clear" w:color="auto" w:fill="auto"/>
            <w:vAlign w:val="center"/>
            <w:hideMark/>
          </w:tcPr>
          <w:p w14:paraId="402B5F55" w14:textId="75C3797D" w:rsidR="00576457" w:rsidRPr="00576457" w:rsidRDefault="00BC26A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Continuous</w:t>
            </w:r>
            <w:r w:rsidR="00576457" w:rsidRPr="00576457">
              <w:rPr>
                <w:rFonts w:ascii="Times New Roman" w:eastAsia="Times New Roman" w:hAnsi="Times New Roman" w:cs="Times New Roman"/>
                <w:b/>
                <w:bCs/>
                <w:color w:val="000000"/>
                <w:sz w:val="20"/>
                <w:szCs w:val="20"/>
                <w:lang w:val="en-NZ" w:eastAsia="en-NZ"/>
              </w:rPr>
              <w:t xml:space="preserve"> variables</w:t>
            </w:r>
          </w:p>
        </w:tc>
        <w:tc>
          <w:tcPr>
            <w:tcW w:w="944" w:type="dxa"/>
            <w:tcBorders>
              <w:top w:val="nil"/>
              <w:left w:val="nil"/>
              <w:bottom w:val="nil"/>
              <w:right w:val="nil"/>
            </w:tcBorders>
            <w:shd w:val="clear" w:color="auto" w:fill="auto"/>
            <w:vAlign w:val="center"/>
            <w:hideMark/>
          </w:tcPr>
          <w:p w14:paraId="5AF5075C"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327" w:type="dxa"/>
            <w:tcBorders>
              <w:top w:val="nil"/>
              <w:left w:val="nil"/>
              <w:bottom w:val="nil"/>
              <w:right w:val="nil"/>
            </w:tcBorders>
            <w:shd w:val="clear" w:color="auto" w:fill="auto"/>
            <w:noWrap/>
            <w:vAlign w:val="center"/>
            <w:hideMark/>
          </w:tcPr>
          <w:p w14:paraId="05283934"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809" w:type="dxa"/>
            <w:tcBorders>
              <w:top w:val="nil"/>
              <w:left w:val="nil"/>
              <w:bottom w:val="nil"/>
              <w:right w:val="nil"/>
            </w:tcBorders>
            <w:shd w:val="clear" w:color="auto" w:fill="auto"/>
            <w:noWrap/>
            <w:vAlign w:val="center"/>
            <w:hideMark/>
          </w:tcPr>
          <w:p w14:paraId="73273F21"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431" w:type="dxa"/>
            <w:tcBorders>
              <w:top w:val="nil"/>
              <w:left w:val="nil"/>
              <w:bottom w:val="nil"/>
              <w:right w:val="nil"/>
            </w:tcBorders>
            <w:shd w:val="clear" w:color="auto" w:fill="auto"/>
            <w:noWrap/>
            <w:vAlign w:val="center"/>
            <w:hideMark/>
          </w:tcPr>
          <w:p w14:paraId="43ADBA84"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136" w:type="dxa"/>
            <w:gridSpan w:val="2"/>
            <w:tcBorders>
              <w:top w:val="nil"/>
              <w:left w:val="nil"/>
              <w:bottom w:val="single" w:sz="8" w:space="0" w:color="000000"/>
              <w:right w:val="single" w:sz="8" w:space="0" w:color="000000"/>
            </w:tcBorders>
            <w:shd w:val="clear" w:color="auto" w:fill="auto"/>
            <w:noWrap/>
            <w:vAlign w:val="center"/>
            <w:hideMark/>
          </w:tcPr>
          <w:p w14:paraId="7AD93896"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c>
          <w:tcPr>
            <w:tcW w:w="1018" w:type="dxa"/>
            <w:tcBorders>
              <w:top w:val="nil"/>
              <w:left w:val="nil"/>
              <w:bottom w:val="single" w:sz="8" w:space="0" w:color="000000"/>
              <w:right w:val="nil"/>
            </w:tcBorders>
            <w:shd w:val="clear" w:color="auto" w:fill="auto"/>
            <w:vAlign w:val="center"/>
            <w:hideMark/>
          </w:tcPr>
          <w:p w14:paraId="7A5CBC23"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386" w:type="dxa"/>
            <w:tcBorders>
              <w:top w:val="nil"/>
              <w:left w:val="nil"/>
              <w:bottom w:val="nil"/>
              <w:right w:val="nil"/>
            </w:tcBorders>
            <w:shd w:val="clear" w:color="auto" w:fill="auto"/>
            <w:noWrap/>
            <w:vAlign w:val="center"/>
            <w:hideMark/>
          </w:tcPr>
          <w:p w14:paraId="52AA8F69"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742" w:type="dxa"/>
            <w:tcBorders>
              <w:top w:val="nil"/>
              <w:left w:val="nil"/>
              <w:bottom w:val="nil"/>
              <w:right w:val="nil"/>
            </w:tcBorders>
            <w:shd w:val="clear" w:color="auto" w:fill="auto"/>
            <w:noWrap/>
            <w:vAlign w:val="center"/>
            <w:hideMark/>
          </w:tcPr>
          <w:p w14:paraId="744CA35B"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431" w:type="dxa"/>
            <w:tcBorders>
              <w:top w:val="nil"/>
              <w:left w:val="nil"/>
              <w:bottom w:val="nil"/>
              <w:right w:val="nil"/>
            </w:tcBorders>
            <w:shd w:val="clear" w:color="auto" w:fill="auto"/>
            <w:noWrap/>
            <w:vAlign w:val="center"/>
            <w:hideMark/>
          </w:tcPr>
          <w:p w14:paraId="3B23CFB2"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070" w:type="dxa"/>
            <w:gridSpan w:val="2"/>
            <w:tcBorders>
              <w:top w:val="nil"/>
              <w:left w:val="nil"/>
              <w:bottom w:val="single" w:sz="8" w:space="0" w:color="000000"/>
              <w:right w:val="single" w:sz="8" w:space="0" w:color="000000"/>
            </w:tcBorders>
            <w:shd w:val="clear" w:color="auto" w:fill="auto"/>
            <w:noWrap/>
            <w:vAlign w:val="center"/>
            <w:hideMark/>
          </w:tcPr>
          <w:p w14:paraId="67E3C065"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c>
          <w:tcPr>
            <w:tcW w:w="930" w:type="dxa"/>
            <w:tcBorders>
              <w:top w:val="nil"/>
              <w:left w:val="nil"/>
              <w:bottom w:val="nil"/>
              <w:right w:val="nil"/>
            </w:tcBorders>
            <w:shd w:val="clear" w:color="auto" w:fill="auto"/>
            <w:vAlign w:val="center"/>
            <w:hideMark/>
          </w:tcPr>
          <w:p w14:paraId="2758CFA4"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87" w:type="dxa"/>
            <w:tcBorders>
              <w:top w:val="nil"/>
              <w:left w:val="nil"/>
              <w:bottom w:val="single" w:sz="8" w:space="0" w:color="000000"/>
              <w:right w:val="nil"/>
            </w:tcBorders>
            <w:shd w:val="clear" w:color="auto" w:fill="auto"/>
            <w:noWrap/>
            <w:vAlign w:val="center"/>
            <w:hideMark/>
          </w:tcPr>
          <w:p w14:paraId="15227E1A"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785" w:type="dxa"/>
            <w:tcBorders>
              <w:top w:val="nil"/>
              <w:left w:val="nil"/>
              <w:bottom w:val="nil"/>
              <w:right w:val="nil"/>
            </w:tcBorders>
            <w:shd w:val="clear" w:color="auto" w:fill="auto"/>
            <w:noWrap/>
            <w:vAlign w:val="center"/>
            <w:hideMark/>
          </w:tcPr>
          <w:p w14:paraId="674C75C6"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431" w:type="dxa"/>
            <w:tcBorders>
              <w:top w:val="nil"/>
              <w:left w:val="nil"/>
              <w:bottom w:val="nil"/>
              <w:right w:val="nil"/>
            </w:tcBorders>
            <w:shd w:val="clear" w:color="auto" w:fill="auto"/>
            <w:noWrap/>
            <w:vAlign w:val="center"/>
            <w:hideMark/>
          </w:tcPr>
          <w:p w14:paraId="7B4F0DF5"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216" w:type="dxa"/>
            <w:gridSpan w:val="2"/>
            <w:tcBorders>
              <w:top w:val="nil"/>
              <w:left w:val="nil"/>
              <w:bottom w:val="single" w:sz="8" w:space="0" w:color="000000"/>
              <w:right w:val="single" w:sz="8" w:space="0" w:color="000000"/>
            </w:tcBorders>
            <w:shd w:val="clear" w:color="auto" w:fill="auto"/>
            <w:noWrap/>
            <w:vAlign w:val="center"/>
            <w:hideMark/>
          </w:tcPr>
          <w:p w14:paraId="22D778D3"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r>
      <w:tr w:rsidR="00576457" w:rsidRPr="00576457" w14:paraId="06D57F31" w14:textId="77777777" w:rsidTr="00576457">
        <w:trPr>
          <w:gridAfter w:val="1"/>
          <w:wAfter w:w="9" w:type="dxa"/>
          <w:trHeight w:val="211"/>
        </w:trPr>
        <w:tc>
          <w:tcPr>
            <w:tcW w:w="1307" w:type="dxa"/>
            <w:tcBorders>
              <w:top w:val="nil"/>
              <w:left w:val="single" w:sz="8" w:space="0" w:color="000000"/>
              <w:bottom w:val="nil"/>
              <w:right w:val="single" w:sz="8" w:space="0" w:color="000000"/>
            </w:tcBorders>
            <w:shd w:val="clear" w:color="auto" w:fill="auto"/>
            <w:vAlign w:val="center"/>
            <w:hideMark/>
          </w:tcPr>
          <w:p w14:paraId="090518A9"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LnAge</w:t>
            </w:r>
            <w:proofErr w:type="spellEnd"/>
          </w:p>
        </w:tc>
        <w:tc>
          <w:tcPr>
            <w:tcW w:w="944" w:type="dxa"/>
            <w:tcBorders>
              <w:top w:val="single" w:sz="8" w:space="0" w:color="000000"/>
              <w:left w:val="nil"/>
              <w:bottom w:val="nil"/>
              <w:right w:val="nil"/>
            </w:tcBorders>
            <w:shd w:val="clear" w:color="auto" w:fill="auto"/>
            <w:vAlign w:val="center"/>
            <w:hideMark/>
          </w:tcPr>
          <w:p w14:paraId="238FAFBD"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single" w:sz="8" w:space="0" w:color="000000"/>
              <w:left w:val="nil"/>
              <w:bottom w:val="nil"/>
              <w:right w:val="nil"/>
            </w:tcBorders>
            <w:shd w:val="clear" w:color="auto" w:fill="auto"/>
            <w:noWrap/>
            <w:vAlign w:val="center"/>
            <w:hideMark/>
          </w:tcPr>
          <w:p w14:paraId="5A559CC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-0.354</w:t>
            </w:r>
          </w:p>
        </w:tc>
        <w:tc>
          <w:tcPr>
            <w:tcW w:w="809" w:type="dxa"/>
            <w:tcBorders>
              <w:top w:val="single" w:sz="8" w:space="0" w:color="000000"/>
              <w:left w:val="nil"/>
              <w:bottom w:val="nil"/>
              <w:right w:val="nil"/>
            </w:tcBorders>
            <w:shd w:val="clear" w:color="auto" w:fill="auto"/>
            <w:noWrap/>
            <w:vAlign w:val="center"/>
            <w:hideMark/>
          </w:tcPr>
          <w:p w14:paraId="216D7F0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-1.916</w:t>
            </w:r>
          </w:p>
        </w:tc>
        <w:tc>
          <w:tcPr>
            <w:tcW w:w="431" w:type="dxa"/>
            <w:tcBorders>
              <w:top w:val="single" w:sz="8" w:space="0" w:color="000000"/>
              <w:left w:val="nil"/>
              <w:bottom w:val="nil"/>
              <w:right w:val="nil"/>
            </w:tcBorders>
            <w:shd w:val="clear" w:color="auto" w:fill="auto"/>
            <w:noWrap/>
            <w:vAlign w:val="center"/>
            <w:hideMark/>
          </w:tcPr>
          <w:p w14:paraId="00AFE500"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809" w:type="dxa"/>
            <w:tcBorders>
              <w:top w:val="nil"/>
              <w:left w:val="nil"/>
              <w:bottom w:val="nil"/>
              <w:right w:val="nil"/>
            </w:tcBorders>
            <w:shd w:val="clear" w:color="auto" w:fill="auto"/>
            <w:noWrap/>
            <w:vAlign w:val="center"/>
            <w:hideMark/>
          </w:tcPr>
          <w:p w14:paraId="76F0EB37"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-1.702</w:t>
            </w:r>
          </w:p>
        </w:tc>
        <w:tc>
          <w:tcPr>
            <w:tcW w:w="327" w:type="dxa"/>
            <w:tcBorders>
              <w:top w:val="nil"/>
              <w:left w:val="nil"/>
              <w:bottom w:val="nil"/>
              <w:right w:val="nil"/>
            </w:tcBorders>
            <w:shd w:val="clear" w:color="auto" w:fill="auto"/>
            <w:noWrap/>
            <w:vAlign w:val="center"/>
            <w:hideMark/>
          </w:tcPr>
          <w:p w14:paraId="137CA25B"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018" w:type="dxa"/>
            <w:tcBorders>
              <w:top w:val="nil"/>
              <w:left w:val="single" w:sz="8" w:space="0" w:color="000000"/>
              <w:bottom w:val="nil"/>
              <w:right w:val="nil"/>
            </w:tcBorders>
            <w:shd w:val="clear" w:color="auto" w:fill="auto"/>
            <w:vAlign w:val="center"/>
            <w:hideMark/>
          </w:tcPr>
          <w:p w14:paraId="2F6D485D"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single" w:sz="8" w:space="0" w:color="000000"/>
              <w:left w:val="nil"/>
              <w:bottom w:val="nil"/>
              <w:right w:val="nil"/>
            </w:tcBorders>
            <w:shd w:val="clear" w:color="auto" w:fill="auto"/>
            <w:noWrap/>
            <w:vAlign w:val="center"/>
            <w:hideMark/>
          </w:tcPr>
          <w:p w14:paraId="0E7DE052"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0.178</w:t>
            </w:r>
          </w:p>
        </w:tc>
        <w:tc>
          <w:tcPr>
            <w:tcW w:w="742" w:type="dxa"/>
            <w:tcBorders>
              <w:top w:val="single" w:sz="8" w:space="0" w:color="000000"/>
              <w:left w:val="nil"/>
              <w:bottom w:val="nil"/>
              <w:right w:val="nil"/>
            </w:tcBorders>
            <w:shd w:val="clear" w:color="auto" w:fill="auto"/>
            <w:noWrap/>
            <w:vAlign w:val="center"/>
            <w:hideMark/>
          </w:tcPr>
          <w:p w14:paraId="0E1356A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1.174</w:t>
            </w:r>
          </w:p>
        </w:tc>
        <w:tc>
          <w:tcPr>
            <w:tcW w:w="431" w:type="dxa"/>
            <w:tcBorders>
              <w:top w:val="single" w:sz="8" w:space="0" w:color="000000"/>
              <w:left w:val="nil"/>
              <w:bottom w:val="nil"/>
              <w:right w:val="nil"/>
            </w:tcBorders>
            <w:shd w:val="clear" w:color="auto" w:fill="auto"/>
            <w:noWrap/>
            <w:vAlign w:val="center"/>
            <w:hideMark/>
          </w:tcPr>
          <w:p w14:paraId="16F0D6C2"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742" w:type="dxa"/>
            <w:tcBorders>
              <w:top w:val="nil"/>
              <w:left w:val="nil"/>
              <w:bottom w:val="nil"/>
              <w:right w:val="nil"/>
            </w:tcBorders>
            <w:shd w:val="clear" w:color="auto" w:fill="auto"/>
            <w:noWrap/>
            <w:vAlign w:val="center"/>
            <w:hideMark/>
          </w:tcPr>
          <w:p w14:paraId="306B94E3"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1.145</w:t>
            </w:r>
          </w:p>
        </w:tc>
        <w:tc>
          <w:tcPr>
            <w:tcW w:w="327" w:type="dxa"/>
            <w:tcBorders>
              <w:top w:val="nil"/>
              <w:left w:val="nil"/>
              <w:bottom w:val="nil"/>
              <w:right w:val="single" w:sz="8" w:space="0" w:color="000000"/>
            </w:tcBorders>
            <w:shd w:val="clear" w:color="auto" w:fill="auto"/>
            <w:noWrap/>
            <w:vAlign w:val="center"/>
            <w:hideMark/>
          </w:tcPr>
          <w:p w14:paraId="2A3B9C16"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single" w:sz="8" w:space="0" w:color="000000"/>
              <w:left w:val="nil"/>
              <w:bottom w:val="nil"/>
              <w:right w:val="nil"/>
            </w:tcBorders>
            <w:shd w:val="clear" w:color="auto" w:fill="auto"/>
            <w:vAlign w:val="center"/>
            <w:hideMark/>
          </w:tcPr>
          <w:p w14:paraId="4BDFC6BE"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nil"/>
              <w:right w:val="nil"/>
            </w:tcBorders>
            <w:shd w:val="clear" w:color="auto" w:fill="auto"/>
            <w:noWrap/>
            <w:vAlign w:val="center"/>
            <w:hideMark/>
          </w:tcPr>
          <w:p w14:paraId="62D83D3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0.051</w:t>
            </w:r>
          </w:p>
        </w:tc>
        <w:tc>
          <w:tcPr>
            <w:tcW w:w="785" w:type="dxa"/>
            <w:tcBorders>
              <w:top w:val="single" w:sz="8" w:space="0" w:color="000000"/>
              <w:left w:val="nil"/>
              <w:bottom w:val="nil"/>
              <w:right w:val="nil"/>
            </w:tcBorders>
            <w:shd w:val="clear" w:color="auto" w:fill="auto"/>
            <w:noWrap/>
            <w:vAlign w:val="center"/>
            <w:hideMark/>
          </w:tcPr>
          <w:p w14:paraId="1CB0564C"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0.358</w:t>
            </w:r>
          </w:p>
        </w:tc>
        <w:tc>
          <w:tcPr>
            <w:tcW w:w="431" w:type="dxa"/>
            <w:tcBorders>
              <w:top w:val="single" w:sz="8" w:space="0" w:color="000000"/>
              <w:left w:val="nil"/>
              <w:bottom w:val="nil"/>
              <w:right w:val="nil"/>
            </w:tcBorders>
            <w:shd w:val="clear" w:color="auto" w:fill="auto"/>
            <w:noWrap/>
            <w:vAlign w:val="center"/>
            <w:hideMark/>
          </w:tcPr>
          <w:p w14:paraId="33EB5EC0"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785" w:type="dxa"/>
            <w:tcBorders>
              <w:top w:val="nil"/>
              <w:left w:val="nil"/>
              <w:bottom w:val="nil"/>
              <w:right w:val="nil"/>
            </w:tcBorders>
            <w:shd w:val="clear" w:color="auto" w:fill="auto"/>
            <w:noWrap/>
            <w:vAlign w:val="center"/>
            <w:hideMark/>
          </w:tcPr>
          <w:p w14:paraId="679ECDF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0.232</w:t>
            </w:r>
          </w:p>
        </w:tc>
        <w:tc>
          <w:tcPr>
            <w:tcW w:w="431" w:type="dxa"/>
            <w:tcBorders>
              <w:top w:val="nil"/>
              <w:left w:val="nil"/>
              <w:bottom w:val="nil"/>
              <w:right w:val="single" w:sz="8" w:space="0" w:color="000000"/>
            </w:tcBorders>
            <w:shd w:val="clear" w:color="auto" w:fill="auto"/>
            <w:noWrap/>
            <w:vAlign w:val="center"/>
            <w:hideMark/>
          </w:tcPr>
          <w:p w14:paraId="5250F50B"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52714027" w14:textId="77777777" w:rsidTr="00576457">
        <w:trPr>
          <w:gridAfter w:val="1"/>
          <w:wAfter w:w="9" w:type="dxa"/>
          <w:trHeight w:val="211"/>
        </w:trPr>
        <w:tc>
          <w:tcPr>
            <w:tcW w:w="1307" w:type="dxa"/>
            <w:tcBorders>
              <w:top w:val="nil"/>
              <w:left w:val="single" w:sz="8" w:space="0" w:color="000000"/>
              <w:bottom w:val="nil"/>
              <w:right w:val="single" w:sz="8" w:space="0" w:color="000000"/>
            </w:tcBorders>
            <w:shd w:val="clear" w:color="auto" w:fill="auto"/>
            <w:vAlign w:val="center"/>
            <w:hideMark/>
          </w:tcPr>
          <w:p w14:paraId="477D2642"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r w:rsidRPr="00576457">
              <w:rPr>
                <w:rFonts w:ascii="Times New Roman" w:eastAsia="Times New Roman" w:hAnsi="Times New Roman" w:cs="Times New Roman"/>
                <w:i/>
                <w:iCs/>
                <w:color w:val="000000"/>
                <w:sz w:val="20"/>
                <w:szCs w:val="20"/>
                <w:lang w:val="en-NZ" w:eastAsia="en-NZ"/>
              </w:rPr>
              <w:t>Top20</w:t>
            </w:r>
          </w:p>
        </w:tc>
        <w:tc>
          <w:tcPr>
            <w:tcW w:w="944" w:type="dxa"/>
            <w:tcBorders>
              <w:top w:val="nil"/>
              <w:left w:val="nil"/>
              <w:bottom w:val="nil"/>
              <w:right w:val="nil"/>
            </w:tcBorders>
            <w:shd w:val="clear" w:color="auto" w:fill="auto"/>
            <w:vAlign w:val="center"/>
            <w:hideMark/>
          </w:tcPr>
          <w:p w14:paraId="2731994E"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nil"/>
              <w:left w:val="nil"/>
              <w:bottom w:val="nil"/>
              <w:right w:val="nil"/>
            </w:tcBorders>
            <w:shd w:val="clear" w:color="auto" w:fill="auto"/>
            <w:noWrap/>
            <w:vAlign w:val="center"/>
            <w:hideMark/>
          </w:tcPr>
          <w:p w14:paraId="34D30B52"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4.280</w:t>
            </w:r>
          </w:p>
        </w:tc>
        <w:tc>
          <w:tcPr>
            <w:tcW w:w="809" w:type="dxa"/>
            <w:tcBorders>
              <w:top w:val="nil"/>
              <w:left w:val="nil"/>
              <w:bottom w:val="nil"/>
              <w:right w:val="nil"/>
            </w:tcBorders>
            <w:shd w:val="clear" w:color="auto" w:fill="auto"/>
            <w:noWrap/>
            <w:vAlign w:val="center"/>
            <w:hideMark/>
          </w:tcPr>
          <w:p w14:paraId="1F66154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1.646</w:t>
            </w:r>
          </w:p>
        </w:tc>
        <w:tc>
          <w:tcPr>
            <w:tcW w:w="431" w:type="dxa"/>
            <w:tcBorders>
              <w:top w:val="nil"/>
              <w:left w:val="nil"/>
              <w:bottom w:val="nil"/>
              <w:right w:val="nil"/>
            </w:tcBorders>
            <w:shd w:val="clear" w:color="auto" w:fill="auto"/>
            <w:noWrap/>
            <w:vAlign w:val="center"/>
            <w:hideMark/>
          </w:tcPr>
          <w:p w14:paraId="2A4BA32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809" w:type="dxa"/>
            <w:tcBorders>
              <w:top w:val="nil"/>
              <w:left w:val="nil"/>
              <w:bottom w:val="nil"/>
              <w:right w:val="nil"/>
            </w:tcBorders>
            <w:shd w:val="clear" w:color="auto" w:fill="auto"/>
            <w:noWrap/>
            <w:vAlign w:val="center"/>
            <w:hideMark/>
          </w:tcPr>
          <w:p w14:paraId="32BFF9B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1.853</w:t>
            </w:r>
          </w:p>
        </w:tc>
        <w:tc>
          <w:tcPr>
            <w:tcW w:w="327" w:type="dxa"/>
            <w:tcBorders>
              <w:top w:val="nil"/>
              <w:left w:val="nil"/>
              <w:bottom w:val="nil"/>
              <w:right w:val="nil"/>
            </w:tcBorders>
            <w:shd w:val="clear" w:color="auto" w:fill="auto"/>
            <w:noWrap/>
            <w:vAlign w:val="center"/>
            <w:hideMark/>
          </w:tcPr>
          <w:p w14:paraId="09DCECA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018" w:type="dxa"/>
            <w:tcBorders>
              <w:top w:val="nil"/>
              <w:left w:val="single" w:sz="8" w:space="0" w:color="000000"/>
              <w:bottom w:val="nil"/>
              <w:right w:val="nil"/>
            </w:tcBorders>
            <w:shd w:val="clear" w:color="auto" w:fill="auto"/>
            <w:vAlign w:val="center"/>
            <w:hideMark/>
          </w:tcPr>
          <w:p w14:paraId="7B6F9B74"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nil"/>
              <w:left w:val="nil"/>
              <w:bottom w:val="nil"/>
              <w:right w:val="nil"/>
            </w:tcBorders>
            <w:shd w:val="clear" w:color="auto" w:fill="auto"/>
            <w:noWrap/>
            <w:vAlign w:val="center"/>
            <w:hideMark/>
          </w:tcPr>
          <w:p w14:paraId="03ABBAB7"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1.621</w:t>
            </w:r>
          </w:p>
        </w:tc>
        <w:tc>
          <w:tcPr>
            <w:tcW w:w="742" w:type="dxa"/>
            <w:tcBorders>
              <w:top w:val="nil"/>
              <w:left w:val="nil"/>
              <w:bottom w:val="nil"/>
              <w:right w:val="nil"/>
            </w:tcBorders>
            <w:shd w:val="clear" w:color="auto" w:fill="auto"/>
            <w:noWrap/>
            <w:vAlign w:val="center"/>
            <w:hideMark/>
          </w:tcPr>
          <w:p w14:paraId="6E269E7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0.758</w:t>
            </w:r>
          </w:p>
        </w:tc>
        <w:tc>
          <w:tcPr>
            <w:tcW w:w="431" w:type="dxa"/>
            <w:tcBorders>
              <w:top w:val="nil"/>
              <w:left w:val="nil"/>
              <w:bottom w:val="nil"/>
              <w:right w:val="nil"/>
            </w:tcBorders>
            <w:shd w:val="clear" w:color="auto" w:fill="auto"/>
            <w:noWrap/>
            <w:vAlign w:val="center"/>
            <w:hideMark/>
          </w:tcPr>
          <w:p w14:paraId="5A9A774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742" w:type="dxa"/>
            <w:tcBorders>
              <w:top w:val="nil"/>
              <w:left w:val="nil"/>
              <w:bottom w:val="nil"/>
              <w:right w:val="nil"/>
            </w:tcBorders>
            <w:shd w:val="clear" w:color="auto" w:fill="auto"/>
            <w:noWrap/>
            <w:vAlign w:val="center"/>
            <w:hideMark/>
          </w:tcPr>
          <w:p w14:paraId="72DF9BD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0.680</w:t>
            </w:r>
          </w:p>
        </w:tc>
        <w:tc>
          <w:tcPr>
            <w:tcW w:w="327" w:type="dxa"/>
            <w:tcBorders>
              <w:top w:val="nil"/>
              <w:left w:val="nil"/>
              <w:bottom w:val="nil"/>
              <w:right w:val="single" w:sz="8" w:space="0" w:color="000000"/>
            </w:tcBorders>
            <w:shd w:val="clear" w:color="auto" w:fill="auto"/>
            <w:noWrap/>
            <w:vAlign w:val="center"/>
            <w:hideMark/>
          </w:tcPr>
          <w:p w14:paraId="0769686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nil"/>
              <w:left w:val="nil"/>
              <w:bottom w:val="nil"/>
              <w:right w:val="nil"/>
            </w:tcBorders>
            <w:shd w:val="clear" w:color="auto" w:fill="auto"/>
            <w:vAlign w:val="center"/>
            <w:hideMark/>
          </w:tcPr>
          <w:p w14:paraId="71D742B5"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nil"/>
              <w:right w:val="nil"/>
            </w:tcBorders>
            <w:shd w:val="clear" w:color="auto" w:fill="auto"/>
            <w:noWrap/>
            <w:vAlign w:val="center"/>
            <w:hideMark/>
          </w:tcPr>
          <w:p w14:paraId="6A270D4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-3.986</w:t>
            </w:r>
          </w:p>
        </w:tc>
        <w:tc>
          <w:tcPr>
            <w:tcW w:w="785" w:type="dxa"/>
            <w:tcBorders>
              <w:top w:val="nil"/>
              <w:left w:val="nil"/>
              <w:bottom w:val="nil"/>
              <w:right w:val="nil"/>
            </w:tcBorders>
            <w:shd w:val="clear" w:color="auto" w:fill="auto"/>
            <w:noWrap/>
            <w:vAlign w:val="center"/>
            <w:hideMark/>
          </w:tcPr>
          <w:p w14:paraId="7735D3A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-1.995</w:t>
            </w:r>
          </w:p>
        </w:tc>
        <w:tc>
          <w:tcPr>
            <w:tcW w:w="431" w:type="dxa"/>
            <w:tcBorders>
              <w:top w:val="nil"/>
              <w:left w:val="nil"/>
              <w:bottom w:val="nil"/>
              <w:right w:val="nil"/>
            </w:tcBorders>
            <w:shd w:val="clear" w:color="auto" w:fill="auto"/>
            <w:noWrap/>
            <w:vAlign w:val="center"/>
            <w:hideMark/>
          </w:tcPr>
          <w:p w14:paraId="6706A774"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85" w:type="dxa"/>
            <w:tcBorders>
              <w:top w:val="nil"/>
              <w:left w:val="nil"/>
              <w:bottom w:val="nil"/>
              <w:right w:val="nil"/>
            </w:tcBorders>
            <w:shd w:val="clear" w:color="auto" w:fill="auto"/>
            <w:noWrap/>
            <w:vAlign w:val="center"/>
            <w:hideMark/>
          </w:tcPr>
          <w:p w14:paraId="0553070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-2.070</w:t>
            </w:r>
          </w:p>
        </w:tc>
        <w:tc>
          <w:tcPr>
            <w:tcW w:w="431" w:type="dxa"/>
            <w:tcBorders>
              <w:top w:val="nil"/>
              <w:left w:val="nil"/>
              <w:bottom w:val="nil"/>
              <w:right w:val="single" w:sz="8" w:space="0" w:color="000000"/>
            </w:tcBorders>
            <w:shd w:val="clear" w:color="auto" w:fill="auto"/>
            <w:noWrap/>
            <w:vAlign w:val="center"/>
            <w:hideMark/>
          </w:tcPr>
          <w:p w14:paraId="5D424581"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r>
      <w:tr w:rsidR="00576457" w:rsidRPr="00576457" w14:paraId="7F6EB1C9" w14:textId="77777777" w:rsidTr="00576457">
        <w:trPr>
          <w:gridAfter w:val="1"/>
          <w:wAfter w:w="9" w:type="dxa"/>
          <w:trHeight w:val="211"/>
        </w:trPr>
        <w:tc>
          <w:tcPr>
            <w:tcW w:w="1307" w:type="dxa"/>
            <w:tcBorders>
              <w:top w:val="nil"/>
              <w:left w:val="single" w:sz="8" w:space="0" w:color="000000"/>
              <w:bottom w:val="nil"/>
              <w:right w:val="single" w:sz="8" w:space="0" w:color="000000"/>
            </w:tcBorders>
            <w:shd w:val="clear" w:color="auto" w:fill="auto"/>
            <w:vAlign w:val="center"/>
            <w:hideMark/>
          </w:tcPr>
          <w:p w14:paraId="5DB6ED49"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LnMCap</w:t>
            </w:r>
            <w:proofErr w:type="spellEnd"/>
          </w:p>
        </w:tc>
        <w:tc>
          <w:tcPr>
            <w:tcW w:w="944" w:type="dxa"/>
            <w:tcBorders>
              <w:top w:val="nil"/>
              <w:left w:val="nil"/>
              <w:bottom w:val="nil"/>
              <w:right w:val="nil"/>
            </w:tcBorders>
            <w:shd w:val="clear" w:color="auto" w:fill="auto"/>
            <w:vAlign w:val="center"/>
            <w:hideMark/>
          </w:tcPr>
          <w:p w14:paraId="4DB9F08C"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nil"/>
              <w:left w:val="nil"/>
              <w:bottom w:val="nil"/>
              <w:right w:val="nil"/>
            </w:tcBorders>
            <w:shd w:val="clear" w:color="auto" w:fill="auto"/>
            <w:noWrap/>
            <w:vAlign w:val="center"/>
            <w:hideMark/>
          </w:tcPr>
          <w:p w14:paraId="714DFB5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-0.543</w:t>
            </w:r>
          </w:p>
        </w:tc>
        <w:tc>
          <w:tcPr>
            <w:tcW w:w="809" w:type="dxa"/>
            <w:tcBorders>
              <w:top w:val="nil"/>
              <w:left w:val="nil"/>
              <w:bottom w:val="nil"/>
              <w:right w:val="nil"/>
            </w:tcBorders>
            <w:shd w:val="clear" w:color="auto" w:fill="auto"/>
            <w:noWrap/>
            <w:vAlign w:val="center"/>
            <w:hideMark/>
          </w:tcPr>
          <w:p w14:paraId="57AFC8D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-1.873</w:t>
            </w:r>
          </w:p>
        </w:tc>
        <w:tc>
          <w:tcPr>
            <w:tcW w:w="431" w:type="dxa"/>
            <w:tcBorders>
              <w:top w:val="nil"/>
              <w:left w:val="nil"/>
              <w:bottom w:val="nil"/>
              <w:right w:val="nil"/>
            </w:tcBorders>
            <w:shd w:val="clear" w:color="auto" w:fill="auto"/>
            <w:noWrap/>
            <w:vAlign w:val="center"/>
            <w:hideMark/>
          </w:tcPr>
          <w:p w14:paraId="0DB9B02A"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809" w:type="dxa"/>
            <w:tcBorders>
              <w:top w:val="nil"/>
              <w:left w:val="nil"/>
              <w:bottom w:val="nil"/>
              <w:right w:val="nil"/>
            </w:tcBorders>
            <w:shd w:val="clear" w:color="auto" w:fill="auto"/>
            <w:noWrap/>
            <w:vAlign w:val="center"/>
            <w:hideMark/>
          </w:tcPr>
          <w:p w14:paraId="27A7E19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-1.610</w:t>
            </w:r>
          </w:p>
        </w:tc>
        <w:tc>
          <w:tcPr>
            <w:tcW w:w="327" w:type="dxa"/>
            <w:tcBorders>
              <w:top w:val="nil"/>
              <w:left w:val="nil"/>
              <w:bottom w:val="nil"/>
              <w:right w:val="nil"/>
            </w:tcBorders>
            <w:shd w:val="clear" w:color="auto" w:fill="auto"/>
            <w:noWrap/>
            <w:vAlign w:val="center"/>
            <w:hideMark/>
          </w:tcPr>
          <w:p w14:paraId="6E876A9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1018" w:type="dxa"/>
            <w:tcBorders>
              <w:top w:val="nil"/>
              <w:left w:val="single" w:sz="8" w:space="0" w:color="000000"/>
              <w:bottom w:val="nil"/>
              <w:right w:val="nil"/>
            </w:tcBorders>
            <w:shd w:val="clear" w:color="auto" w:fill="auto"/>
            <w:vAlign w:val="center"/>
            <w:hideMark/>
          </w:tcPr>
          <w:p w14:paraId="5C11679E"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nil"/>
              <w:left w:val="nil"/>
              <w:bottom w:val="nil"/>
              <w:right w:val="nil"/>
            </w:tcBorders>
            <w:shd w:val="clear" w:color="auto" w:fill="auto"/>
            <w:noWrap/>
            <w:vAlign w:val="center"/>
            <w:hideMark/>
          </w:tcPr>
          <w:p w14:paraId="22C0F1F1"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1.621</w:t>
            </w:r>
          </w:p>
        </w:tc>
        <w:tc>
          <w:tcPr>
            <w:tcW w:w="742" w:type="dxa"/>
            <w:tcBorders>
              <w:top w:val="nil"/>
              <w:left w:val="nil"/>
              <w:bottom w:val="nil"/>
              <w:right w:val="nil"/>
            </w:tcBorders>
            <w:shd w:val="clear" w:color="auto" w:fill="auto"/>
            <w:noWrap/>
            <w:vAlign w:val="center"/>
            <w:hideMark/>
          </w:tcPr>
          <w:p w14:paraId="5F0E605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0.758</w:t>
            </w:r>
          </w:p>
        </w:tc>
        <w:tc>
          <w:tcPr>
            <w:tcW w:w="431" w:type="dxa"/>
            <w:tcBorders>
              <w:top w:val="nil"/>
              <w:left w:val="nil"/>
              <w:bottom w:val="nil"/>
              <w:right w:val="nil"/>
            </w:tcBorders>
            <w:shd w:val="clear" w:color="auto" w:fill="auto"/>
            <w:noWrap/>
            <w:vAlign w:val="center"/>
            <w:hideMark/>
          </w:tcPr>
          <w:p w14:paraId="4593203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742" w:type="dxa"/>
            <w:tcBorders>
              <w:top w:val="nil"/>
              <w:left w:val="nil"/>
              <w:bottom w:val="nil"/>
              <w:right w:val="nil"/>
            </w:tcBorders>
            <w:shd w:val="clear" w:color="auto" w:fill="auto"/>
            <w:noWrap/>
            <w:vAlign w:val="center"/>
            <w:hideMark/>
          </w:tcPr>
          <w:p w14:paraId="38475DF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0.100</w:t>
            </w:r>
          </w:p>
        </w:tc>
        <w:tc>
          <w:tcPr>
            <w:tcW w:w="327" w:type="dxa"/>
            <w:tcBorders>
              <w:top w:val="nil"/>
              <w:left w:val="nil"/>
              <w:bottom w:val="nil"/>
              <w:right w:val="single" w:sz="8" w:space="0" w:color="000000"/>
            </w:tcBorders>
            <w:shd w:val="clear" w:color="auto" w:fill="auto"/>
            <w:noWrap/>
            <w:vAlign w:val="center"/>
            <w:hideMark/>
          </w:tcPr>
          <w:p w14:paraId="24ED4006"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nil"/>
              <w:left w:val="nil"/>
              <w:bottom w:val="nil"/>
              <w:right w:val="nil"/>
            </w:tcBorders>
            <w:shd w:val="clear" w:color="auto" w:fill="auto"/>
            <w:vAlign w:val="center"/>
            <w:hideMark/>
          </w:tcPr>
          <w:p w14:paraId="3CBDF7DA"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nil"/>
              <w:right w:val="nil"/>
            </w:tcBorders>
            <w:shd w:val="clear" w:color="auto" w:fill="auto"/>
            <w:noWrap/>
            <w:vAlign w:val="center"/>
            <w:hideMark/>
          </w:tcPr>
          <w:p w14:paraId="5EDA3F9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0.327</w:t>
            </w:r>
          </w:p>
        </w:tc>
        <w:tc>
          <w:tcPr>
            <w:tcW w:w="785" w:type="dxa"/>
            <w:tcBorders>
              <w:top w:val="nil"/>
              <w:left w:val="nil"/>
              <w:bottom w:val="nil"/>
              <w:right w:val="nil"/>
            </w:tcBorders>
            <w:shd w:val="clear" w:color="auto" w:fill="auto"/>
            <w:noWrap/>
            <w:vAlign w:val="center"/>
            <w:hideMark/>
          </w:tcPr>
          <w:p w14:paraId="75C62BB7"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1.793</w:t>
            </w:r>
          </w:p>
        </w:tc>
        <w:tc>
          <w:tcPr>
            <w:tcW w:w="431" w:type="dxa"/>
            <w:tcBorders>
              <w:top w:val="nil"/>
              <w:left w:val="nil"/>
              <w:bottom w:val="nil"/>
              <w:right w:val="nil"/>
            </w:tcBorders>
            <w:shd w:val="clear" w:color="auto" w:fill="auto"/>
            <w:noWrap/>
            <w:vAlign w:val="center"/>
            <w:hideMark/>
          </w:tcPr>
          <w:p w14:paraId="4E87FD9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85" w:type="dxa"/>
            <w:tcBorders>
              <w:top w:val="nil"/>
              <w:left w:val="nil"/>
              <w:bottom w:val="nil"/>
              <w:right w:val="nil"/>
            </w:tcBorders>
            <w:shd w:val="clear" w:color="auto" w:fill="auto"/>
            <w:noWrap/>
            <w:vAlign w:val="center"/>
            <w:hideMark/>
          </w:tcPr>
          <w:p w14:paraId="5218A2A2"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1.335</w:t>
            </w:r>
          </w:p>
        </w:tc>
        <w:tc>
          <w:tcPr>
            <w:tcW w:w="431" w:type="dxa"/>
            <w:tcBorders>
              <w:top w:val="nil"/>
              <w:left w:val="nil"/>
              <w:bottom w:val="nil"/>
              <w:right w:val="single" w:sz="8" w:space="0" w:color="000000"/>
            </w:tcBorders>
            <w:shd w:val="clear" w:color="auto" w:fill="auto"/>
            <w:noWrap/>
            <w:vAlign w:val="center"/>
            <w:hideMark/>
          </w:tcPr>
          <w:p w14:paraId="162408B4"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4FB6E688" w14:textId="77777777" w:rsidTr="00576457">
        <w:trPr>
          <w:gridAfter w:val="1"/>
          <w:wAfter w:w="9" w:type="dxa"/>
          <w:trHeight w:val="221"/>
        </w:trPr>
        <w:tc>
          <w:tcPr>
            <w:tcW w:w="1307" w:type="dxa"/>
            <w:tcBorders>
              <w:top w:val="nil"/>
              <w:left w:val="single" w:sz="8" w:space="0" w:color="000000"/>
              <w:bottom w:val="nil"/>
              <w:right w:val="single" w:sz="8" w:space="0" w:color="000000"/>
            </w:tcBorders>
            <w:shd w:val="clear" w:color="auto" w:fill="auto"/>
            <w:vAlign w:val="center"/>
            <w:hideMark/>
          </w:tcPr>
          <w:p w14:paraId="54A76866"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r w:rsidRPr="00576457">
              <w:rPr>
                <w:rFonts w:ascii="Times New Roman" w:eastAsia="Times New Roman" w:hAnsi="Times New Roman" w:cs="Times New Roman"/>
                <w:i/>
                <w:iCs/>
                <w:color w:val="000000"/>
                <w:sz w:val="20"/>
                <w:szCs w:val="20"/>
                <w:lang w:val="en-NZ" w:eastAsia="en-NZ"/>
              </w:rPr>
              <w:t>TLTA</w:t>
            </w:r>
          </w:p>
        </w:tc>
        <w:tc>
          <w:tcPr>
            <w:tcW w:w="944" w:type="dxa"/>
            <w:tcBorders>
              <w:top w:val="nil"/>
              <w:left w:val="nil"/>
              <w:bottom w:val="single" w:sz="8" w:space="0" w:color="000000"/>
              <w:right w:val="nil"/>
            </w:tcBorders>
            <w:shd w:val="clear" w:color="auto" w:fill="auto"/>
            <w:vAlign w:val="center"/>
            <w:hideMark/>
          </w:tcPr>
          <w:p w14:paraId="355CFEFA"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nil"/>
              <w:left w:val="nil"/>
              <w:bottom w:val="single" w:sz="8" w:space="0" w:color="000000"/>
              <w:right w:val="nil"/>
            </w:tcBorders>
            <w:shd w:val="clear" w:color="auto" w:fill="auto"/>
            <w:noWrap/>
            <w:vAlign w:val="center"/>
            <w:hideMark/>
          </w:tcPr>
          <w:p w14:paraId="4BAE823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-0.044</w:t>
            </w:r>
          </w:p>
        </w:tc>
        <w:tc>
          <w:tcPr>
            <w:tcW w:w="809" w:type="dxa"/>
            <w:tcBorders>
              <w:top w:val="nil"/>
              <w:left w:val="nil"/>
              <w:bottom w:val="single" w:sz="8" w:space="0" w:color="000000"/>
              <w:right w:val="nil"/>
            </w:tcBorders>
            <w:shd w:val="clear" w:color="auto" w:fill="auto"/>
            <w:noWrap/>
            <w:vAlign w:val="center"/>
            <w:hideMark/>
          </w:tcPr>
          <w:p w14:paraId="00C5E66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-1.033</w:t>
            </w:r>
          </w:p>
        </w:tc>
        <w:tc>
          <w:tcPr>
            <w:tcW w:w="431" w:type="dxa"/>
            <w:tcBorders>
              <w:top w:val="nil"/>
              <w:left w:val="nil"/>
              <w:bottom w:val="single" w:sz="8" w:space="0" w:color="000000"/>
              <w:right w:val="nil"/>
            </w:tcBorders>
            <w:shd w:val="clear" w:color="auto" w:fill="auto"/>
            <w:noWrap/>
            <w:vAlign w:val="center"/>
            <w:hideMark/>
          </w:tcPr>
          <w:p w14:paraId="4323B06A"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809" w:type="dxa"/>
            <w:tcBorders>
              <w:top w:val="nil"/>
              <w:left w:val="nil"/>
              <w:bottom w:val="single" w:sz="8" w:space="0" w:color="000000"/>
              <w:right w:val="nil"/>
            </w:tcBorders>
            <w:shd w:val="clear" w:color="auto" w:fill="auto"/>
            <w:noWrap/>
            <w:vAlign w:val="center"/>
            <w:hideMark/>
          </w:tcPr>
          <w:p w14:paraId="4B33AD8C"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-1.055</w:t>
            </w:r>
          </w:p>
        </w:tc>
        <w:tc>
          <w:tcPr>
            <w:tcW w:w="327" w:type="dxa"/>
            <w:tcBorders>
              <w:top w:val="nil"/>
              <w:left w:val="nil"/>
              <w:bottom w:val="single" w:sz="8" w:space="0" w:color="000000"/>
              <w:right w:val="nil"/>
            </w:tcBorders>
            <w:shd w:val="clear" w:color="auto" w:fill="auto"/>
            <w:noWrap/>
            <w:vAlign w:val="center"/>
            <w:hideMark/>
          </w:tcPr>
          <w:p w14:paraId="1895AD67"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1018" w:type="dxa"/>
            <w:tcBorders>
              <w:top w:val="nil"/>
              <w:left w:val="single" w:sz="8" w:space="0" w:color="000000"/>
              <w:bottom w:val="single" w:sz="8" w:space="0" w:color="000000"/>
              <w:right w:val="nil"/>
            </w:tcBorders>
            <w:shd w:val="clear" w:color="auto" w:fill="auto"/>
            <w:vAlign w:val="center"/>
            <w:hideMark/>
          </w:tcPr>
          <w:p w14:paraId="4129FE37"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nil"/>
              <w:left w:val="nil"/>
              <w:bottom w:val="single" w:sz="8" w:space="0" w:color="000000"/>
              <w:right w:val="nil"/>
            </w:tcBorders>
            <w:shd w:val="clear" w:color="auto" w:fill="auto"/>
            <w:noWrap/>
            <w:vAlign w:val="center"/>
            <w:hideMark/>
          </w:tcPr>
          <w:p w14:paraId="030A6DDC"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0.071</w:t>
            </w:r>
          </w:p>
        </w:tc>
        <w:tc>
          <w:tcPr>
            <w:tcW w:w="742" w:type="dxa"/>
            <w:tcBorders>
              <w:top w:val="nil"/>
              <w:left w:val="nil"/>
              <w:bottom w:val="single" w:sz="8" w:space="0" w:color="000000"/>
              <w:right w:val="nil"/>
            </w:tcBorders>
            <w:shd w:val="clear" w:color="auto" w:fill="auto"/>
            <w:noWrap/>
            <w:vAlign w:val="center"/>
            <w:hideMark/>
          </w:tcPr>
          <w:p w14:paraId="4225374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2.031</w:t>
            </w:r>
          </w:p>
        </w:tc>
        <w:tc>
          <w:tcPr>
            <w:tcW w:w="431" w:type="dxa"/>
            <w:tcBorders>
              <w:top w:val="nil"/>
              <w:left w:val="nil"/>
              <w:bottom w:val="single" w:sz="8" w:space="0" w:color="000000"/>
              <w:right w:val="nil"/>
            </w:tcBorders>
            <w:shd w:val="clear" w:color="auto" w:fill="auto"/>
            <w:noWrap/>
            <w:vAlign w:val="center"/>
            <w:hideMark/>
          </w:tcPr>
          <w:p w14:paraId="28C6C55D"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42" w:type="dxa"/>
            <w:tcBorders>
              <w:top w:val="nil"/>
              <w:left w:val="nil"/>
              <w:bottom w:val="single" w:sz="8" w:space="0" w:color="000000"/>
              <w:right w:val="nil"/>
            </w:tcBorders>
            <w:shd w:val="clear" w:color="auto" w:fill="auto"/>
            <w:noWrap/>
            <w:vAlign w:val="center"/>
            <w:hideMark/>
          </w:tcPr>
          <w:p w14:paraId="6C8E4318"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1.880</w:t>
            </w:r>
          </w:p>
        </w:tc>
        <w:tc>
          <w:tcPr>
            <w:tcW w:w="327" w:type="dxa"/>
            <w:tcBorders>
              <w:top w:val="nil"/>
              <w:left w:val="nil"/>
              <w:bottom w:val="single" w:sz="8" w:space="0" w:color="000000"/>
              <w:right w:val="single" w:sz="8" w:space="0" w:color="000000"/>
            </w:tcBorders>
            <w:shd w:val="clear" w:color="auto" w:fill="auto"/>
            <w:noWrap/>
            <w:vAlign w:val="center"/>
            <w:hideMark/>
          </w:tcPr>
          <w:p w14:paraId="28B0E66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30" w:type="dxa"/>
            <w:tcBorders>
              <w:top w:val="nil"/>
              <w:left w:val="nil"/>
              <w:bottom w:val="single" w:sz="8" w:space="0" w:color="000000"/>
              <w:right w:val="nil"/>
            </w:tcBorders>
            <w:shd w:val="clear" w:color="auto" w:fill="auto"/>
            <w:vAlign w:val="center"/>
            <w:hideMark/>
          </w:tcPr>
          <w:p w14:paraId="2583F2D5"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single" w:sz="8" w:space="0" w:color="000000"/>
              <w:right w:val="nil"/>
            </w:tcBorders>
            <w:shd w:val="clear" w:color="auto" w:fill="auto"/>
            <w:noWrap/>
            <w:vAlign w:val="center"/>
            <w:hideMark/>
          </w:tcPr>
          <w:p w14:paraId="5207A10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-0.037</w:t>
            </w:r>
          </w:p>
        </w:tc>
        <w:tc>
          <w:tcPr>
            <w:tcW w:w="785" w:type="dxa"/>
            <w:tcBorders>
              <w:top w:val="nil"/>
              <w:left w:val="nil"/>
              <w:bottom w:val="single" w:sz="8" w:space="0" w:color="000000"/>
              <w:right w:val="nil"/>
            </w:tcBorders>
            <w:shd w:val="clear" w:color="auto" w:fill="auto"/>
            <w:noWrap/>
            <w:vAlign w:val="center"/>
            <w:hideMark/>
          </w:tcPr>
          <w:p w14:paraId="09BA8176"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-1.108</w:t>
            </w:r>
          </w:p>
        </w:tc>
        <w:tc>
          <w:tcPr>
            <w:tcW w:w="431" w:type="dxa"/>
            <w:tcBorders>
              <w:top w:val="nil"/>
              <w:left w:val="nil"/>
              <w:bottom w:val="single" w:sz="8" w:space="0" w:color="000000"/>
              <w:right w:val="nil"/>
            </w:tcBorders>
            <w:shd w:val="clear" w:color="auto" w:fill="auto"/>
            <w:noWrap/>
            <w:vAlign w:val="center"/>
            <w:hideMark/>
          </w:tcPr>
          <w:p w14:paraId="53054A82"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785" w:type="dxa"/>
            <w:tcBorders>
              <w:top w:val="nil"/>
              <w:left w:val="nil"/>
              <w:bottom w:val="single" w:sz="8" w:space="0" w:color="000000"/>
              <w:right w:val="nil"/>
            </w:tcBorders>
            <w:shd w:val="clear" w:color="auto" w:fill="auto"/>
            <w:noWrap/>
            <w:vAlign w:val="center"/>
            <w:hideMark/>
          </w:tcPr>
          <w:p w14:paraId="0D08316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-0.960</w:t>
            </w:r>
          </w:p>
        </w:tc>
        <w:tc>
          <w:tcPr>
            <w:tcW w:w="431" w:type="dxa"/>
            <w:tcBorders>
              <w:top w:val="nil"/>
              <w:left w:val="nil"/>
              <w:bottom w:val="single" w:sz="8" w:space="0" w:color="000000"/>
              <w:right w:val="single" w:sz="8" w:space="0" w:color="000000"/>
            </w:tcBorders>
            <w:shd w:val="clear" w:color="auto" w:fill="auto"/>
            <w:noWrap/>
            <w:vAlign w:val="center"/>
            <w:hideMark/>
          </w:tcPr>
          <w:p w14:paraId="0E5AE2AE"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6CEC94FE" w14:textId="77777777" w:rsidTr="00576457">
        <w:trPr>
          <w:gridAfter w:val="1"/>
          <w:wAfter w:w="8" w:type="dxa"/>
          <w:trHeight w:val="414"/>
        </w:trPr>
        <w:tc>
          <w:tcPr>
            <w:tcW w:w="130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B6C786" w14:textId="77777777" w:rsidR="00576457" w:rsidRPr="00576457" w:rsidRDefault="0057645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Binary variables</w:t>
            </w:r>
          </w:p>
        </w:tc>
        <w:tc>
          <w:tcPr>
            <w:tcW w:w="944" w:type="dxa"/>
            <w:tcBorders>
              <w:top w:val="nil"/>
              <w:left w:val="nil"/>
              <w:bottom w:val="single" w:sz="8" w:space="0" w:color="000000"/>
              <w:right w:val="nil"/>
            </w:tcBorders>
            <w:shd w:val="clear" w:color="auto" w:fill="auto"/>
            <w:vAlign w:val="center"/>
            <w:hideMark/>
          </w:tcPr>
          <w:p w14:paraId="1D112A89"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327" w:type="dxa"/>
            <w:tcBorders>
              <w:top w:val="nil"/>
              <w:left w:val="nil"/>
              <w:bottom w:val="single" w:sz="8" w:space="0" w:color="000000"/>
              <w:right w:val="nil"/>
            </w:tcBorders>
            <w:shd w:val="clear" w:color="auto" w:fill="auto"/>
            <w:noWrap/>
            <w:vAlign w:val="center"/>
            <w:hideMark/>
          </w:tcPr>
          <w:p w14:paraId="36998EDB"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240" w:type="dxa"/>
            <w:gridSpan w:val="2"/>
            <w:tcBorders>
              <w:top w:val="single" w:sz="8" w:space="0" w:color="000000"/>
              <w:left w:val="nil"/>
              <w:bottom w:val="single" w:sz="8" w:space="0" w:color="000000"/>
              <w:right w:val="nil"/>
            </w:tcBorders>
            <w:shd w:val="clear" w:color="auto" w:fill="auto"/>
            <w:noWrap/>
            <w:vAlign w:val="center"/>
            <w:hideMark/>
          </w:tcPr>
          <w:p w14:paraId="3C0A2D2B" w14:textId="7DEC8913" w:rsidR="00576457" w:rsidRPr="00576457" w:rsidRDefault="00576457" w:rsidP="007B1620">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Chi-</w:t>
            </w:r>
            <w:r w:rsidR="007B1620">
              <w:rPr>
                <w:rFonts w:ascii="Times New Roman" w:eastAsia="Times New Roman" w:hAnsi="Times New Roman" w:cs="Times New Roman"/>
                <w:b/>
                <w:bCs/>
                <w:i/>
                <w:iCs/>
                <w:color w:val="000000"/>
                <w:sz w:val="20"/>
                <w:szCs w:val="20"/>
                <w:lang w:val="en-NZ" w:eastAsia="en-NZ"/>
              </w:rPr>
              <w:t>s</w:t>
            </w:r>
            <w:r w:rsidRPr="00576457">
              <w:rPr>
                <w:rFonts w:ascii="Times New Roman" w:eastAsia="Times New Roman" w:hAnsi="Times New Roman" w:cs="Times New Roman"/>
                <w:b/>
                <w:bCs/>
                <w:i/>
                <w:iCs/>
                <w:color w:val="000000"/>
                <w:sz w:val="20"/>
                <w:szCs w:val="20"/>
                <w:lang w:val="en-NZ" w:eastAsia="en-NZ"/>
              </w:rPr>
              <w:t>quare</w:t>
            </w:r>
          </w:p>
        </w:tc>
        <w:tc>
          <w:tcPr>
            <w:tcW w:w="809" w:type="dxa"/>
            <w:tcBorders>
              <w:top w:val="nil"/>
              <w:left w:val="nil"/>
              <w:bottom w:val="single" w:sz="8" w:space="0" w:color="000000"/>
              <w:right w:val="nil"/>
            </w:tcBorders>
            <w:shd w:val="clear" w:color="auto" w:fill="auto"/>
            <w:noWrap/>
            <w:vAlign w:val="center"/>
            <w:hideMark/>
          </w:tcPr>
          <w:p w14:paraId="6D739AA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327" w:type="dxa"/>
            <w:tcBorders>
              <w:top w:val="nil"/>
              <w:left w:val="nil"/>
              <w:bottom w:val="single" w:sz="8" w:space="0" w:color="000000"/>
              <w:right w:val="single" w:sz="8" w:space="0" w:color="000000"/>
            </w:tcBorders>
            <w:shd w:val="clear" w:color="auto" w:fill="auto"/>
            <w:noWrap/>
            <w:vAlign w:val="center"/>
            <w:hideMark/>
          </w:tcPr>
          <w:p w14:paraId="0700857C"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1018" w:type="dxa"/>
            <w:tcBorders>
              <w:top w:val="nil"/>
              <w:left w:val="nil"/>
              <w:bottom w:val="single" w:sz="8" w:space="0" w:color="000000"/>
              <w:right w:val="nil"/>
            </w:tcBorders>
            <w:shd w:val="clear" w:color="auto" w:fill="auto"/>
            <w:vAlign w:val="center"/>
            <w:hideMark/>
          </w:tcPr>
          <w:p w14:paraId="3A0D9BEC"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386" w:type="dxa"/>
            <w:tcBorders>
              <w:top w:val="nil"/>
              <w:left w:val="nil"/>
              <w:bottom w:val="single" w:sz="8" w:space="0" w:color="000000"/>
              <w:right w:val="nil"/>
            </w:tcBorders>
            <w:shd w:val="clear" w:color="auto" w:fill="auto"/>
            <w:noWrap/>
            <w:vAlign w:val="center"/>
            <w:hideMark/>
          </w:tcPr>
          <w:p w14:paraId="37237737"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174" w:type="dxa"/>
            <w:gridSpan w:val="2"/>
            <w:tcBorders>
              <w:top w:val="single" w:sz="8" w:space="0" w:color="000000"/>
              <w:left w:val="nil"/>
              <w:bottom w:val="single" w:sz="8" w:space="0" w:color="000000"/>
              <w:right w:val="nil"/>
            </w:tcBorders>
            <w:shd w:val="clear" w:color="auto" w:fill="auto"/>
            <w:noWrap/>
            <w:vAlign w:val="center"/>
            <w:hideMark/>
          </w:tcPr>
          <w:p w14:paraId="66A14195" w14:textId="7DB4E848" w:rsidR="00576457" w:rsidRPr="00576457" w:rsidRDefault="00576457" w:rsidP="007B1620">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Chi-</w:t>
            </w:r>
            <w:r w:rsidR="007B1620">
              <w:rPr>
                <w:rFonts w:ascii="Times New Roman" w:eastAsia="Times New Roman" w:hAnsi="Times New Roman" w:cs="Times New Roman"/>
                <w:b/>
                <w:bCs/>
                <w:i/>
                <w:iCs/>
                <w:color w:val="000000"/>
                <w:sz w:val="20"/>
                <w:szCs w:val="20"/>
                <w:lang w:val="en-NZ" w:eastAsia="en-NZ"/>
              </w:rPr>
              <w:t>s</w:t>
            </w:r>
            <w:r w:rsidRPr="00576457">
              <w:rPr>
                <w:rFonts w:ascii="Times New Roman" w:eastAsia="Times New Roman" w:hAnsi="Times New Roman" w:cs="Times New Roman"/>
                <w:b/>
                <w:bCs/>
                <w:i/>
                <w:iCs/>
                <w:color w:val="000000"/>
                <w:sz w:val="20"/>
                <w:szCs w:val="20"/>
                <w:lang w:val="en-NZ" w:eastAsia="en-NZ"/>
              </w:rPr>
              <w:t>quare</w:t>
            </w:r>
          </w:p>
        </w:tc>
        <w:tc>
          <w:tcPr>
            <w:tcW w:w="742" w:type="dxa"/>
            <w:tcBorders>
              <w:top w:val="nil"/>
              <w:left w:val="nil"/>
              <w:bottom w:val="single" w:sz="8" w:space="0" w:color="000000"/>
              <w:right w:val="nil"/>
            </w:tcBorders>
            <w:shd w:val="clear" w:color="auto" w:fill="auto"/>
            <w:noWrap/>
            <w:vAlign w:val="center"/>
            <w:hideMark/>
          </w:tcPr>
          <w:p w14:paraId="535DF1B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327" w:type="dxa"/>
            <w:tcBorders>
              <w:top w:val="nil"/>
              <w:left w:val="nil"/>
              <w:bottom w:val="single" w:sz="8" w:space="0" w:color="000000"/>
              <w:right w:val="single" w:sz="8" w:space="0" w:color="000000"/>
            </w:tcBorders>
            <w:shd w:val="clear" w:color="auto" w:fill="auto"/>
            <w:noWrap/>
            <w:vAlign w:val="center"/>
            <w:hideMark/>
          </w:tcPr>
          <w:p w14:paraId="560E7AE7"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nil"/>
              <w:left w:val="nil"/>
              <w:bottom w:val="single" w:sz="8" w:space="0" w:color="000000"/>
              <w:right w:val="nil"/>
            </w:tcBorders>
            <w:shd w:val="clear" w:color="auto" w:fill="auto"/>
            <w:vAlign w:val="center"/>
            <w:hideMark/>
          </w:tcPr>
          <w:p w14:paraId="048DDB12"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87" w:type="dxa"/>
            <w:tcBorders>
              <w:top w:val="nil"/>
              <w:left w:val="nil"/>
              <w:bottom w:val="single" w:sz="8" w:space="0" w:color="000000"/>
              <w:right w:val="nil"/>
            </w:tcBorders>
            <w:shd w:val="clear" w:color="auto" w:fill="auto"/>
            <w:noWrap/>
            <w:vAlign w:val="center"/>
            <w:hideMark/>
          </w:tcPr>
          <w:p w14:paraId="5119EB46"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216" w:type="dxa"/>
            <w:gridSpan w:val="2"/>
            <w:tcBorders>
              <w:top w:val="single" w:sz="8" w:space="0" w:color="000000"/>
              <w:left w:val="nil"/>
              <w:bottom w:val="single" w:sz="8" w:space="0" w:color="000000"/>
              <w:right w:val="nil"/>
            </w:tcBorders>
            <w:shd w:val="clear" w:color="auto" w:fill="auto"/>
            <w:noWrap/>
            <w:vAlign w:val="center"/>
            <w:hideMark/>
          </w:tcPr>
          <w:p w14:paraId="6A63BCEF" w14:textId="5335BA61" w:rsidR="00576457" w:rsidRPr="00576457" w:rsidRDefault="00576457" w:rsidP="007B1620">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Chi-</w:t>
            </w:r>
            <w:r w:rsidR="007B1620">
              <w:rPr>
                <w:rFonts w:ascii="Times New Roman" w:eastAsia="Times New Roman" w:hAnsi="Times New Roman" w:cs="Times New Roman"/>
                <w:b/>
                <w:bCs/>
                <w:i/>
                <w:iCs/>
                <w:color w:val="000000"/>
                <w:sz w:val="20"/>
                <w:szCs w:val="20"/>
                <w:lang w:val="en-NZ" w:eastAsia="en-NZ"/>
              </w:rPr>
              <w:t>s</w:t>
            </w:r>
            <w:r w:rsidRPr="00576457">
              <w:rPr>
                <w:rFonts w:ascii="Times New Roman" w:eastAsia="Times New Roman" w:hAnsi="Times New Roman" w:cs="Times New Roman"/>
                <w:b/>
                <w:bCs/>
                <w:i/>
                <w:iCs/>
                <w:color w:val="000000"/>
                <w:sz w:val="20"/>
                <w:szCs w:val="20"/>
                <w:lang w:val="en-NZ" w:eastAsia="en-NZ"/>
              </w:rPr>
              <w:t>quare</w:t>
            </w:r>
          </w:p>
        </w:tc>
        <w:tc>
          <w:tcPr>
            <w:tcW w:w="785" w:type="dxa"/>
            <w:tcBorders>
              <w:top w:val="nil"/>
              <w:left w:val="nil"/>
              <w:bottom w:val="single" w:sz="8" w:space="0" w:color="000000"/>
              <w:right w:val="nil"/>
            </w:tcBorders>
            <w:shd w:val="clear" w:color="auto" w:fill="auto"/>
            <w:noWrap/>
            <w:vAlign w:val="center"/>
            <w:hideMark/>
          </w:tcPr>
          <w:p w14:paraId="0F541B3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431" w:type="dxa"/>
            <w:tcBorders>
              <w:top w:val="nil"/>
              <w:left w:val="nil"/>
              <w:bottom w:val="single" w:sz="8" w:space="0" w:color="000000"/>
              <w:right w:val="single" w:sz="8" w:space="0" w:color="000000"/>
            </w:tcBorders>
            <w:shd w:val="clear" w:color="auto" w:fill="auto"/>
            <w:noWrap/>
            <w:vAlign w:val="center"/>
            <w:hideMark/>
          </w:tcPr>
          <w:p w14:paraId="28A56A52"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110E559A" w14:textId="77777777" w:rsidTr="00576457">
        <w:trPr>
          <w:gridAfter w:val="1"/>
          <w:wAfter w:w="9" w:type="dxa"/>
          <w:trHeight w:val="211"/>
        </w:trPr>
        <w:tc>
          <w:tcPr>
            <w:tcW w:w="1307" w:type="dxa"/>
            <w:tcBorders>
              <w:top w:val="nil"/>
              <w:left w:val="single" w:sz="8" w:space="0" w:color="000000"/>
              <w:bottom w:val="nil"/>
              <w:right w:val="single" w:sz="8" w:space="0" w:color="000000"/>
            </w:tcBorders>
            <w:shd w:val="clear" w:color="auto" w:fill="auto"/>
            <w:vAlign w:val="center"/>
            <w:hideMark/>
          </w:tcPr>
          <w:p w14:paraId="4B1CBFDF"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AnlCov</w:t>
            </w:r>
            <w:proofErr w:type="spellEnd"/>
          </w:p>
        </w:tc>
        <w:tc>
          <w:tcPr>
            <w:tcW w:w="944" w:type="dxa"/>
            <w:tcBorders>
              <w:top w:val="nil"/>
              <w:left w:val="nil"/>
              <w:bottom w:val="nil"/>
              <w:right w:val="nil"/>
            </w:tcBorders>
            <w:shd w:val="clear" w:color="auto" w:fill="auto"/>
            <w:vAlign w:val="center"/>
            <w:hideMark/>
          </w:tcPr>
          <w:p w14:paraId="28F9A18F"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nil"/>
              <w:left w:val="nil"/>
              <w:bottom w:val="nil"/>
              <w:right w:val="nil"/>
            </w:tcBorders>
            <w:shd w:val="clear" w:color="auto" w:fill="auto"/>
            <w:noWrap/>
            <w:vAlign w:val="center"/>
            <w:hideMark/>
          </w:tcPr>
          <w:p w14:paraId="0BB7B2BC"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-0.201</w:t>
            </w:r>
          </w:p>
        </w:tc>
        <w:tc>
          <w:tcPr>
            <w:tcW w:w="809" w:type="dxa"/>
            <w:tcBorders>
              <w:top w:val="nil"/>
              <w:left w:val="nil"/>
              <w:bottom w:val="nil"/>
              <w:right w:val="nil"/>
            </w:tcBorders>
            <w:shd w:val="clear" w:color="auto" w:fill="auto"/>
            <w:noWrap/>
            <w:vAlign w:val="center"/>
            <w:hideMark/>
          </w:tcPr>
          <w:p w14:paraId="21508A3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5.955</w:t>
            </w:r>
          </w:p>
        </w:tc>
        <w:tc>
          <w:tcPr>
            <w:tcW w:w="431" w:type="dxa"/>
            <w:tcBorders>
              <w:top w:val="nil"/>
              <w:left w:val="nil"/>
              <w:bottom w:val="nil"/>
              <w:right w:val="nil"/>
            </w:tcBorders>
            <w:shd w:val="clear" w:color="auto" w:fill="auto"/>
            <w:noWrap/>
            <w:vAlign w:val="center"/>
            <w:hideMark/>
          </w:tcPr>
          <w:p w14:paraId="29D381D4"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809" w:type="dxa"/>
            <w:tcBorders>
              <w:top w:val="nil"/>
              <w:left w:val="nil"/>
              <w:bottom w:val="nil"/>
              <w:right w:val="nil"/>
            </w:tcBorders>
            <w:shd w:val="clear" w:color="auto" w:fill="auto"/>
            <w:noWrap/>
            <w:vAlign w:val="center"/>
            <w:hideMark/>
          </w:tcPr>
          <w:p w14:paraId="322862AE"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p>
        </w:tc>
        <w:tc>
          <w:tcPr>
            <w:tcW w:w="327" w:type="dxa"/>
            <w:tcBorders>
              <w:top w:val="nil"/>
              <w:left w:val="nil"/>
              <w:bottom w:val="nil"/>
              <w:right w:val="nil"/>
            </w:tcBorders>
            <w:shd w:val="clear" w:color="auto" w:fill="auto"/>
            <w:noWrap/>
            <w:vAlign w:val="center"/>
            <w:hideMark/>
          </w:tcPr>
          <w:p w14:paraId="525E7DAF" w14:textId="77777777" w:rsidR="00576457" w:rsidRPr="00576457" w:rsidRDefault="00576457" w:rsidP="00160EA9">
            <w:pPr>
              <w:spacing w:after="0" w:line="240" w:lineRule="auto"/>
              <w:jc w:val="right"/>
              <w:rPr>
                <w:rFonts w:ascii="Times New Roman" w:eastAsia="Times New Roman" w:hAnsi="Times New Roman" w:cs="Times New Roman"/>
                <w:sz w:val="20"/>
                <w:szCs w:val="20"/>
                <w:lang w:val="en-NZ" w:eastAsia="en-NZ"/>
              </w:rPr>
            </w:pPr>
          </w:p>
        </w:tc>
        <w:tc>
          <w:tcPr>
            <w:tcW w:w="1018" w:type="dxa"/>
            <w:tcBorders>
              <w:top w:val="nil"/>
              <w:left w:val="single" w:sz="8" w:space="0" w:color="000000"/>
              <w:bottom w:val="nil"/>
              <w:right w:val="nil"/>
            </w:tcBorders>
            <w:shd w:val="clear" w:color="auto" w:fill="auto"/>
            <w:vAlign w:val="center"/>
            <w:hideMark/>
          </w:tcPr>
          <w:p w14:paraId="0E087F90"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nil"/>
              <w:left w:val="nil"/>
              <w:bottom w:val="nil"/>
              <w:right w:val="nil"/>
            </w:tcBorders>
            <w:shd w:val="clear" w:color="auto" w:fill="auto"/>
            <w:noWrap/>
            <w:vAlign w:val="center"/>
            <w:hideMark/>
          </w:tcPr>
          <w:p w14:paraId="77127AB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-0.201</w:t>
            </w:r>
          </w:p>
        </w:tc>
        <w:tc>
          <w:tcPr>
            <w:tcW w:w="742" w:type="dxa"/>
            <w:tcBorders>
              <w:top w:val="nil"/>
              <w:left w:val="nil"/>
              <w:bottom w:val="nil"/>
              <w:right w:val="nil"/>
            </w:tcBorders>
            <w:shd w:val="clear" w:color="auto" w:fill="auto"/>
            <w:noWrap/>
            <w:vAlign w:val="center"/>
            <w:hideMark/>
          </w:tcPr>
          <w:p w14:paraId="1AFBDD83"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0.017</w:t>
            </w:r>
          </w:p>
        </w:tc>
        <w:tc>
          <w:tcPr>
            <w:tcW w:w="431" w:type="dxa"/>
            <w:tcBorders>
              <w:top w:val="nil"/>
              <w:left w:val="nil"/>
              <w:bottom w:val="nil"/>
              <w:right w:val="nil"/>
            </w:tcBorders>
            <w:shd w:val="clear" w:color="auto" w:fill="auto"/>
            <w:noWrap/>
            <w:vAlign w:val="center"/>
            <w:hideMark/>
          </w:tcPr>
          <w:p w14:paraId="4B6DA243"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742" w:type="dxa"/>
            <w:tcBorders>
              <w:top w:val="nil"/>
              <w:left w:val="nil"/>
              <w:bottom w:val="nil"/>
              <w:right w:val="nil"/>
            </w:tcBorders>
            <w:shd w:val="clear" w:color="auto" w:fill="auto"/>
            <w:noWrap/>
            <w:vAlign w:val="center"/>
            <w:hideMark/>
          </w:tcPr>
          <w:p w14:paraId="47F6BC9B" w14:textId="77777777" w:rsidR="00576457" w:rsidRPr="00576457" w:rsidRDefault="00576457" w:rsidP="00160EA9">
            <w:pPr>
              <w:spacing w:after="0" w:line="240" w:lineRule="auto"/>
              <w:rPr>
                <w:rFonts w:ascii="Times New Roman" w:eastAsia="Times New Roman" w:hAnsi="Times New Roman" w:cs="Times New Roman"/>
                <w:sz w:val="20"/>
                <w:szCs w:val="20"/>
                <w:lang w:val="en-NZ" w:eastAsia="en-NZ"/>
              </w:rPr>
            </w:pPr>
          </w:p>
        </w:tc>
        <w:tc>
          <w:tcPr>
            <w:tcW w:w="327" w:type="dxa"/>
            <w:tcBorders>
              <w:top w:val="nil"/>
              <w:left w:val="nil"/>
              <w:bottom w:val="nil"/>
              <w:right w:val="single" w:sz="8" w:space="0" w:color="000000"/>
            </w:tcBorders>
            <w:shd w:val="clear" w:color="auto" w:fill="auto"/>
            <w:noWrap/>
            <w:vAlign w:val="center"/>
            <w:hideMark/>
          </w:tcPr>
          <w:p w14:paraId="5FAE5F1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nil"/>
              <w:left w:val="nil"/>
              <w:bottom w:val="nil"/>
              <w:right w:val="nil"/>
            </w:tcBorders>
            <w:shd w:val="clear" w:color="auto" w:fill="auto"/>
            <w:vAlign w:val="center"/>
            <w:hideMark/>
          </w:tcPr>
          <w:p w14:paraId="3F83254A"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nil"/>
              <w:right w:val="nil"/>
            </w:tcBorders>
            <w:shd w:val="clear" w:color="auto" w:fill="auto"/>
            <w:noWrap/>
            <w:vAlign w:val="center"/>
            <w:hideMark/>
          </w:tcPr>
          <w:p w14:paraId="253A4E3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0.127</w:t>
            </w:r>
          </w:p>
        </w:tc>
        <w:tc>
          <w:tcPr>
            <w:tcW w:w="785" w:type="dxa"/>
            <w:tcBorders>
              <w:top w:val="nil"/>
              <w:left w:val="nil"/>
              <w:bottom w:val="nil"/>
              <w:right w:val="nil"/>
            </w:tcBorders>
            <w:shd w:val="clear" w:color="auto" w:fill="auto"/>
            <w:noWrap/>
            <w:vAlign w:val="center"/>
            <w:hideMark/>
          </w:tcPr>
          <w:p w14:paraId="48D86981"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4.015</w:t>
            </w:r>
          </w:p>
        </w:tc>
        <w:tc>
          <w:tcPr>
            <w:tcW w:w="431" w:type="dxa"/>
            <w:tcBorders>
              <w:top w:val="nil"/>
              <w:left w:val="nil"/>
              <w:bottom w:val="nil"/>
              <w:right w:val="nil"/>
            </w:tcBorders>
            <w:shd w:val="clear" w:color="auto" w:fill="auto"/>
            <w:noWrap/>
            <w:vAlign w:val="center"/>
            <w:hideMark/>
          </w:tcPr>
          <w:p w14:paraId="3154508E"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85" w:type="dxa"/>
            <w:tcBorders>
              <w:top w:val="nil"/>
              <w:left w:val="nil"/>
              <w:bottom w:val="nil"/>
              <w:right w:val="nil"/>
            </w:tcBorders>
            <w:shd w:val="clear" w:color="auto" w:fill="auto"/>
            <w:noWrap/>
            <w:vAlign w:val="center"/>
            <w:hideMark/>
          </w:tcPr>
          <w:p w14:paraId="0AA3377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p>
        </w:tc>
        <w:tc>
          <w:tcPr>
            <w:tcW w:w="431" w:type="dxa"/>
            <w:tcBorders>
              <w:top w:val="nil"/>
              <w:left w:val="nil"/>
              <w:bottom w:val="nil"/>
              <w:right w:val="single" w:sz="8" w:space="0" w:color="000000"/>
            </w:tcBorders>
            <w:shd w:val="clear" w:color="auto" w:fill="auto"/>
            <w:noWrap/>
            <w:vAlign w:val="center"/>
            <w:hideMark/>
          </w:tcPr>
          <w:p w14:paraId="3294C9CC"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655C95ED" w14:textId="77777777" w:rsidTr="00576457">
        <w:trPr>
          <w:gridAfter w:val="1"/>
          <w:wAfter w:w="9" w:type="dxa"/>
          <w:trHeight w:val="221"/>
        </w:trPr>
        <w:tc>
          <w:tcPr>
            <w:tcW w:w="1307" w:type="dxa"/>
            <w:tcBorders>
              <w:top w:val="nil"/>
              <w:left w:val="single" w:sz="8" w:space="0" w:color="000000"/>
              <w:bottom w:val="single" w:sz="8" w:space="0" w:color="000000"/>
              <w:right w:val="single" w:sz="8" w:space="0" w:color="000000"/>
            </w:tcBorders>
            <w:shd w:val="clear" w:color="auto" w:fill="auto"/>
            <w:vAlign w:val="center"/>
            <w:hideMark/>
          </w:tcPr>
          <w:p w14:paraId="6DF6BB27"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CFO_Dum</w:t>
            </w:r>
            <w:proofErr w:type="spellEnd"/>
          </w:p>
        </w:tc>
        <w:tc>
          <w:tcPr>
            <w:tcW w:w="944" w:type="dxa"/>
            <w:tcBorders>
              <w:top w:val="nil"/>
              <w:left w:val="nil"/>
              <w:bottom w:val="single" w:sz="8" w:space="0" w:color="000000"/>
              <w:right w:val="nil"/>
            </w:tcBorders>
            <w:shd w:val="clear" w:color="auto" w:fill="auto"/>
            <w:vAlign w:val="center"/>
            <w:hideMark/>
          </w:tcPr>
          <w:p w14:paraId="2D76A894"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27" w:type="dxa"/>
            <w:tcBorders>
              <w:top w:val="nil"/>
              <w:left w:val="nil"/>
              <w:bottom w:val="single" w:sz="8" w:space="0" w:color="auto"/>
              <w:right w:val="nil"/>
            </w:tcBorders>
            <w:shd w:val="clear" w:color="auto" w:fill="auto"/>
            <w:noWrap/>
            <w:vAlign w:val="center"/>
            <w:hideMark/>
          </w:tcPr>
          <w:p w14:paraId="3C2DEE56"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0.023</w:t>
            </w:r>
          </w:p>
        </w:tc>
        <w:tc>
          <w:tcPr>
            <w:tcW w:w="809" w:type="dxa"/>
            <w:tcBorders>
              <w:top w:val="nil"/>
              <w:left w:val="nil"/>
              <w:bottom w:val="single" w:sz="8" w:space="0" w:color="auto"/>
              <w:right w:val="nil"/>
            </w:tcBorders>
            <w:shd w:val="clear" w:color="auto" w:fill="auto"/>
            <w:noWrap/>
            <w:vAlign w:val="center"/>
            <w:hideMark/>
          </w:tcPr>
          <w:p w14:paraId="491D3867"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0.055</w:t>
            </w:r>
          </w:p>
        </w:tc>
        <w:tc>
          <w:tcPr>
            <w:tcW w:w="431" w:type="dxa"/>
            <w:tcBorders>
              <w:top w:val="nil"/>
              <w:left w:val="nil"/>
              <w:bottom w:val="single" w:sz="8" w:space="0" w:color="auto"/>
              <w:right w:val="nil"/>
            </w:tcBorders>
            <w:shd w:val="clear" w:color="auto" w:fill="auto"/>
            <w:noWrap/>
            <w:vAlign w:val="center"/>
            <w:hideMark/>
          </w:tcPr>
          <w:p w14:paraId="0109951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809" w:type="dxa"/>
            <w:tcBorders>
              <w:top w:val="nil"/>
              <w:left w:val="nil"/>
              <w:bottom w:val="single" w:sz="8" w:space="0" w:color="000000"/>
              <w:right w:val="nil"/>
            </w:tcBorders>
            <w:shd w:val="clear" w:color="auto" w:fill="auto"/>
            <w:noWrap/>
            <w:vAlign w:val="center"/>
            <w:hideMark/>
          </w:tcPr>
          <w:p w14:paraId="67AA879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327" w:type="dxa"/>
            <w:tcBorders>
              <w:top w:val="nil"/>
              <w:left w:val="nil"/>
              <w:bottom w:val="single" w:sz="8" w:space="0" w:color="000000"/>
              <w:right w:val="nil"/>
            </w:tcBorders>
            <w:shd w:val="clear" w:color="auto" w:fill="auto"/>
            <w:noWrap/>
            <w:vAlign w:val="center"/>
            <w:hideMark/>
          </w:tcPr>
          <w:p w14:paraId="1420E169" w14:textId="77777777" w:rsidR="00576457" w:rsidRPr="00576457" w:rsidRDefault="00576457" w:rsidP="00160EA9">
            <w:pPr>
              <w:spacing w:after="0" w:line="240" w:lineRule="auto"/>
              <w:rPr>
                <w:rFonts w:ascii="Calibri" w:eastAsia="Times New Roman" w:hAnsi="Calibri" w:cs="Times New Roman"/>
                <w:color w:val="000000"/>
                <w:lang w:val="en-NZ" w:eastAsia="en-NZ"/>
              </w:rPr>
            </w:pPr>
            <w:r w:rsidRPr="00576457">
              <w:rPr>
                <w:rFonts w:ascii="Calibri" w:eastAsia="Times New Roman" w:hAnsi="Calibri" w:cs="Times New Roman"/>
                <w:color w:val="000000"/>
                <w:lang w:val="en-NZ" w:eastAsia="en-NZ"/>
              </w:rPr>
              <w:t> </w:t>
            </w:r>
          </w:p>
        </w:tc>
        <w:tc>
          <w:tcPr>
            <w:tcW w:w="1018" w:type="dxa"/>
            <w:tcBorders>
              <w:top w:val="nil"/>
              <w:left w:val="single" w:sz="8" w:space="0" w:color="000000"/>
              <w:bottom w:val="single" w:sz="8" w:space="0" w:color="auto"/>
              <w:right w:val="nil"/>
            </w:tcBorders>
            <w:shd w:val="clear" w:color="auto" w:fill="auto"/>
            <w:vAlign w:val="center"/>
            <w:hideMark/>
          </w:tcPr>
          <w:p w14:paraId="4C743C81"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386" w:type="dxa"/>
            <w:tcBorders>
              <w:top w:val="nil"/>
              <w:left w:val="nil"/>
              <w:bottom w:val="single" w:sz="8" w:space="0" w:color="auto"/>
              <w:right w:val="nil"/>
            </w:tcBorders>
            <w:shd w:val="clear" w:color="auto" w:fill="auto"/>
            <w:noWrap/>
            <w:vAlign w:val="center"/>
            <w:hideMark/>
          </w:tcPr>
          <w:p w14:paraId="2242060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0.023</w:t>
            </w:r>
          </w:p>
        </w:tc>
        <w:tc>
          <w:tcPr>
            <w:tcW w:w="742" w:type="dxa"/>
            <w:tcBorders>
              <w:top w:val="nil"/>
              <w:left w:val="nil"/>
              <w:bottom w:val="single" w:sz="8" w:space="0" w:color="auto"/>
              <w:right w:val="nil"/>
            </w:tcBorders>
            <w:shd w:val="clear" w:color="auto" w:fill="auto"/>
            <w:noWrap/>
            <w:vAlign w:val="center"/>
            <w:hideMark/>
          </w:tcPr>
          <w:p w14:paraId="59EDA988"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4.679</w:t>
            </w:r>
          </w:p>
        </w:tc>
        <w:tc>
          <w:tcPr>
            <w:tcW w:w="431" w:type="dxa"/>
            <w:tcBorders>
              <w:top w:val="nil"/>
              <w:left w:val="nil"/>
              <w:bottom w:val="single" w:sz="8" w:space="0" w:color="auto"/>
              <w:right w:val="nil"/>
            </w:tcBorders>
            <w:shd w:val="clear" w:color="auto" w:fill="auto"/>
            <w:noWrap/>
            <w:vAlign w:val="center"/>
            <w:hideMark/>
          </w:tcPr>
          <w:p w14:paraId="0D8DBDB2"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42" w:type="dxa"/>
            <w:tcBorders>
              <w:top w:val="nil"/>
              <w:left w:val="nil"/>
              <w:bottom w:val="single" w:sz="8" w:space="0" w:color="000000"/>
              <w:right w:val="nil"/>
            </w:tcBorders>
            <w:shd w:val="clear" w:color="auto" w:fill="auto"/>
            <w:noWrap/>
            <w:vAlign w:val="center"/>
            <w:hideMark/>
          </w:tcPr>
          <w:p w14:paraId="11B30FB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327" w:type="dxa"/>
            <w:tcBorders>
              <w:top w:val="nil"/>
              <w:left w:val="nil"/>
              <w:bottom w:val="single" w:sz="8" w:space="0" w:color="000000"/>
              <w:right w:val="single" w:sz="8" w:space="0" w:color="000000"/>
            </w:tcBorders>
            <w:shd w:val="clear" w:color="auto" w:fill="auto"/>
            <w:noWrap/>
            <w:vAlign w:val="center"/>
            <w:hideMark/>
          </w:tcPr>
          <w:p w14:paraId="1D6F705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30" w:type="dxa"/>
            <w:tcBorders>
              <w:top w:val="nil"/>
              <w:left w:val="nil"/>
              <w:bottom w:val="single" w:sz="8" w:space="0" w:color="000000"/>
              <w:right w:val="nil"/>
            </w:tcBorders>
            <w:shd w:val="clear" w:color="auto" w:fill="auto"/>
            <w:vAlign w:val="center"/>
            <w:hideMark/>
          </w:tcPr>
          <w:p w14:paraId="5736B484"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87" w:type="dxa"/>
            <w:tcBorders>
              <w:top w:val="nil"/>
              <w:left w:val="nil"/>
              <w:bottom w:val="single" w:sz="8" w:space="0" w:color="auto"/>
              <w:right w:val="nil"/>
            </w:tcBorders>
            <w:shd w:val="clear" w:color="auto" w:fill="auto"/>
            <w:noWrap/>
            <w:vAlign w:val="center"/>
            <w:hideMark/>
          </w:tcPr>
          <w:p w14:paraId="68B81B2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-0.170</w:t>
            </w:r>
          </w:p>
        </w:tc>
        <w:tc>
          <w:tcPr>
            <w:tcW w:w="785" w:type="dxa"/>
            <w:tcBorders>
              <w:top w:val="nil"/>
              <w:left w:val="nil"/>
              <w:bottom w:val="single" w:sz="8" w:space="0" w:color="auto"/>
              <w:right w:val="nil"/>
            </w:tcBorders>
            <w:shd w:val="clear" w:color="auto" w:fill="auto"/>
            <w:noWrap/>
            <w:vAlign w:val="center"/>
            <w:hideMark/>
          </w:tcPr>
          <w:p w14:paraId="79F6498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4.932</w:t>
            </w:r>
          </w:p>
        </w:tc>
        <w:tc>
          <w:tcPr>
            <w:tcW w:w="431" w:type="dxa"/>
            <w:tcBorders>
              <w:top w:val="nil"/>
              <w:left w:val="nil"/>
              <w:bottom w:val="single" w:sz="8" w:space="0" w:color="auto"/>
              <w:right w:val="nil"/>
            </w:tcBorders>
            <w:shd w:val="clear" w:color="auto" w:fill="auto"/>
            <w:noWrap/>
            <w:vAlign w:val="center"/>
            <w:hideMark/>
          </w:tcPr>
          <w:p w14:paraId="7870DB1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85" w:type="dxa"/>
            <w:tcBorders>
              <w:top w:val="nil"/>
              <w:left w:val="nil"/>
              <w:bottom w:val="single" w:sz="8" w:space="0" w:color="000000"/>
              <w:right w:val="nil"/>
            </w:tcBorders>
            <w:shd w:val="clear" w:color="auto" w:fill="auto"/>
            <w:noWrap/>
            <w:vAlign w:val="center"/>
            <w:hideMark/>
          </w:tcPr>
          <w:p w14:paraId="1C923A81"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431" w:type="dxa"/>
            <w:tcBorders>
              <w:top w:val="nil"/>
              <w:left w:val="nil"/>
              <w:bottom w:val="single" w:sz="8" w:space="0" w:color="000000"/>
              <w:right w:val="single" w:sz="8" w:space="0" w:color="000000"/>
            </w:tcBorders>
            <w:shd w:val="clear" w:color="auto" w:fill="auto"/>
            <w:noWrap/>
            <w:vAlign w:val="center"/>
            <w:hideMark/>
          </w:tcPr>
          <w:p w14:paraId="30DB3A6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bl>
    <w:p w14:paraId="204B3FE3" w14:textId="77777777" w:rsidR="00BC26A7" w:rsidRDefault="00576457" w:rsidP="00BC26A7">
      <w:pPr>
        <w:spacing w:after="0" w:line="480" w:lineRule="auto"/>
        <w:jc w:val="both"/>
        <w:rPr>
          <w:rFonts w:ascii="Times New Roman" w:hAnsi="Times New Roman"/>
          <w:b/>
          <w:sz w:val="24"/>
          <w:szCs w:val="24"/>
        </w:rPr>
      </w:pPr>
      <w:r>
        <w:rPr>
          <w:rFonts w:ascii="Times New Roman" w:hAnsi="Times New Roman"/>
          <w:b/>
          <w:sz w:val="24"/>
          <w:szCs w:val="24"/>
        </w:rPr>
        <w:fldChar w:fldCharType="end"/>
      </w:r>
    </w:p>
    <w:p w14:paraId="6EC4CC7A" w14:textId="55ADA57D" w:rsidR="00576457" w:rsidRDefault="00576457" w:rsidP="00BC26A7">
      <w:pPr>
        <w:spacing w:after="0" w:line="480" w:lineRule="auto"/>
        <w:jc w:val="both"/>
      </w:pPr>
      <w:r>
        <w:rPr>
          <w:rFonts w:ascii="Times New Roman" w:hAnsi="Times New Roman"/>
          <w:b/>
          <w:sz w:val="24"/>
          <w:szCs w:val="24"/>
        </w:rPr>
        <w:t>Panel B: Full sample</w:t>
      </w:r>
      <w:r>
        <w:fldChar w:fldCharType="begin"/>
      </w:r>
      <w:r>
        <w:instrText xml:space="preserve"> LINK </w:instrText>
      </w:r>
      <w:r w:rsidR="00F00AAE">
        <w:instrText xml:space="preserve">Excel.Sheet.12 C:\\Users\\tsco578\\Desktop\\AllDiscOutlet&amp;Jan.xlsx Unbi!R18C2:R26C20 </w:instrText>
      </w:r>
      <w:r>
        <w:instrText xml:space="preserve">\a \f 4 \h  \* MERGEFORMAT </w:instrText>
      </w:r>
      <w:r>
        <w:fldChar w:fldCharType="separate"/>
      </w:r>
    </w:p>
    <w:tbl>
      <w:tblPr>
        <w:tblW w:w="15248" w:type="dxa"/>
        <w:tblLook w:val="04A0" w:firstRow="1" w:lastRow="0" w:firstColumn="1" w:lastColumn="0" w:noHBand="0" w:noVBand="1"/>
      </w:tblPr>
      <w:tblGrid>
        <w:gridCol w:w="1228"/>
        <w:gridCol w:w="922"/>
        <w:gridCol w:w="1205"/>
        <w:gridCol w:w="779"/>
        <w:gridCol w:w="516"/>
        <w:gridCol w:w="734"/>
        <w:gridCol w:w="516"/>
        <w:gridCol w:w="922"/>
        <w:gridCol w:w="1205"/>
        <w:gridCol w:w="779"/>
        <w:gridCol w:w="516"/>
        <w:gridCol w:w="734"/>
        <w:gridCol w:w="516"/>
        <w:gridCol w:w="920"/>
        <w:gridCol w:w="1205"/>
        <w:gridCol w:w="779"/>
        <w:gridCol w:w="516"/>
        <w:gridCol w:w="734"/>
        <w:gridCol w:w="516"/>
        <w:gridCol w:w="6"/>
      </w:tblGrid>
      <w:tr w:rsidR="00576457" w:rsidRPr="00576457" w14:paraId="685CCAB7" w14:textId="77777777" w:rsidTr="00576457">
        <w:trPr>
          <w:trHeight w:val="217"/>
        </w:trPr>
        <w:tc>
          <w:tcPr>
            <w:tcW w:w="1247" w:type="dxa"/>
            <w:tcBorders>
              <w:top w:val="single" w:sz="8" w:space="0" w:color="auto"/>
              <w:left w:val="single" w:sz="8" w:space="0" w:color="auto"/>
              <w:bottom w:val="nil"/>
              <w:right w:val="single" w:sz="8" w:space="0" w:color="auto"/>
            </w:tcBorders>
            <w:shd w:val="clear" w:color="auto" w:fill="auto"/>
            <w:vAlign w:val="center"/>
            <w:hideMark/>
          </w:tcPr>
          <w:p w14:paraId="5B26A659" w14:textId="77777777" w:rsidR="00576457" w:rsidRPr="00576457" w:rsidRDefault="0057645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 </w:t>
            </w:r>
          </w:p>
        </w:tc>
        <w:tc>
          <w:tcPr>
            <w:tcW w:w="4667" w:type="dxa"/>
            <w:gridSpan w:val="6"/>
            <w:tcBorders>
              <w:top w:val="single" w:sz="8" w:space="0" w:color="auto"/>
              <w:left w:val="nil"/>
              <w:bottom w:val="nil"/>
              <w:right w:val="single" w:sz="8" w:space="0" w:color="000000"/>
            </w:tcBorders>
            <w:shd w:val="clear" w:color="auto" w:fill="auto"/>
            <w:noWrap/>
            <w:vAlign w:val="center"/>
            <w:hideMark/>
          </w:tcPr>
          <w:p w14:paraId="74C898EB"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Purchased analyst research = 1</w:t>
            </w:r>
          </w:p>
        </w:tc>
        <w:tc>
          <w:tcPr>
            <w:tcW w:w="4667" w:type="dxa"/>
            <w:gridSpan w:val="6"/>
            <w:tcBorders>
              <w:top w:val="single" w:sz="8" w:space="0" w:color="auto"/>
              <w:left w:val="nil"/>
              <w:bottom w:val="nil"/>
              <w:right w:val="single" w:sz="8" w:space="0" w:color="000000"/>
            </w:tcBorders>
            <w:shd w:val="clear" w:color="auto" w:fill="auto"/>
            <w:noWrap/>
            <w:vAlign w:val="center"/>
            <w:hideMark/>
          </w:tcPr>
          <w:p w14:paraId="4E9F617C"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Investor presentations = 1</w:t>
            </w:r>
          </w:p>
        </w:tc>
        <w:tc>
          <w:tcPr>
            <w:tcW w:w="4667" w:type="dxa"/>
            <w:gridSpan w:val="7"/>
            <w:tcBorders>
              <w:top w:val="single" w:sz="8" w:space="0" w:color="auto"/>
              <w:left w:val="nil"/>
              <w:bottom w:val="nil"/>
              <w:right w:val="single" w:sz="8" w:space="0" w:color="000000"/>
            </w:tcBorders>
            <w:shd w:val="clear" w:color="auto" w:fill="auto"/>
            <w:noWrap/>
            <w:vAlign w:val="center"/>
            <w:hideMark/>
          </w:tcPr>
          <w:p w14:paraId="536BC476" w14:textId="77777777" w:rsidR="00576457" w:rsidRPr="00576457" w:rsidRDefault="00576457" w:rsidP="00160EA9">
            <w:pPr>
              <w:spacing w:after="0" w:line="240" w:lineRule="auto"/>
              <w:jc w:val="center"/>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Open Briefings = 1</w:t>
            </w:r>
          </w:p>
        </w:tc>
      </w:tr>
      <w:tr w:rsidR="00576457" w:rsidRPr="00576457" w14:paraId="1F2E5AC4" w14:textId="77777777" w:rsidTr="00576457">
        <w:trPr>
          <w:gridAfter w:val="1"/>
          <w:wAfter w:w="3" w:type="dxa"/>
          <w:trHeight w:val="426"/>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4AD9C53E" w14:textId="72A91DF9" w:rsidR="00576457" w:rsidRPr="00576457" w:rsidRDefault="00BC26A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Continuous</w:t>
            </w:r>
            <w:r w:rsidR="00576457" w:rsidRPr="00576457">
              <w:rPr>
                <w:rFonts w:ascii="Times New Roman" w:eastAsia="Times New Roman" w:hAnsi="Times New Roman" w:cs="Times New Roman"/>
                <w:b/>
                <w:bCs/>
                <w:color w:val="000000"/>
                <w:sz w:val="20"/>
                <w:szCs w:val="20"/>
                <w:lang w:val="en-NZ" w:eastAsia="en-NZ"/>
              </w:rPr>
              <w:t xml:space="preserve"> variables</w:t>
            </w:r>
          </w:p>
        </w:tc>
        <w:tc>
          <w:tcPr>
            <w:tcW w:w="927" w:type="dxa"/>
            <w:tcBorders>
              <w:top w:val="nil"/>
              <w:left w:val="nil"/>
              <w:bottom w:val="nil"/>
              <w:right w:val="nil"/>
            </w:tcBorders>
            <w:shd w:val="clear" w:color="auto" w:fill="auto"/>
            <w:vAlign w:val="center"/>
            <w:hideMark/>
          </w:tcPr>
          <w:p w14:paraId="1F70B18B"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nil"/>
              <w:right w:val="nil"/>
            </w:tcBorders>
            <w:shd w:val="clear" w:color="auto" w:fill="auto"/>
            <w:noWrap/>
            <w:vAlign w:val="center"/>
            <w:hideMark/>
          </w:tcPr>
          <w:p w14:paraId="4157E90E"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779" w:type="dxa"/>
            <w:tcBorders>
              <w:top w:val="nil"/>
              <w:left w:val="nil"/>
              <w:bottom w:val="nil"/>
              <w:right w:val="nil"/>
            </w:tcBorders>
            <w:shd w:val="clear" w:color="auto" w:fill="auto"/>
            <w:noWrap/>
            <w:vAlign w:val="center"/>
            <w:hideMark/>
          </w:tcPr>
          <w:p w14:paraId="64948378"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510" w:type="dxa"/>
            <w:tcBorders>
              <w:top w:val="nil"/>
              <w:left w:val="nil"/>
              <w:bottom w:val="nil"/>
              <w:right w:val="nil"/>
            </w:tcBorders>
            <w:shd w:val="clear" w:color="auto" w:fill="auto"/>
            <w:noWrap/>
            <w:vAlign w:val="center"/>
            <w:hideMark/>
          </w:tcPr>
          <w:p w14:paraId="30847414"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245" w:type="dxa"/>
            <w:gridSpan w:val="2"/>
            <w:tcBorders>
              <w:top w:val="nil"/>
              <w:left w:val="nil"/>
              <w:bottom w:val="single" w:sz="8" w:space="0" w:color="000000"/>
              <w:right w:val="single" w:sz="8" w:space="0" w:color="000000"/>
            </w:tcBorders>
            <w:shd w:val="clear" w:color="auto" w:fill="auto"/>
            <w:noWrap/>
            <w:vAlign w:val="center"/>
            <w:hideMark/>
          </w:tcPr>
          <w:p w14:paraId="6465E2CE"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c>
          <w:tcPr>
            <w:tcW w:w="927" w:type="dxa"/>
            <w:tcBorders>
              <w:top w:val="nil"/>
              <w:left w:val="nil"/>
              <w:bottom w:val="single" w:sz="8" w:space="0" w:color="000000"/>
              <w:right w:val="nil"/>
            </w:tcBorders>
            <w:shd w:val="clear" w:color="auto" w:fill="auto"/>
            <w:vAlign w:val="center"/>
            <w:hideMark/>
          </w:tcPr>
          <w:p w14:paraId="33BAD3E0"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nil"/>
              <w:right w:val="nil"/>
            </w:tcBorders>
            <w:shd w:val="clear" w:color="auto" w:fill="auto"/>
            <w:noWrap/>
            <w:vAlign w:val="center"/>
            <w:hideMark/>
          </w:tcPr>
          <w:p w14:paraId="215F0674"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779" w:type="dxa"/>
            <w:tcBorders>
              <w:top w:val="nil"/>
              <w:left w:val="nil"/>
              <w:bottom w:val="nil"/>
              <w:right w:val="nil"/>
            </w:tcBorders>
            <w:shd w:val="clear" w:color="auto" w:fill="auto"/>
            <w:noWrap/>
            <w:vAlign w:val="center"/>
            <w:hideMark/>
          </w:tcPr>
          <w:p w14:paraId="55874DF5"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510" w:type="dxa"/>
            <w:tcBorders>
              <w:top w:val="nil"/>
              <w:left w:val="nil"/>
              <w:bottom w:val="nil"/>
              <w:right w:val="nil"/>
            </w:tcBorders>
            <w:shd w:val="clear" w:color="auto" w:fill="auto"/>
            <w:noWrap/>
            <w:vAlign w:val="center"/>
            <w:hideMark/>
          </w:tcPr>
          <w:p w14:paraId="42C68439"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245" w:type="dxa"/>
            <w:gridSpan w:val="2"/>
            <w:tcBorders>
              <w:top w:val="nil"/>
              <w:left w:val="nil"/>
              <w:bottom w:val="single" w:sz="8" w:space="0" w:color="000000"/>
              <w:right w:val="single" w:sz="8" w:space="0" w:color="000000"/>
            </w:tcBorders>
            <w:shd w:val="clear" w:color="auto" w:fill="auto"/>
            <w:noWrap/>
            <w:vAlign w:val="center"/>
            <w:hideMark/>
          </w:tcPr>
          <w:p w14:paraId="54CB5ED7"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c>
          <w:tcPr>
            <w:tcW w:w="927" w:type="dxa"/>
            <w:tcBorders>
              <w:top w:val="nil"/>
              <w:left w:val="nil"/>
              <w:bottom w:val="nil"/>
              <w:right w:val="nil"/>
            </w:tcBorders>
            <w:shd w:val="clear" w:color="auto" w:fill="auto"/>
            <w:vAlign w:val="center"/>
            <w:hideMark/>
          </w:tcPr>
          <w:p w14:paraId="190239AC"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single" w:sz="8" w:space="0" w:color="000000"/>
              <w:right w:val="nil"/>
            </w:tcBorders>
            <w:shd w:val="clear" w:color="auto" w:fill="auto"/>
            <w:noWrap/>
            <w:vAlign w:val="center"/>
            <w:hideMark/>
          </w:tcPr>
          <w:p w14:paraId="056B2D9E"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779" w:type="dxa"/>
            <w:tcBorders>
              <w:top w:val="nil"/>
              <w:left w:val="nil"/>
              <w:bottom w:val="nil"/>
              <w:right w:val="nil"/>
            </w:tcBorders>
            <w:shd w:val="clear" w:color="auto" w:fill="auto"/>
            <w:noWrap/>
            <w:vAlign w:val="center"/>
            <w:hideMark/>
          </w:tcPr>
          <w:p w14:paraId="7BC1A75D"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t-stat</w:t>
            </w:r>
          </w:p>
        </w:tc>
        <w:tc>
          <w:tcPr>
            <w:tcW w:w="510" w:type="dxa"/>
            <w:tcBorders>
              <w:top w:val="nil"/>
              <w:left w:val="nil"/>
              <w:bottom w:val="nil"/>
              <w:right w:val="nil"/>
            </w:tcBorders>
            <w:shd w:val="clear" w:color="auto" w:fill="auto"/>
            <w:noWrap/>
            <w:vAlign w:val="center"/>
            <w:hideMark/>
          </w:tcPr>
          <w:p w14:paraId="4F3E97FD"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p>
        </w:tc>
        <w:tc>
          <w:tcPr>
            <w:tcW w:w="1245" w:type="dxa"/>
            <w:gridSpan w:val="2"/>
            <w:tcBorders>
              <w:top w:val="nil"/>
              <w:left w:val="nil"/>
              <w:bottom w:val="single" w:sz="8" w:space="0" w:color="000000"/>
              <w:right w:val="single" w:sz="8" w:space="0" w:color="000000"/>
            </w:tcBorders>
            <w:shd w:val="clear" w:color="auto" w:fill="auto"/>
            <w:noWrap/>
            <w:vAlign w:val="center"/>
            <w:hideMark/>
          </w:tcPr>
          <w:p w14:paraId="2F59B2D5"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z-score</w:t>
            </w:r>
          </w:p>
        </w:tc>
      </w:tr>
      <w:tr w:rsidR="00576457" w:rsidRPr="00576457" w14:paraId="1E75D714" w14:textId="77777777" w:rsidTr="00576457">
        <w:trPr>
          <w:gridAfter w:val="1"/>
          <w:wAfter w:w="6" w:type="dxa"/>
          <w:trHeight w:val="217"/>
        </w:trPr>
        <w:tc>
          <w:tcPr>
            <w:tcW w:w="1247" w:type="dxa"/>
            <w:tcBorders>
              <w:top w:val="nil"/>
              <w:left w:val="single" w:sz="8" w:space="0" w:color="000000"/>
              <w:bottom w:val="nil"/>
              <w:right w:val="single" w:sz="8" w:space="0" w:color="000000"/>
            </w:tcBorders>
            <w:shd w:val="clear" w:color="auto" w:fill="auto"/>
            <w:vAlign w:val="center"/>
            <w:hideMark/>
          </w:tcPr>
          <w:p w14:paraId="505CCC52"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LnAge</w:t>
            </w:r>
            <w:proofErr w:type="spellEnd"/>
          </w:p>
        </w:tc>
        <w:tc>
          <w:tcPr>
            <w:tcW w:w="927" w:type="dxa"/>
            <w:tcBorders>
              <w:top w:val="single" w:sz="8" w:space="0" w:color="000000"/>
              <w:left w:val="nil"/>
              <w:bottom w:val="nil"/>
              <w:right w:val="nil"/>
            </w:tcBorders>
            <w:shd w:val="clear" w:color="auto" w:fill="auto"/>
            <w:vAlign w:val="center"/>
            <w:hideMark/>
          </w:tcPr>
          <w:p w14:paraId="13174BB2"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single" w:sz="8" w:space="0" w:color="000000"/>
              <w:left w:val="nil"/>
              <w:bottom w:val="nil"/>
              <w:right w:val="nil"/>
            </w:tcBorders>
            <w:shd w:val="clear" w:color="auto" w:fill="auto"/>
            <w:noWrap/>
            <w:vAlign w:val="center"/>
            <w:hideMark/>
          </w:tcPr>
          <w:p w14:paraId="7FBFA056"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-0.596</w:t>
            </w:r>
          </w:p>
        </w:tc>
        <w:tc>
          <w:tcPr>
            <w:tcW w:w="779" w:type="dxa"/>
            <w:tcBorders>
              <w:top w:val="single" w:sz="8" w:space="0" w:color="000000"/>
              <w:left w:val="nil"/>
              <w:bottom w:val="nil"/>
              <w:right w:val="nil"/>
            </w:tcBorders>
            <w:shd w:val="clear" w:color="auto" w:fill="auto"/>
            <w:noWrap/>
            <w:vAlign w:val="center"/>
            <w:hideMark/>
          </w:tcPr>
          <w:p w14:paraId="7576F7A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-5.122</w:t>
            </w:r>
          </w:p>
        </w:tc>
        <w:tc>
          <w:tcPr>
            <w:tcW w:w="510" w:type="dxa"/>
            <w:tcBorders>
              <w:top w:val="single" w:sz="8" w:space="0" w:color="000000"/>
              <w:left w:val="nil"/>
              <w:bottom w:val="nil"/>
              <w:right w:val="nil"/>
            </w:tcBorders>
            <w:shd w:val="clear" w:color="auto" w:fill="auto"/>
            <w:noWrap/>
            <w:vAlign w:val="center"/>
            <w:hideMark/>
          </w:tcPr>
          <w:p w14:paraId="7008B28A"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18B63A5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-5.153</w:t>
            </w:r>
          </w:p>
        </w:tc>
        <w:tc>
          <w:tcPr>
            <w:tcW w:w="510" w:type="dxa"/>
            <w:tcBorders>
              <w:top w:val="nil"/>
              <w:left w:val="nil"/>
              <w:bottom w:val="nil"/>
              <w:right w:val="nil"/>
            </w:tcBorders>
            <w:shd w:val="clear" w:color="auto" w:fill="auto"/>
            <w:noWrap/>
            <w:vAlign w:val="center"/>
            <w:hideMark/>
          </w:tcPr>
          <w:p w14:paraId="21E9E0B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nil"/>
              <w:left w:val="single" w:sz="8" w:space="0" w:color="000000"/>
              <w:bottom w:val="nil"/>
              <w:right w:val="nil"/>
            </w:tcBorders>
            <w:shd w:val="clear" w:color="auto" w:fill="auto"/>
            <w:vAlign w:val="center"/>
            <w:hideMark/>
          </w:tcPr>
          <w:p w14:paraId="245ED201"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single" w:sz="8" w:space="0" w:color="000000"/>
              <w:left w:val="nil"/>
              <w:bottom w:val="nil"/>
              <w:right w:val="nil"/>
            </w:tcBorders>
            <w:shd w:val="clear" w:color="auto" w:fill="auto"/>
            <w:noWrap/>
            <w:vAlign w:val="center"/>
            <w:hideMark/>
          </w:tcPr>
          <w:p w14:paraId="64AB3E1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-0.254</w:t>
            </w:r>
          </w:p>
        </w:tc>
        <w:tc>
          <w:tcPr>
            <w:tcW w:w="779" w:type="dxa"/>
            <w:tcBorders>
              <w:top w:val="single" w:sz="8" w:space="0" w:color="000000"/>
              <w:left w:val="nil"/>
              <w:bottom w:val="nil"/>
              <w:right w:val="nil"/>
            </w:tcBorders>
            <w:shd w:val="clear" w:color="auto" w:fill="auto"/>
            <w:noWrap/>
            <w:vAlign w:val="center"/>
            <w:hideMark/>
          </w:tcPr>
          <w:p w14:paraId="1878D38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-4.328</w:t>
            </w:r>
          </w:p>
        </w:tc>
        <w:tc>
          <w:tcPr>
            <w:tcW w:w="510" w:type="dxa"/>
            <w:tcBorders>
              <w:top w:val="single" w:sz="8" w:space="0" w:color="000000"/>
              <w:left w:val="nil"/>
              <w:bottom w:val="nil"/>
              <w:right w:val="nil"/>
            </w:tcBorders>
            <w:shd w:val="clear" w:color="auto" w:fill="auto"/>
            <w:noWrap/>
            <w:vAlign w:val="center"/>
            <w:hideMark/>
          </w:tcPr>
          <w:p w14:paraId="6E57316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220F8DC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-4.201</w:t>
            </w:r>
          </w:p>
        </w:tc>
        <w:tc>
          <w:tcPr>
            <w:tcW w:w="510" w:type="dxa"/>
            <w:tcBorders>
              <w:top w:val="nil"/>
              <w:left w:val="nil"/>
              <w:bottom w:val="nil"/>
              <w:right w:val="single" w:sz="8" w:space="0" w:color="000000"/>
            </w:tcBorders>
            <w:shd w:val="clear" w:color="auto" w:fill="auto"/>
            <w:noWrap/>
            <w:vAlign w:val="center"/>
            <w:hideMark/>
          </w:tcPr>
          <w:p w14:paraId="49BE8586"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single" w:sz="8" w:space="0" w:color="000000"/>
              <w:left w:val="nil"/>
              <w:bottom w:val="nil"/>
              <w:right w:val="nil"/>
            </w:tcBorders>
            <w:shd w:val="clear" w:color="auto" w:fill="auto"/>
            <w:vAlign w:val="center"/>
            <w:hideMark/>
          </w:tcPr>
          <w:p w14:paraId="2D15400B"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2346C216"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0.407</w:t>
            </w:r>
          </w:p>
        </w:tc>
        <w:tc>
          <w:tcPr>
            <w:tcW w:w="779" w:type="dxa"/>
            <w:tcBorders>
              <w:top w:val="single" w:sz="8" w:space="0" w:color="000000"/>
              <w:left w:val="nil"/>
              <w:bottom w:val="nil"/>
              <w:right w:val="nil"/>
            </w:tcBorders>
            <w:shd w:val="clear" w:color="auto" w:fill="auto"/>
            <w:noWrap/>
            <w:vAlign w:val="center"/>
            <w:hideMark/>
          </w:tcPr>
          <w:p w14:paraId="6C908288"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6.989</w:t>
            </w:r>
          </w:p>
        </w:tc>
        <w:tc>
          <w:tcPr>
            <w:tcW w:w="510" w:type="dxa"/>
            <w:tcBorders>
              <w:top w:val="single" w:sz="8" w:space="0" w:color="000000"/>
              <w:left w:val="nil"/>
              <w:bottom w:val="nil"/>
              <w:right w:val="nil"/>
            </w:tcBorders>
            <w:shd w:val="clear" w:color="auto" w:fill="auto"/>
            <w:noWrap/>
            <w:vAlign w:val="center"/>
            <w:hideMark/>
          </w:tcPr>
          <w:p w14:paraId="7EEC929D"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54C190F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-6.807</w:t>
            </w:r>
          </w:p>
        </w:tc>
        <w:tc>
          <w:tcPr>
            <w:tcW w:w="510" w:type="dxa"/>
            <w:tcBorders>
              <w:top w:val="nil"/>
              <w:left w:val="nil"/>
              <w:bottom w:val="nil"/>
              <w:right w:val="single" w:sz="8" w:space="0" w:color="000000"/>
            </w:tcBorders>
            <w:shd w:val="clear" w:color="auto" w:fill="auto"/>
            <w:noWrap/>
            <w:vAlign w:val="center"/>
            <w:hideMark/>
          </w:tcPr>
          <w:p w14:paraId="20E2236D"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r>
      <w:tr w:rsidR="00576457" w:rsidRPr="00576457" w14:paraId="6A8840FF" w14:textId="77777777" w:rsidTr="00576457">
        <w:trPr>
          <w:gridAfter w:val="1"/>
          <w:wAfter w:w="6" w:type="dxa"/>
          <w:trHeight w:val="217"/>
        </w:trPr>
        <w:tc>
          <w:tcPr>
            <w:tcW w:w="1247" w:type="dxa"/>
            <w:tcBorders>
              <w:top w:val="nil"/>
              <w:left w:val="single" w:sz="8" w:space="0" w:color="000000"/>
              <w:bottom w:val="nil"/>
              <w:right w:val="single" w:sz="8" w:space="0" w:color="000000"/>
            </w:tcBorders>
            <w:shd w:val="clear" w:color="auto" w:fill="auto"/>
            <w:vAlign w:val="center"/>
            <w:hideMark/>
          </w:tcPr>
          <w:p w14:paraId="29C8E2DF"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r w:rsidRPr="00576457">
              <w:rPr>
                <w:rFonts w:ascii="Times New Roman" w:eastAsia="Times New Roman" w:hAnsi="Times New Roman" w:cs="Times New Roman"/>
                <w:i/>
                <w:iCs/>
                <w:color w:val="000000"/>
                <w:sz w:val="20"/>
                <w:szCs w:val="20"/>
                <w:lang w:val="en-NZ" w:eastAsia="en-NZ"/>
              </w:rPr>
              <w:t>Top20</w:t>
            </w:r>
          </w:p>
        </w:tc>
        <w:tc>
          <w:tcPr>
            <w:tcW w:w="927" w:type="dxa"/>
            <w:tcBorders>
              <w:top w:val="nil"/>
              <w:left w:val="nil"/>
              <w:bottom w:val="nil"/>
              <w:right w:val="nil"/>
            </w:tcBorders>
            <w:shd w:val="clear" w:color="auto" w:fill="auto"/>
            <w:vAlign w:val="center"/>
            <w:hideMark/>
          </w:tcPr>
          <w:p w14:paraId="1AB45F3A"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14B6023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1.081</w:t>
            </w:r>
          </w:p>
        </w:tc>
        <w:tc>
          <w:tcPr>
            <w:tcW w:w="779" w:type="dxa"/>
            <w:tcBorders>
              <w:top w:val="nil"/>
              <w:left w:val="nil"/>
              <w:bottom w:val="nil"/>
              <w:right w:val="nil"/>
            </w:tcBorders>
            <w:shd w:val="clear" w:color="auto" w:fill="auto"/>
            <w:noWrap/>
            <w:vAlign w:val="center"/>
            <w:hideMark/>
          </w:tcPr>
          <w:p w14:paraId="2580097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0.674</w:t>
            </w:r>
          </w:p>
        </w:tc>
        <w:tc>
          <w:tcPr>
            <w:tcW w:w="510" w:type="dxa"/>
            <w:tcBorders>
              <w:top w:val="nil"/>
              <w:left w:val="nil"/>
              <w:bottom w:val="nil"/>
              <w:right w:val="nil"/>
            </w:tcBorders>
            <w:shd w:val="clear" w:color="auto" w:fill="auto"/>
            <w:noWrap/>
            <w:vAlign w:val="center"/>
            <w:hideMark/>
          </w:tcPr>
          <w:p w14:paraId="3BF8F6D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734" w:type="dxa"/>
            <w:tcBorders>
              <w:top w:val="nil"/>
              <w:left w:val="nil"/>
              <w:bottom w:val="nil"/>
              <w:right w:val="nil"/>
            </w:tcBorders>
            <w:shd w:val="clear" w:color="auto" w:fill="auto"/>
            <w:noWrap/>
            <w:vAlign w:val="center"/>
            <w:hideMark/>
          </w:tcPr>
          <w:p w14:paraId="5923A985"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-0.571</w:t>
            </w:r>
          </w:p>
        </w:tc>
        <w:tc>
          <w:tcPr>
            <w:tcW w:w="510" w:type="dxa"/>
            <w:tcBorders>
              <w:top w:val="nil"/>
              <w:left w:val="nil"/>
              <w:bottom w:val="nil"/>
              <w:right w:val="nil"/>
            </w:tcBorders>
            <w:shd w:val="clear" w:color="auto" w:fill="auto"/>
            <w:noWrap/>
            <w:vAlign w:val="center"/>
            <w:hideMark/>
          </w:tcPr>
          <w:p w14:paraId="482B2B5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p>
        </w:tc>
        <w:tc>
          <w:tcPr>
            <w:tcW w:w="927" w:type="dxa"/>
            <w:tcBorders>
              <w:top w:val="nil"/>
              <w:left w:val="single" w:sz="8" w:space="0" w:color="000000"/>
              <w:bottom w:val="nil"/>
              <w:right w:val="nil"/>
            </w:tcBorders>
            <w:shd w:val="clear" w:color="auto" w:fill="auto"/>
            <w:vAlign w:val="center"/>
            <w:hideMark/>
          </w:tcPr>
          <w:p w14:paraId="3B2B2C4F"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024F9BE9"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2.631</w:t>
            </w:r>
          </w:p>
        </w:tc>
        <w:tc>
          <w:tcPr>
            <w:tcW w:w="779" w:type="dxa"/>
            <w:tcBorders>
              <w:top w:val="nil"/>
              <w:left w:val="nil"/>
              <w:bottom w:val="nil"/>
              <w:right w:val="nil"/>
            </w:tcBorders>
            <w:shd w:val="clear" w:color="auto" w:fill="auto"/>
            <w:noWrap/>
            <w:vAlign w:val="center"/>
            <w:hideMark/>
          </w:tcPr>
          <w:p w14:paraId="431CD88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2.960</w:t>
            </w:r>
          </w:p>
        </w:tc>
        <w:tc>
          <w:tcPr>
            <w:tcW w:w="510" w:type="dxa"/>
            <w:tcBorders>
              <w:top w:val="nil"/>
              <w:left w:val="nil"/>
              <w:bottom w:val="nil"/>
              <w:right w:val="nil"/>
            </w:tcBorders>
            <w:shd w:val="clear" w:color="auto" w:fill="auto"/>
            <w:noWrap/>
            <w:vAlign w:val="center"/>
            <w:hideMark/>
          </w:tcPr>
          <w:p w14:paraId="44AB1380"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7217F448" w14:textId="7795BFB0"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3.098</w:t>
            </w:r>
          </w:p>
        </w:tc>
        <w:tc>
          <w:tcPr>
            <w:tcW w:w="510" w:type="dxa"/>
            <w:tcBorders>
              <w:top w:val="nil"/>
              <w:left w:val="nil"/>
              <w:bottom w:val="nil"/>
              <w:right w:val="single" w:sz="8" w:space="0" w:color="000000"/>
            </w:tcBorders>
            <w:shd w:val="clear" w:color="auto" w:fill="auto"/>
            <w:noWrap/>
            <w:vAlign w:val="center"/>
            <w:hideMark/>
          </w:tcPr>
          <w:p w14:paraId="1C0365B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nil"/>
              <w:left w:val="nil"/>
              <w:bottom w:val="nil"/>
              <w:right w:val="nil"/>
            </w:tcBorders>
            <w:shd w:val="clear" w:color="auto" w:fill="auto"/>
            <w:vAlign w:val="center"/>
            <w:hideMark/>
          </w:tcPr>
          <w:p w14:paraId="4962FFF7"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76028DA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-2.917</w:t>
            </w:r>
          </w:p>
        </w:tc>
        <w:tc>
          <w:tcPr>
            <w:tcW w:w="779" w:type="dxa"/>
            <w:tcBorders>
              <w:top w:val="nil"/>
              <w:left w:val="nil"/>
              <w:bottom w:val="nil"/>
              <w:right w:val="nil"/>
            </w:tcBorders>
            <w:shd w:val="clear" w:color="auto" w:fill="auto"/>
            <w:noWrap/>
            <w:vAlign w:val="center"/>
            <w:hideMark/>
          </w:tcPr>
          <w:p w14:paraId="5B023C14"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-3.277</w:t>
            </w:r>
          </w:p>
        </w:tc>
        <w:tc>
          <w:tcPr>
            <w:tcW w:w="510" w:type="dxa"/>
            <w:tcBorders>
              <w:top w:val="nil"/>
              <w:left w:val="nil"/>
              <w:bottom w:val="nil"/>
              <w:right w:val="nil"/>
            </w:tcBorders>
            <w:shd w:val="clear" w:color="auto" w:fill="auto"/>
            <w:noWrap/>
            <w:vAlign w:val="center"/>
            <w:hideMark/>
          </w:tcPr>
          <w:p w14:paraId="7FC7AC72"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2A2F81C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-3.392</w:t>
            </w:r>
          </w:p>
        </w:tc>
        <w:tc>
          <w:tcPr>
            <w:tcW w:w="510" w:type="dxa"/>
            <w:tcBorders>
              <w:top w:val="nil"/>
              <w:left w:val="nil"/>
              <w:bottom w:val="nil"/>
              <w:right w:val="single" w:sz="8" w:space="0" w:color="000000"/>
            </w:tcBorders>
            <w:shd w:val="clear" w:color="auto" w:fill="auto"/>
            <w:noWrap/>
            <w:vAlign w:val="center"/>
            <w:hideMark/>
          </w:tcPr>
          <w:p w14:paraId="7B93A75B"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r>
      <w:tr w:rsidR="00576457" w:rsidRPr="00576457" w14:paraId="0424796F" w14:textId="77777777" w:rsidTr="00576457">
        <w:trPr>
          <w:gridAfter w:val="1"/>
          <w:wAfter w:w="6" w:type="dxa"/>
          <w:trHeight w:val="217"/>
        </w:trPr>
        <w:tc>
          <w:tcPr>
            <w:tcW w:w="1247" w:type="dxa"/>
            <w:tcBorders>
              <w:top w:val="nil"/>
              <w:left w:val="single" w:sz="8" w:space="0" w:color="000000"/>
              <w:bottom w:val="nil"/>
              <w:right w:val="single" w:sz="8" w:space="0" w:color="000000"/>
            </w:tcBorders>
            <w:shd w:val="clear" w:color="auto" w:fill="auto"/>
            <w:vAlign w:val="center"/>
            <w:hideMark/>
          </w:tcPr>
          <w:p w14:paraId="0832690E"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LnMCap</w:t>
            </w:r>
            <w:proofErr w:type="spellEnd"/>
          </w:p>
        </w:tc>
        <w:tc>
          <w:tcPr>
            <w:tcW w:w="927" w:type="dxa"/>
            <w:tcBorders>
              <w:top w:val="nil"/>
              <w:left w:val="nil"/>
              <w:bottom w:val="nil"/>
              <w:right w:val="nil"/>
            </w:tcBorders>
            <w:shd w:val="clear" w:color="auto" w:fill="auto"/>
            <w:vAlign w:val="center"/>
            <w:hideMark/>
          </w:tcPr>
          <w:p w14:paraId="10F4FF94"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21FD7AC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-0.731</w:t>
            </w:r>
          </w:p>
        </w:tc>
        <w:tc>
          <w:tcPr>
            <w:tcW w:w="779" w:type="dxa"/>
            <w:tcBorders>
              <w:top w:val="nil"/>
              <w:left w:val="nil"/>
              <w:bottom w:val="nil"/>
              <w:right w:val="nil"/>
            </w:tcBorders>
            <w:shd w:val="clear" w:color="auto" w:fill="auto"/>
            <w:noWrap/>
            <w:vAlign w:val="center"/>
            <w:hideMark/>
          </w:tcPr>
          <w:p w14:paraId="145CE07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-3.950</w:t>
            </w:r>
          </w:p>
        </w:tc>
        <w:tc>
          <w:tcPr>
            <w:tcW w:w="510" w:type="dxa"/>
            <w:tcBorders>
              <w:top w:val="nil"/>
              <w:left w:val="nil"/>
              <w:bottom w:val="nil"/>
              <w:right w:val="nil"/>
            </w:tcBorders>
            <w:shd w:val="clear" w:color="auto" w:fill="auto"/>
            <w:noWrap/>
            <w:vAlign w:val="center"/>
            <w:hideMark/>
          </w:tcPr>
          <w:p w14:paraId="4A1D0954"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56FBC743"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-3.460</w:t>
            </w:r>
          </w:p>
        </w:tc>
        <w:tc>
          <w:tcPr>
            <w:tcW w:w="510" w:type="dxa"/>
            <w:tcBorders>
              <w:top w:val="nil"/>
              <w:left w:val="nil"/>
              <w:bottom w:val="nil"/>
              <w:right w:val="nil"/>
            </w:tcBorders>
            <w:shd w:val="clear" w:color="auto" w:fill="auto"/>
            <w:noWrap/>
            <w:vAlign w:val="center"/>
            <w:hideMark/>
          </w:tcPr>
          <w:p w14:paraId="141836D3"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nil"/>
              <w:left w:val="single" w:sz="8" w:space="0" w:color="000000"/>
              <w:bottom w:val="nil"/>
              <w:right w:val="nil"/>
            </w:tcBorders>
            <w:shd w:val="clear" w:color="auto" w:fill="auto"/>
            <w:vAlign w:val="center"/>
            <w:hideMark/>
          </w:tcPr>
          <w:p w14:paraId="7FFBFC30"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0106BED8"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-0.230</w:t>
            </w:r>
          </w:p>
        </w:tc>
        <w:tc>
          <w:tcPr>
            <w:tcW w:w="779" w:type="dxa"/>
            <w:tcBorders>
              <w:top w:val="nil"/>
              <w:left w:val="nil"/>
              <w:bottom w:val="nil"/>
              <w:right w:val="nil"/>
            </w:tcBorders>
            <w:shd w:val="clear" w:color="auto" w:fill="auto"/>
            <w:noWrap/>
            <w:vAlign w:val="center"/>
            <w:hideMark/>
          </w:tcPr>
          <w:p w14:paraId="7AD40C41"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-2.429</w:t>
            </w:r>
          </w:p>
        </w:tc>
        <w:tc>
          <w:tcPr>
            <w:tcW w:w="510" w:type="dxa"/>
            <w:tcBorders>
              <w:top w:val="nil"/>
              <w:left w:val="nil"/>
              <w:bottom w:val="nil"/>
              <w:right w:val="nil"/>
            </w:tcBorders>
            <w:shd w:val="clear" w:color="auto" w:fill="auto"/>
            <w:noWrap/>
            <w:vAlign w:val="center"/>
            <w:hideMark/>
          </w:tcPr>
          <w:p w14:paraId="33E704C3"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40AE887A"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-3.679</w:t>
            </w:r>
          </w:p>
        </w:tc>
        <w:tc>
          <w:tcPr>
            <w:tcW w:w="510" w:type="dxa"/>
            <w:tcBorders>
              <w:top w:val="nil"/>
              <w:left w:val="nil"/>
              <w:bottom w:val="nil"/>
              <w:right w:val="single" w:sz="8" w:space="0" w:color="000000"/>
            </w:tcBorders>
            <w:shd w:val="clear" w:color="auto" w:fill="auto"/>
            <w:noWrap/>
            <w:vAlign w:val="center"/>
            <w:hideMark/>
          </w:tcPr>
          <w:p w14:paraId="02B68FC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nil"/>
              <w:left w:val="nil"/>
              <w:bottom w:val="nil"/>
              <w:right w:val="nil"/>
            </w:tcBorders>
            <w:shd w:val="clear" w:color="auto" w:fill="auto"/>
            <w:vAlign w:val="center"/>
            <w:hideMark/>
          </w:tcPr>
          <w:p w14:paraId="30B6AEDE"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6B5F51D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0.416</w:t>
            </w:r>
          </w:p>
        </w:tc>
        <w:tc>
          <w:tcPr>
            <w:tcW w:w="779" w:type="dxa"/>
            <w:tcBorders>
              <w:top w:val="nil"/>
              <w:left w:val="nil"/>
              <w:bottom w:val="nil"/>
              <w:right w:val="nil"/>
            </w:tcBorders>
            <w:shd w:val="clear" w:color="auto" w:fill="auto"/>
            <w:noWrap/>
            <w:vAlign w:val="center"/>
            <w:hideMark/>
          </w:tcPr>
          <w:p w14:paraId="42D48C9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4.561</w:t>
            </w:r>
          </w:p>
        </w:tc>
        <w:tc>
          <w:tcPr>
            <w:tcW w:w="510" w:type="dxa"/>
            <w:tcBorders>
              <w:top w:val="nil"/>
              <w:left w:val="nil"/>
              <w:bottom w:val="nil"/>
              <w:right w:val="nil"/>
            </w:tcBorders>
            <w:shd w:val="clear" w:color="auto" w:fill="auto"/>
            <w:noWrap/>
            <w:vAlign w:val="center"/>
            <w:hideMark/>
          </w:tcPr>
          <w:p w14:paraId="6F232A4A"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331A4F1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-5.431</w:t>
            </w:r>
          </w:p>
        </w:tc>
        <w:tc>
          <w:tcPr>
            <w:tcW w:w="510" w:type="dxa"/>
            <w:tcBorders>
              <w:top w:val="nil"/>
              <w:left w:val="nil"/>
              <w:bottom w:val="nil"/>
              <w:right w:val="single" w:sz="8" w:space="0" w:color="000000"/>
            </w:tcBorders>
            <w:shd w:val="clear" w:color="auto" w:fill="auto"/>
            <w:noWrap/>
            <w:vAlign w:val="center"/>
            <w:hideMark/>
          </w:tcPr>
          <w:p w14:paraId="135A2404"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r>
      <w:tr w:rsidR="00576457" w:rsidRPr="00576457" w14:paraId="6711AD46" w14:textId="77777777" w:rsidTr="00576457">
        <w:trPr>
          <w:gridAfter w:val="1"/>
          <w:wAfter w:w="6" w:type="dxa"/>
          <w:trHeight w:val="227"/>
        </w:trPr>
        <w:tc>
          <w:tcPr>
            <w:tcW w:w="1247" w:type="dxa"/>
            <w:tcBorders>
              <w:top w:val="nil"/>
              <w:left w:val="single" w:sz="8" w:space="0" w:color="000000"/>
              <w:bottom w:val="nil"/>
              <w:right w:val="single" w:sz="8" w:space="0" w:color="000000"/>
            </w:tcBorders>
            <w:shd w:val="clear" w:color="auto" w:fill="auto"/>
            <w:vAlign w:val="center"/>
            <w:hideMark/>
          </w:tcPr>
          <w:p w14:paraId="065351D9" w14:textId="77777777" w:rsidR="00576457" w:rsidRPr="00576457" w:rsidRDefault="00576457" w:rsidP="00160EA9">
            <w:pPr>
              <w:spacing w:after="0" w:line="240" w:lineRule="auto"/>
              <w:rPr>
                <w:rFonts w:ascii="Times New Roman" w:eastAsia="Times New Roman" w:hAnsi="Times New Roman" w:cs="Times New Roman"/>
                <w:i/>
                <w:iCs/>
                <w:color w:val="000000"/>
                <w:sz w:val="20"/>
                <w:szCs w:val="20"/>
                <w:lang w:val="en-NZ" w:eastAsia="en-NZ"/>
              </w:rPr>
            </w:pPr>
            <w:r w:rsidRPr="00576457">
              <w:rPr>
                <w:rFonts w:ascii="Times New Roman" w:eastAsia="Times New Roman" w:hAnsi="Times New Roman" w:cs="Times New Roman"/>
                <w:i/>
                <w:iCs/>
                <w:color w:val="000000"/>
                <w:sz w:val="20"/>
                <w:szCs w:val="20"/>
                <w:lang w:val="en-NZ" w:eastAsia="en-NZ"/>
              </w:rPr>
              <w:t>TLTA</w:t>
            </w:r>
          </w:p>
        </w:tc>
        <w:tc>
          <w:tcPr>
            <w:tcW w:w="927" w:type="dxa"/>
            <w:tcBorders>
              <w:top w:val="nil"/>
              <w:left w:val="nil"/>
              <w:bottom w:val="single" w:sz="8" w:space="0" w:color="000000"/>
              <w:right w:val="nil"/>
            </w:tcBorders>
            <w:shd w:val="clear" w:color="auto" w:fill="auto"/>
            <w:vAlign w:val="center"/>
            <w:hideMark/>
          </w:tcPr>
          <w:p w14:paraId="45779FFD"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000000"/>
              <w:right w:val="nil"/>
            </w:tcBorders>
            <w:shd w:val="clear" w:color="auto" w:fill="auto"/>
            <w:noWrap/>
            <w:vAlign w:val="center"/>
            <w:hideMark/>
          </w:tcPr>
          <w:p w14:paraId="1941828E"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-0.038</w:t>
            </w:r>
          </w:p>
        </w:tc>
        <w:tc>
          <w:tcPr>
            <w:tcW w:w="779" w:type="dxa"/>
            <w:tcBorders>
              <w:top w:val="nil"/>
              <w:left w:val="nil"/>
              <w:bottom w:val="single" w:sz="8" w:space="0" w:color="000000"/>
              <w:right w:val="nil"/>
            </w:tcBorders>
            <w:shd w:val="clear" w:color="auto" w:fill="auto"/>
            <w:noWrap/>
            <w:vAlign w:val="center"/>
            <w:hideMark/>
          </w:tcPr>
          <w:p w14:paraId="013A4CAB"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-1.558</w:t>
            </w:r>
          </w:p>
        </w:tc>
        <w:tc>
          <w:tcPr>
            <w:tcW w:w="510" w:type="dxa"/>
            <w:tcBorders>
              <w:top w:val="nil"/>
              <w:left w:val="nil"/>
              <w:bottom w:val="single" w:sz="8" w:space="0" w:color="000000"/>
              <w:right w:val="nil"/>
            </w:tcBorders>
            <w:shd w:val="clear" w:color="auto" w:fill="auto"/>
            <w:noWrap/>
            <w:vAlign w:val="center"/>
            <w:hideMark/>
          </w:tcPr>
          <w:p w14:paraId="349BEFB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734" w:type="dxa"/>
            <w:tcBorders>
              <w:top w:val="nil"/>
              <w:left w:val="nil"/>
              <w:bottom w:val="single" w:sz="8" w:space="0" w:color="000000"/>
              <w:right w:val="nil"/>
            </w:tcBorders>
            <w:shd w:val="clear" w:color="auto" w:fill="auto"/>
            <w:noWrap/>
            <w:vAlign w:val="center"/>
            <w:hideMark/>
          </w:tcPr>
          <w:p w14:paraId="5D4951FF"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-1.637</w:t>
            </w:r>
          </w:p>
        </w:tc>
        <w:tc>
          <w:tcPr>
            <w:tcW w:w="510" w:type="dxa"/>
            <w:tcBorders>
              <w:top w:val="nil"/>
              <w:left w:val="nil"/>
              <w:bottom w:val="single" w:sz="8" w:space="0" w:color="000000"/>
              <w:right w:val="nil"/>
            </w:tcBorders>
            <w:shd w:val="clear" w:color="auto" w:fill="auto"/>
            <w:noWrap/>
            <w:vAlign w:val="center"/>
            <w:hideMark/>
          </w:tcPr>
          <w:p w14:paraId="60DB804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27" w:type="dxa"/>
            <w:tcBorders>
              <w:top w:val="nil"/>
              <w:left w:val="single" w:sz="8" w:space="0" w:color="000000"/>
              <w:bottom w:val="single" w:sz="8" w:space="0" w:color="000000"/>
              <w:right w:val="nil"/>
            </w:tcBorders>
            <w:shd w:val="clear" w:color="auto" w:fill="auto"/>
            <w:vAlign w:val="center"/>
            <w:hideMark/>
          </w:tcPr>
          <w:p w14:paraId="5FD54E2E"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000000"/>
              <w:right w:val="nil"/>
            </w:tcBorders>
            <w:shd w:val="clear" w:color="auto" w:fill="auto"/>
            <w:noWrap/>
            <w:vAlign w:val="center"/>
            <w:hideMark/>
          </w:tcPr>
          <w:p w14:paraId="15251680"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-0.018</w:t>
            </w:r>
          </w:p>
        </w:tc>
        <w:tc>
          <w:tcPr>
            <w:tcW w:w="779" w:type="dxa"/>
            <w:tcBorders>
              <w:top w:val="nil"/>
              <w:left w:val="nil"/>
              <w:bottom w:val="single" w:sz="8" w:space="0" w:color="000000"/>
              <w:right w:val="nil"/>
            </w:tcBorders>
            <w:shd w:val="clear" w:color="auto" w:fill="auto"/>
            <w:noWrap/>
            <w:vAlign w:val="center"/>
            <w:hideMark/>
          </w:tcPr>
          <w:p w14:paraId="4ADCF388"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-1.465</w:t>
            </w:r>
          </w:p>
        </w:tc>
        <w:tc>
          <w:tcPr>
            <w:tcW w:w="510" w:type="dxa"/>
            <w:tcBorders>
              <w:top w:val="nil"/>
              <w:left w:val="nil"/>
              <w:bottom w:val="single" w:sz="8" w:space="0" w:color="000000"/>
              <w:right w:val="nil"/>
            </w:tcBorders>
            <w:shd w:val="clear" w:color="auto" w:fill="auto"/>
            <w:noWrap/>
            <w:vAlign w:val="center"/>
            <w:hideMark/>
          </w:tcPr>
          <w:p w14:paraId="197789BE"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734" w:type="dxa"/>
            <w:tcBorders>
              <w:top w:val="nil"/>
              <w:left w:val="nil"/>
              <w:bottom w:val="single" w:sz="8" w:space="0" w:color="000000"/>
              <w:right w:val="nil"/>
            </w:tcBorders>
            <w:shd w:val="clear" w:color="auto" w:fill="auto"/>
            <w:noWrap/>
            <w:vAlign w:val="center"/>
            <w:hideMark/>
          </w:tcPr>
          <w:p w14:paraId="19EBEFA1"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-2.114</w:t>
            </w:r>
          </w:p>
        </w:tc>
        <w:tc>
          <w:tcPr>
            <w:tcW w:w="510" w:type="dxa"/>
            <w:tcBorders>
              <w:top w:val="nil"/>
              <w:left w:val="nil"/>
              <w:bottom w:val="single" w:sz="8" w:space="0" w:color="000000"/>
              <w:right w:val="single" w:sz="8" w:space="0" w:color="000000"/>
            </w:tcBorders>
            <w:shd w:val="clear" w:color="auto" w:fill="auto"/>
            <w:noWrap/>
            <w:vAlign w:val="center"/>
            <w:hideMark/>
          </w:tcPr>
          <w:p w14:paraId="0B54B069"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927" w:type="dxa"/>
            <w:tcBorders>
              <w:top w:val="nil"/>
              <w:left w:val="nil"/>
              <w:bottom w:val="single" w:sz="8" w:space="0" w:color="000000"/>
              <w:right w:val="nil"/>
            </w:tcBorders>
            <w:shd w:val="clear" w:color="auto" w:fill="auto"/>
            <w:vAlign w:val="center"/>
            <w:hideMark/>
          </w:tcPr>
          <w:p w14:paraId="4B00531B" w14:textId="77777777" w:rsidR="00576457" w:rsidRPr="00576457" w:rsidRDefault="00576457" w:rsidP="00160EA9">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000000"/>
              <w:right w:val="nil"/>
            </w:tcBorders>
            <w:shd w:val="clear" w:color="auto" w:fill="auto"/>
            <w:noWrap/>
            <w:vAlign w:val="center"/>
            <w:hideMark/>
          </w:tcPr>
          <w:p w14:paraId="66811E07"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0.028</w:t>
            </w:r>
          </w:p>
        </w:tc>
        <w:tc>
          <w:tcPr>
            <w:tcW w:w="779" w:type="dxa"/>
            <w:tcBorders>
              <w:top w:val="nil"/>
              <w:left w:val="nil"/>
              <w:bottom w:val="single" w:sz="8" w:space="0" w:color="000000"/>
              <w:right w:val="nil"/>
            </w:tcBorders>
            <w:shd w:val="clear" w:color="auto" w:fill="auto"/>
            <w:noWrap/>
            <w:vAlign w:val="center"/>
            <w:hideMark/>
          </w:tcPr>
          <w:p w14:paraId="0269EFFA"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2.280</w:t>
            </w:r>
          </w:p>
        </w:tc>
        <w:tc>
          <w:tcPr>
            <w:tcW w:w="510" w:type="dxa"/>
            <w:tcBorders>
              <w:top w:val="nil"/>
              <w:left w:val="nil"/>
              <w:bottom w:val="single" w:sz="8" w:space="0" w:color="000000"/>
              <w:right w:val="nil"/>
            </w:tcBorders>
            <w:shd w:val="clear" w:color="auto" w:fill="auto"/>
            <w:noWrap/>
            <w:vAlign w:val="center"/>
            <w:hideMark/>
          </w:tcPr>
          <w:p w14:paraId="3527FFD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single" w:sz="8" w:space="0" w:color="000000"/>
              <w:right w:val="nil"/>
            </w:tcBorders>
            <w:shd w:val="clear" w:color="auto" w:fill="auto"/>
            <w:noWrap/>
            <w:vAlign w:val="center"/>
            <w:hideMark/>
          </w:tcPr>
          <w:p w14:paraId="5A8ED9E3"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-2.944</w:t>
            </w:r>
          </w:p>
        </w:tc>
        <w:tc>
          <w:tcPr>
            <w:tcW w:w="510" w:type="dxa"/>
            <w:tcBorders>
              <w:top w:val="nil"/>
              <w:left w:val="nil"/>
              <w:bottom w:val="single" w:sz="8" w:space="0" w:color="000000"/>
              <w:right w:val="single" w:sz="8" w:space="0" w:color="000000"/>
            </w:tcBorders>
            <w:shd w:val="clear" w:color="auto" w:fill="auto"/>
            <w:noWrap/>
            <w:vAlign w:val="center"/>
            <w:hideMark/>
          </w:tcPr>
          <w:p w14:paraId="3549B0D5"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r>
      <w:tr w:rsidR="00576457" w:rsidRPr="00576457" w14:paraId="1F9154C4" w14:textId="77777777" w:rsidTr="00576457">
        <w:trPr>
          <w:gridAfter w:val="1"/>
          <w:wAfter w:w="6" w:type="dxa"/>
          <w:trHeight w:val="426"/>
        </w:trPr>
        <w:tc>
          <w:tcPr>
            <w:tcW w:w="124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3144BA" w14:textId="77777777" w:rsidR="00576457" w:rsidRPr="00576457" w:rsidRDefault="00576457" w:rsidP="00160EA9">
            <w:pPr>
              <w:spacing w:after="0" w:line="240" w:lineRule="auto"/>
              <w:rPr>
                <w:rFonts w:ascii="Times New Roman" w:eastAsia="Times New Roman" w:hAnsi="Times New Roman" w:cs="Times New Roman"/>
                <w:b/>
                <w:bCs/>
                <w:color w:val="000000"/>
                <w:sz w:val="20"/>
                <w:szCs w:val="20"/>
                <w:lang w:val="en-NZ" w:eastAsia="en-NZ"/>
              </w:rPr>
            </w:pPr>
            <w:r w:rsidRPr="00576457">
              <w:rPr>
                <w:rFonts w:ascii="Times New Roman" w:eastAsia="Times New Roman" w:hAnsi="Times New Roman" w:cs="Times New Roman"/>
                <w:b/>
                <w:bCs/>
                <w:color w:val="000000"/>
                <w:sz w:val="20"/>
                <w:szCs w:val="20"/>
                <w:lang w:val="en-NZ" w:eastAsia="en-NZ"/>
              </w:rPr>
              <w:t>Binary variables</w:t>
            </w:r>
          </w:p>
        </w:tc>
        <w:tc>
          <w:tcPr>
            <w:tcW w:w="927" w:type="dxa"/>
            <w:tcBorders>
              <w:top w:val="nil"/>
              <w:left w:val="nil"/>
              <w:bottom w:val="single" w:sz="8" w:space="0" w:color="000000"/>
              <w:right w:val="nil"/>
            </w:tcBorders>
            <w:shd w:val="clear" w:color="auto" w:fill="auto"/>
            <w:vAlign w:val="center"/>
            <w:hideMark/>
          </w:tcPr>
          <w:p w14:paraId="7926556E"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single" w:sz="8" w:space="0" w:color="000000"/>
              <w:right w:val="nil"/>
            </w:tcBorders>
            <w:shd w:val="clear" w:color="auto" w:fill="auto"/>
            <w:noWrap/>
            <w:vAlign w:val="center"/>
            <w:hideMark/>
          </w:tcPr>
          <w:p w14:paraId="4EA85033"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289" w:type="dxa"/>
            <w:gridSpan w:val="2"/>
            <w:tcBorders>
              <w:top w:val="single" w:sz="8" w:space="0" w:color="000000"/>
              <w:left w:val="nil"/>
              <w:bottom w:val="single" w:sz="8" w:space="0" w:color="000000"/>
              <w:right w:val="nil"/>
            </w:tcBorders>
            <w:shd w:val="clear" w:color="auto" w:fill="auto"/>
            <w:noWrap/>
            <w:vAlign w:val="center"/>
            <w:hideMark/>
          </w:tcPr>
          <w:p w14:paraId="2A199C74" w14:textId="16A92BE8" w:rsidR="00576457" w:rsidRPr="00576457" w:rsidRDefault="00576457" w:rsidP="007B1620">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Chi-</w:t>
            </w:r>
            <w:r w:rsidR="007B1620">
              <w:rPr>
                <w:rFonts w:ascii="Times New Roman" w:eastAsia="Times New Roman" w:hAnsi="Times New Roman" w:cs="Times New Roman"/>
                <w:b/>
                <w:bCs/>
                <w:i/>
                <w:iCs/>
                <w:color w:val="000000"/>
                <w:sz w:val="20"/>
                <w:szCs w:val="20"/>
                <w:lang w:val="en-NZ" w:eastAsia="en-NZ"/>
              </w:rPr>
              <w:t>s</w:t>
            </w:r>
            <w:r w:rsidRPr="00576457">
              <w:rPr>
                <w:rFonts w:ascii="Times New Roman" w:eastAsia="Times New Roman" w:hAnsi="Times New Roman" w:cs="Times New Roman"/>
                <w:b/>
                <w:bCs/>
                <w:i/>
                <w:iCs/>
                <w:color w:val="000000"/>
                <w:sz w:val="20"/>
                <w:szCs w:val="20"/>
                <w:lang w:val="en-NZ" w:eastAsia="en-NZ"/>
              </w:rPr>
              <w:t>quare</w:t>
            </w:r>
          </w:p>
        </w:tc>
        <w:tc>
          <w:tcPr>
            <w:tcW w:w="734" w:type="dxa"/>
            <w:tcBorders>
              <w:top w:val="nil"/>
              <w:left w:val="nil"/>
              <w:bottom w:val="single" w:sz="8" w:space="0" w:color="000000"/>
              <w:right w:val="nil"/>
            </w:tcBorders>
            <w:shd w:val="clear" w:color="auto" w:fill="auto"/>
            <w:noWrap/>
            <w:vAlign w:val="center"/>
            <w:hideMark/>
          </w:tcPr>
          <w:p w14:paraId="3393E582"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single" w:sz="8" w:space="0" w:color="000000"/>
            </w:tcBorders>
            <w:shd w:val="clear" w:color="auto" w:fill="auto"/>
            <w:noWrap/>
            <w:vAlign w:val="center"/>
            <w:hideMark/>
          </w:tcPr>
          <w:p w14:paraId="4BD87E1F"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27" w:type="dxa"/>
            <w:tcBorders>
              <w:top w:val="nil"/>
              <w:left w:val="nil"/>
              <w:bottom w:val="single" w:sz="8" w:space="0" w:color="000000"/>
              <w:right w:val="nil"/>
            </w:tcBorders>
            <w:shd w:val="clear" w:color="auto" w:fill="auto"/>
            <w:vAlign w:val="center"/>
            <w:hideMark/>
          </w:tcPr>
          <w:p w14:paraId="4B6B598E"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single" w:sz="8" w:space="0" w:color="000000"/>
              <w:right w:val="nil"/>
            </w:tcBorders>
            <w:shd w:val="clear" w:color="auto" w:fill="auto"/>
            <w:noWrap/>
            <w:vAlign w:val="center"/>
            <w:hideMark/>
          </w:tcPr>
          <w:p w14:paraId="705784CF"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289" w:type="dxa"/>
            <w:gridSpan w:val="2"/>
            <w:tcBorders>
              <w:top w:val="single" w:sz="8" w:space="0" w:color="000000"/>
              <w:left w:val="nil"/>
              <w:bottom w:val="single" w:sz="8" w:space="0" w:color="000000"/>
              <w:right w:val="nil"/>
            </w:tcBorders>
            <w:shd w:val="clear" w:color="auto" w:fill="auto"/>
            <w:noWrap/>
            <w:vAlign w:val="center"/>
            <w:hideMark/>
          </w:tcPr>
          <w:p w14:paraId="688EEC70" w14:textId="7AA45735" w:rsidR="00576457" w:rsidRPr="00576457" w:rsidRDefault="00576457" w:rsidP="007B1620">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Chi-</w:t>
            </w:r>
            <w:r w:rsidR="007B1620">
              <w:rPr>
                <w:rFonts w:ascii="Times New Roman" w:eastAsia="Times New Roman" w:hAnsi="Times New Roman" w:cs="Times New Roman"/>
                <w:b/>
                <w:bCs/>
                <w:i/>
                <w:iCs/>
                <w:color w:val="000000"/>
                <w:sz w:val="20"/>
                <w:szCs w:val="20"/>
                <w:lang w:val="en-NZ" w:eastAsia="en-NZ"/>
              </w:rPr>
              <w:t>s</w:t>
            </w:r>
            <w:r w:rsidRPr="00576457">
              <w:rPr>
                <w:rFonts w:ascii="Times New Roman" w:eastAsia="Times New Roman" w:hAnsi="Times New Roman" w:cs="Times New Roman"/>
                <w:b/>
                <w:bCs/>
                <w:i/>
                <w:iCs/>
                <w:color w:val="000000"/>
                <w:sz w:val="20"/>
                <w:szCs w:val="20"/>
                <w:lang w:val="en-NZ" w:eastAsia="en-NZ"/>
              </w:rPr>
              <w:t>quare</w:t>
            </w:r>
          </w:p>
        </w:tc>
        <w:tc>
          <w:tcPr>
            <w:tcW w:w="734" w:type="dxa"/>
            <w:tcBorders>
              <w:top w:val="nil"/>
              <w:left w:val="nil"/>
              <w:bottom w:val="single" w:sz="8" w:space="0" w:color="000000"/>
              <w:right w:val="nil"/>
            </w:tcBorders>
            <w:shd w:val="clear" w:color="auto" w:fill="auto"/>
            <w:noWrap/>
            <w:vAlign w:val="center"/>
            <w:hideMark/>
          </w:tcPr>
          <w:p w14:paraId="4E116C9D"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single" w:sz="8" w:space="0" w:color="000000"/>
            </w:tcBorders>
            <w:shd w:val="clear" w:color="auto" w:fill="auto"/>
            <w:noWrap/>
            <w:vAlign w:val="center"/>
            <w:hideMark/>
          </w:tcPr>
          <w:p w14:paraId="0D809A68"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27" w:type="dxa"/>
            <w:tcBorders>
              <w:top w:val="nil"/>
              <w:left w:val="nil"/>
              <w:bottom w:val="single" w:sz="8" w:space="0" w:color="000000"/>
              <w:right w:val="nil"/>
            </w:tcBorders>
            <w:shd w:val="clear" w:color="auto" w:fill="auto"/>
            <w:vAlign w:val="center"/>
            <w:hideMark/>
          </w:tcPr>
          <w:p w14:paraId="19B03351"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Predict sign</w:t>
            </w:r>
          </w:p>
        </w:tc>
        <w:tc>
          <w:tcPr>
            <w:tcW w:w="1205" w:type="dxa"/>
            <w:tcBorders>
              <w:top w:val="nil"/>
              <w:left w:val="nil"/>
              <w:bottom w:val="single" w:sz="8" w:space="0" w:color="000000"/>
              <w:right w:val="nil"/>
            </w:tcBorders>
            <w:shd w:val="clear" w:color="auto" w:fill="auto"/>
            <w:noWrap/>
            <w:vAlign w:val="center"/>
            <w:hideMark/>
          </w:tcPr>
          <w:p w14:paraId="17AD725C" w14:textId="77777777" w:rsidR="00576457" w:rsidRPr="00576457" w:rsidRDefault="00576457" w:rsidP="00160EA9">
            <w:pPr>
              <w:spacing w:after="0" w:line="240" w:lineRule="auto"/>
              <w:jc w:val="center"/>
              <w:rPr>
                <w:rFonts w:ascii="Times New Roman" w:eastAsia="Times New Roman" w:hAnsi="Times New Roman" w:cs="Times New Roman"/>
                <w:b/>
                <w:bCs/>
                <w:i/>
                <w:iCs/>
                <w:color w:val="000000"/>
                <w:sz w:val="20"/>
                <w:szCs w:val="20"/>
                <w:lang w:val="en-NZ" w:eastAsia="en-NZ"/>
              </w:rPr>
            </w:pPr>
            <w:r w:rsidRPr="00576457">
              <w:rPr>
                <w:rFonts w:ascii="Times New Roman" w:eastAsia="Times New Roman" w:hAnsi="Times New Roman" w:cs="Times New Roman"/>
                <w:b/>
                <w:bCs/>
                <w:i/>
                <w:iCs/>
                <w:color w:val="000000"/>
                <w:sz w:val="20"/>
                <w:szCs w:val="20"/>
                <w:lang w:val="en-NZ" w:eastAsia="en-NZ"/>
              </w:rPr>
              <w:t>Mean diff.</w:t>
            </w:r>
          </w:p>
        </w:tc>
        <w:tc>
          <w:tcPr>
            <w:tcW w:w="1289" w:type="dxa"/>
            <w:gridSpan w:val="2"/>
            <w:tcBorders>
              <w:top w:val="single" w:sz="8" w:space="0" w:color="000000"/>
              <w:left w:val="nil"/>
              <w:bottom w:val="single" w:sz="8" w:space="0" w:color="000000"/>
              <w:right w:val="nil"/>
            </w:tcBorders>
            <w:shd w:val="clear" w:color="auto" w:fill="auto"/>
            <w:noWrap/>
            <w:vAlign w:val="center"/>
            <w:hideMark/>
          </w:tcPr>
          <w:p w14:paraId="7408F548" w14:textId="3EDCC62F" w:rsidR="00576457" w:rsidRPr="00576457" w:rsidRDefault="007B1620" w:rsidP="00160EA9">
            <w:pPr>
              <w:spacing w:after="0" w:line="240" w:lineRule="auto"/>
              <w:jc w:val="center"/>
              <w:rPr>
                <w:rFonts w:ascii="Times New Roman" w:eastAsia="Times New Roman" w:hAnsi="Times New Roman" w:cs="Times New Roman"/>
                <w:b/>
                <w:bCs/>
                <w:i/>
                <w:iCs/>
                <w:color w:val="000000"/>
                <w:sz w:val="20"/>
                <w:szCs w:val="20"/>
                <w:lang w:val="en-NZ" w:eastAsia="en-NZ"/>
              </w:rPr>
            </w:pPr>
            <w:r>
              <w:rPr>
                <w:rFonts w:ascii="Times New Roman" w:eastAsia="Times New Roman" w:hAnsi="Times New Roman" w:cs="Times New Roman"/>
                <w:b/>
                <w:bCs/>
                <w:i/>
                <w:iCs/>
                <w:color w:val="000000"/>
                <w:sz w:val="20"/>
                <w:szCs w:val="20"/>
                <w:lang w:val="en-NZ" w:eastAsia="en-NZ"/>
              </w:rPr>
              <w:t>Chi-s</w:t>
            </w:r>
            <w:r w:rsidR="00576457" w:rsidRPr="00576457">
              <w:rPr>
                <w:rFonts w:ascii="Times New Roman" w:eastAsia="Times New Roman" w:hAnsi="Times New Roman" w:cs="Times New Roman"/>
                <w:b/>
                <w:bCs/>
                <w:i/>
                <w:iCs/>
                <w:color w:val="000000"/>
                <w:sz w:val="20"/>
                <w:szCs w:val="20"/>
                <w:lang w:val="en-NZ" w:eastAsia="en-NZ"/>
              </w:rPr>
              <w:t>quare</w:t>
            </w:r>
          </w:p>
        </w:tc>
        <w:tc>
          <w:tcPr>
            <w:tcW w:w="734" w:type="dxa"/>
            <w:tcBorders>
              <w:top w:val="nil"/>
              <w:left w:val="nil"/>
              <w:bottom w:val="single" w:sz="8" w:space="0" w:color="000000"/>
              <w:right w:val="nil"/>
            </w:tcBorders>
            <w:shd w:val="clear" w:color="auto" w:fill="auto"/>
            <w:noWrap/>
            <w:vAlign w:val="center"/>
            <w:hideMark/>
          </w:tcPr>
          <w:p w14:paraId="16B6BE66" w14:textId="77777777" w:rsidR="00576457" w:rsidRPr="00576457" w:rsidRDefault="00576457" w:rsidP="00160EA9">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single" w:sz="8" w:space="0" w:color="000000"/>
            </w:tcBorders>
            <w:shd w:val="clear" w:color="auto" w:fill="auto"/>
            <w:noWrap/>
            <w:vAlign w:val="center"/>
            <w:hideMark/>
          </w:tcPr>
          <w:p w14:paraId="7BB3109D" w14:textId="77777777" w:rsidR="00576457" w:rsidRPr="00576457" w:rsidRDefault="00576457" w:rsidP="00160EA9">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738281A4" w14:textId="77777777" w:rsidTr="00576457">
        <w:trPr>
          <w:gridAfter w:val="1"/>
          <w:wAfter w:w="6" w:type="dxa"/>
          <w:trHeight w:val="217"/>
        </w:trPr>
        <w:tc>
          <w:tcPr>
            <w:tcW w:w="1247" w:type="dxa"/>
            <w:tcBorders>
              <w:top w:val="nil"/>
              <w:left w:val="single" w:sz="8" w:space="0" w:color="000000"/>
              <w:bottom w:val="nil"/>
              <w:right w:val="single" w:sz="8" w:space="0" w:color="000000"/>
            </w:tcBorders>
            <w:shd w:val="clear" w:color="auto" w:fill="auto"/>
            <w:vAlign w:val="center"/>
            <w:hideMark/>
          </w:tcPr>
          <w:p w14:paraId="256DB540" w14:textId="77777777" w:rsidR="00576457" w:rsidRPr="00576457" w:rsidRDefault="00576457" w:rsidP="00262F10">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AnlCov</w:t>
            </w:r>
            <w:proofErr w:type="spellEnd"/>
          </w:p>
        </w:tc>
        <w:tc>
          <w:tcPr>
            <w:tcW w:w="927" w:type="dxa"/>
            <w:tcBorders>
              <w:top w:val="nil"/>
              <w:left w:val="nil"/>
              <w:bottom w:val="nil"/>
              <w:right w:val="nil"/>
            </w:tcBorders>
            <w:shd w:val="clear" w:color="auto" w:fill="auto"/>
            <w:vAlign w:val="center"/>
            <w:hideMark/>
          </w:tcPr>
          <w:p w14:paraId="7CCF2E1D"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332914E2"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-0.186</w:t>
            </w:r>
          </w:p>
        </w:tc>
        <w:tc>
          <w:tcPr>
            <w:tcW w:w="779" w:type="dxa"/>
            <w:tcBorders>
              <w:top w:val="nil"/>
              <w:left w:val="nil"/>
              <w:bottom w:val="nil"/>
              <w:right w:val="nil"/>
            </w:tcBorders>
            <w:shd w:val="clear" w:color="auto" w:fill="auto"/>
            <w:noWrap/>
            <w:vAlign w:val="center"/>
            <w:hideMark/>
          </w:tcPr>
          <w:p w14:paraId="4A12EFCD"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12.437</w:t>
            </w:r>
          </w:p>
        </w:tc>
        <w:tc>
          <w:tcPr>
            <w:tcW w:w="510" w:type="dxa"/>
            <w:tcBorders>
              <w:top w:val="nil"/>
              <w:left w:val="nil"/>
              <w:bottom w:val="nil"/>
              <w:right w:val="nil"/>
            </w:tcBorders>
            <w:shd w:val="clear" w:color="auto" w:fill="auto"/>
            <w:noWrap/>
            <w:vAlign w:val="center"/>
            <w:hideMark/>
          </w:tcPr>
          <w:p w14:paraId="5386732C"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67FD47CF"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p>
        </w:tc>
        <w:tc>
          <w:tcPr>
            <w:tcW w:w="510" w:type="dxa"/>
            <w:tcBorders>
              <w:top w:val="nil"/>
              <w:left w:val="nil"/>
              <w:bottom w:val="nil"/>
              <w:right w:val="nil"/>
            </w:tcBorders>
            <w:shd w:val="clear" w:color="auto" w:fill="auto"/>
            <w:noWrap/>
            <w:vAlign w:val="center"/>
            <w:hideMark/>
          </w:tcPr>
          <w:p w14:paraId="7AB8AE75" w14:textId="77777777" w:rsidR="00576457" w:rsidRPr="00576457" w:rsidRDefault="00576457" w:rsidP="00262F10">
            <w:pPr>
              <w:spacing w:after="0" w:line="240" w:lineRule="auto"/>
              <w:jc w:val="right"/>
              <w:rPr>
                <w:rFonts w:ascii="Times New Roman" w:eastAsia="Times New Roman" w:hAnsi="Times New Roman" w:cs="Times New Roman"/>
                <w:sz w:val="20"/>
                <w:szCs w:val="20"/>
                <w:lang w:val="en-NZ" w:eastAsia="en-NZ"/>
              </w:rPr>
            </w:pPr>
          </w:p>
        </w:tc>
        <w:tc>
          <w:tcPr>
            <w:tcW w:w="927" w:type="dxa"/>
            <w:tcBorders>
              <w:top w:val="nil"/>
              <w:left w:val="single" w:sz="8" w:space="0" w:color="000000"/>
              <w:bottom w:val="nil"/>
              <w:right w:val="nil"/>
            </w:tcBorders>
            <w:shd w:val="clear" w:color="auto" w:fill="auto"/>
            <w:vAlign w:val="center"/>
            <w:hideMark/>
          </w:tcPr>
          <w:p w14:paraId="1A09ABAD"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000BD85B"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-0.177</w:t>
            </w:r>
          </w:p>
        </w:tc>
        <w:tc>
          <w:tcPr>
            <w:tcW w:w="779" w:type="dxa"/>
            <w:tcBorders>
              <w:top w:val="nil"/>
              <w:left w:val="nil"/>
              <w:bottom w:val="nil"/>
              <w:right w:val="nil"/>
            </w:tcBorders>
            <w:shd w:val="clear" w:color="auto" w:fill="auto"/>
            <w:noWrap/>
            <w:vAlign w:val="center"/>
            <w:hideMark/>
          </w:tcPr>
          <w:p w14:paraId="6177B9A1"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44.097</w:t>
            </w:r>
          </w:p>
        </w:tc>
        <w:tc>
          <w:tcPr>
            <w:tcW w:w="510" w:type="dxa"/>
            <w:tcBorders>
              <w:top w:val="nil"/>
              <w:left w:val="nil"/>
              <w:bottom w:val="nil"/>
              <w:right w:val="nil"/>
            </w:tcBorders>
            <w:shd w:val="clear" w:color="auto" w:fill="auto"/>
            <w:noWrap/>
            <w:vAlign w:val="center"/>
            <w:hideMark/>
          </w:tcPr>
          <w:p w14:paraId="49193386"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66DA8195"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p>
        </w:tc>
        <w:tc>
          <w:tcPr>
            <w:tcW w:w="510" w:type="dxa"/>
            <w:tcBorders>
              <w:top w:val="nil"/>
              <w:left w:val="nil"/>
              <w:bottom w:val="nil"/>
              <w:right w:val="single" w:sz="8" w:space="0" w:color="000000"/>
            </w:tcBorders>
            <w:shd w:val="clear" w:color="auto" w:fill="auto"/>
            <w:noWrap/>
            <w:vAlign w:val="center"/>
            <w:hideMark/>
          </w:tcPr>
          <w:p w14:paraId="67AA0C2A"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27" w:type="dxa"/>
            <w:tcBorders>
              <w:top w:val="nil"/>
              <w:left w:val="nil"/>
              <w:bottom w:val="nil"/>
              <w:right w:val="nil"/>
            </w:tcBorders>
            <w:shd w:val="clear" w:color="auto" w:fill="auto"/>
            <w:vAlign w:val="center"/>
            <w:hideMark/>
          </w:tcPr>
          <w:p w14:paraId="01A19BB3"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nil"/>
              <w:right w:val="nil"/>
            </w:tcBorders>
            <w:shd w:val="clear" w:color="auto" w:fill="auto"/>
            <w:noWrap/>
            <w:vAlign w:val="center"/>
            <w:hideMark/>
          </w:tcPr>
          <w:p w14:paraId="2FDEDFD8"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0.225</w:t>
            </w:r>
          </w:p>
        </w:tc>
        <w:tc>
          <w:tcPr>
            <w:tcW w:w="779" w:type="dxa"/>
            <w:tcBorders>
              <w:top w:val="nil"/>
              <w:left w:val="nil"/>
              <w:bottom w:val="nil"/>
              <w:right w:val="nil"/>
            </w:tcBorders>
            <w:shd w:val="clear" w:color="auto" w:fill="auto"/>
            <w:noWrap/>
            <w:vAlign w:val="center"/>
            <w:hideMark/>
          </w:tcPr>
          <w:p w14:paraId="143E35B1"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71.103</w:t>
            </w:r>
          </w:p>
        </w:tc>
        <w:tc>
          <w:tcPr>
            <w:tcW w:w="510" w:type="dxa"/>
            <w:tcBorders>
              <w:top w:val="nil"/>
              <w:left w:val="nil"/>
              <w:bottom w:val="nil"/>
              <w:right w:val="nil"/>
            </w:tcBorders>
            <w:shd w:val="clear" w:color="auto" w:fill="auto"/>
            <w:noWrap/>
            <w:vAlign w:val="center"/>
            <w:hideMark/>
          </w:tcPr>
          <w:p w14:paraId="319E8C93"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nil"/>
              <w:right w:val="nil"/>
            </w:tcBorders>
            <w:shd w:val="clear" w:color="auto" w:fill="auto"/>
            <w:noWrap/>
            <w:vAlign w:val="center"/>
            <w:hideMark/>
          </w:tcPr>
          <w:p w14:paraId="2A83A740"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p>
        </w:tc>
        <w:tc>
          <w:tcPr>
            <w:tcW w:w="510" w:type="dxa"/>
            <w:tcBorders>
              <w:top w:val="nil"/>
              <w:left w:val="nil"/>
              <w:bottom w:val="nil"/>
              <w:right w:val="single" w:sz="8" w:space="0" w:color="000000"/>
            </w:tcBorders>
            <w:shd w:val="clear" w:color="auto" w:fill="auto"/>
            <w:noWrap/>
            <w:vAlign w:val="center"/>
            <w:hideMark/>
          </w:tcPr>
          <w:p w14:paraId="17B41B28"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r w:rsidR="00576457" w:rsidRPr="00576457" w14:paraId="0C8BEB0B" w14:textId="77777777" w:rsidTr="00576457">
        <w:trPr>
          <w:gridAfter w:val="1"/>
          <w:wAfter w:w="6" w:type="dxa"/>
          <w:trHeight w:val="227"/>
        </w:trPr>
        <w:tc>
          <w:tcPr>
            <w:tcW w:w="1247" w:type="dxa"/>
            <w:tcBorders>
              <w:top w:val="nil"/>
              <w:left w:val="single" w:sz="8" w:space="0" w:color="000000"/>
              <w:bottom w:val="single" w:sz="8" w:space="0" w:color="000000"/>
              <w:right w:val="single" w:sz="8" w:space="0" w:color="000000"/>
            </w:tcBorders>
            <w:shd w:val="clear" w:color="auto" w:fill="auto"/>
            <w:vAlign w:val="center"/>
            <w:hideMark/>
          </w:tcPr>
          <w:p w14:paraId="70B46A4C" w14:textId="77777777" w:rsidR="00576457" w:rsidRPr="00576457" w:rsidRDefault="00576457" w:rsidP="00262F10">
            <w:pPr>
              <w:spacing w:after="0" w:line="240" w:lineRule="auto"/>
              <w:rPr>
                <w:rFonts w:ascii="Times New Roman" w:eastAsia="Times New Roman" w:hAnsi="Times New Roman" w:cs="Times New Roman"/>
                <w:i/>
                <w:iCs/>
                <w:color w:val="000000"/>
                <w:sz w:val="20"/>
                <w:szCs w:val="20"/>
                <w:lang w:val="en-NZ" w:eastAsia="en-NZ"/>
              </w:rPr>
            </w:pPr>
            <w:proofErr w:type="spellStart"/>
            <w:r w:rsidRPr="00576457">
              <w:rPr>
                <w:rFonts w:ascii="Times New Roman" w:eastAsia="Times New Roman" w:hAnsi="Times New Roman" w:cs="Times New Roman"/>
                <w:i/>
                <w:iCs/>
                <w:color w:val="000000"/>
                <w:sz w:val="20"/>
                <w:szCs w:val="20"/>
                <w:lang w:val="en-NZ" w:eastAsia="en-NZ"/>
              </w:rPr>
              <w:t>CFO_Dum</w:t>
            </w:r>
            <w:proofErr w:type="spellEnd"/>
          </w:p>
        </w:tc>
        <w:tc>
          <w:tcPr>
            <w:tcW w:w="927" w:type="dxa"/>
            <w:tcBorders>
              <w:top w:val="nil"/>
              <w:left w:val="nil"/>
              <w:bottom w:val="single" w:sz="8" w:space="0" w:color="000000"/>
              <w:right w:val="nil"/>
            </w:tcBorders>
            <w:shd w:val="clear" w:color="auto" w:fill="auto"/>
            <w:vAlign w:val="center"/>
            <w:hideMark/>
          </w:tcPr>
          <w:p w14:paraId="545ED5A0"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auto"/>
              <w:right w:val="nil"/>
            </w:tcBorders>
            <w:shd w:val="clear" w:color="auto" w:fill="auto"/>
            <w:noWrap/>
            <w:vAlign w:val="center"/>
            <w:hideMark/>
          </w:tcPr>
          <w:p w14:paraId="55364A3E"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-0.118</w:t>
            </w:r>
          </w:p>
        </w:tc>
        <w:tc>
          <w:tcPr>
            <w:tcW w:w="779" w:type="dxa"/>
            <w:tcBorders>
              <w:top w:val="nil"/>
              <w:left w:val="nil"/>
              <w:bottom w:val="single" w:sz="8" w:space="0" w:color="auto"/>
              <w:right w:val="nil"/>
            </w:tcBorders>
            <w:shd w:val="clear" w:color="auto" w:fill="auto"/>
            <w:noWrap/>
            <w:vAlign w:val="center"/>
            <w:hideMark/>
          </w:tcPr>
          <w:p w14:paraId="1ECB14AD"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4.725</w:t>
            </w:r>
          </w:p>
        </w:tc>
        <w:tc>
          <w:tcPr>
            <w:tcW w:w="510" w:type="dxa"/>
            <w:tcBorders>
              <w:top w:val="nil"/>
              <w:left w:val="nil"/>
              <w:bottom w:val="single" w:sz="8" w:space="0" w:color="auto"/>
              <w:right w:val="nil"/>
            </w:tcBorders>
            <w:shd w:val="clear" w:color="auto" w:fill="auto"/>
            <w:noWrap/>
            <w:vAlign w:val="center"/>
            <w:hideMark/>
          </w:tcPr>
          <w:p w14:paraId="6FE4F6C1"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single" w:sz="8" w:space="0" w:color="000000"/>
              <w:right w:val="nil"/>
            </w:tcBorders>
            <w:shd w:val="clear" w:color="auto" w:fill="auto"/>
            <w:noWrap/>
            <w:vAlign w:val="center"/>
            <w:hideMark/>
          </w:tcPr>
          <w:p w14:paraId="3DDB3603"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nil"/>
            </w:tcBorders>
            <w:shd w:val="clear" w:color="auto" w:fill="auto"/>
            <w:noWrap/>
            <w:vAlign w:val="center"/>
            <w:hideMark/>
          </w:tcPr>
          <w:p w14:paraId="1DB3DA26" w14:textId="77777777" w:rsidR="00576457" w:rsidRPr="00576457" w:rsidRDefault="00576457" w:rsidP="00262F10">
            <w:pPr>
              <w:spacing w:after="0" w:line="240" w:lineRule="auto"/>
              <w:rPr>
                <w:rFonts w:ascii="Calibri" w:eastAsia="Times New Roman" w:hAnsi="Calibri" w:cs="Times New Roman"/>
                <w:color w:val="000000"/>
                <w:lang w:val="en-NZ" w:eastAsia="en-NZ"/>
              </w:rPr>
            </w:pPr>
            <w:r w:rsidRPr="00576457">
              <w:rPr>
                <w:rFonts w:ascii="Calibri" w:eastAsia="Times New Roman" w:hAnsi="Calibri" w:cs="Times New Roman"/>
                <w:color w:val="000000"/>
                <w:lang w:val="en-NZ" w:eastAsia="en-NZ"/>
              </w:rPr>
              <w:t> </w:t>
            </w:r>
          </w:p>
        </w:tc>
        <w:tc>
          <w:tcPr>
            <w:tcW w:w="927" w:type="dxa"/>
            <w:tcBorders>
              <w:top w:val="nil"/>
              <w:left w:val="single" w:sz="8" w:space="0" w:color="000000"/>
              <w:bottom w:val="single" w:sz="8" w:space="0" w:color="auto"/>
              <w:right w:val="nil"/>
            </w:tcBorders>
            <w:shd w:val="clear" w:color="auto" w:fill="auto"/>
            <w:vAlign w:val="center"/>
            <w:hideMark/>
          </w:tcPr>
          <w:p w14:paraId="17C49B1B"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auto"/>
              <w:right w:val="nil"/>
            </w:tcBorders>
            <w:shd w:val="clear" w:color="auto" w:fill="auto"/>
            <w:noWrap/>
            <w:vAlign w:val="center"/>
            <w:hideMark/>
          </w:tcPr>
          <w:p w14:paraId="6C7F103B"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-0.116</w:t>
            </w:r>
          </w:p>
        </w:tc>
        <w:tc>
          <w:tcPr>
            <w:tcW w:w="779" w:type="dxa"/>
            <w:tcBorders>
              <w:top w:val="nil"/>
              <w:left w:val="nil"/>
              <w:bottom w:val="single" w:sz="8" w:space="0" w:color="auto"/>
              <w:right w:val="nil"/>
            </w:tcBorders>
            <w:shd w:val="clear" w:color="auto" w:fill="auto"/>
            <w:noWrap/>
            <w:vAlign w:val="center"/>
            <w:hideMark/>
          </w:tcPr>
          <w:p w14:paraId="619E94D4"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18.056</w:t>
            </w:r>
          </w:p>
        </w:tc>
        <w:tc>
          <w:tcPr>
            <w:tcW w:w="510" w:type="dxa"/>
            <w:tcBorders>
              <w:top w:val="nil"/>
              <w:left w:val="nil"/>
              <w:bottom w:val="single" w:sz="8" w:space="0" w:color="auto"/>
              <w:right w:val="nil"/>
            </w:tcBorders>
            <w:shd w:val="clear" w:color="auto" w:fill="auto"/>
            <w:noWrap/>
            <w:vAlign w:val="center"/>
            <w:hideMark/>
          </w:tcPr>
          <w:p w14:paraId="1BC06A5A"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single" w:sz="8" w:space="0" w:color="000000"/>
              <w:right w:val="nil"/>
            </w:tcBorders>
            <w:shd w:val="clear" w:color="auto" w:fill="auto"/>
            <w:noWrap/>
            <w:vAlign w:val="center"/>
            <w:hideMark/>
          </w:tcPr>
          <w:p w14:paraId="3FBCB04C"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single" w:sz="8" w:space="0" w:color="000000"/>
            </w:tcBorders>
            <w:shd w:val="clear" w:color="auto" w:fill="auto"/>
            <w:noWrap/>
            <w:vAlign w:val="center"/>
            <w:hideMark/>
          </w:tcPr>
          <w:p w14:paraId="44C436E4"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927" w:type="dxa"/>
            <w:tcBorders>
              <w:top w:val="nil"/>
              <w:left w:val="nil"/>
              <w:bottom w:val="single" w:sz="8" w:space="0" w:color="000000"/>
              <w:right w:val="nil"/>
            </w:tcBorders>
            <w:shd w:val="clear" w:color="auto" w:fill="auto"/>
            <w:vAlign w:val="center"/>
            <w:hideMark/>
          </w:tcPr>
          <w:p w14:paraId="367A9628" w14:textId="77777777" w:rsidR="00576457" w:rsidRPr="00576457" w:rsidRDefault="00576457" w:rsidP="00262F10">
            <w:pPr>
              <w:spacing w:after="0" w:line="240" w:lineRule="auto"/>
              <w:jc w:val="center"/>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1205" w:type="dxa"/>
            <w:tcBorders>
              <w:top w:val="nil"/>
              <w:left w:val="nil"/>
              <w:bottom w:val="single" w:sz="8" w:space="0" w:color="auto"/>
              <w:right w:val="nil"/>
            </w:tcBorders>
            <w:shd w:val="clear" w:color="auto" w:fill="auto"/>
            <w:noWrap/>
            <w:vAlign w:val="center"/>
            <w:hideMark/>
          </w:tcPr>
          <w:p w14:paraId="17DF4165"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0.147</w:t>
            </w:r>
          </w:p>
        </w:tc>
        <w:tc>
          <w:tcPr>
            <w:tcW w:w="779" w:type="dxa"/>
            <w:tcBorders>
              <w:top w:val="nil"/>
              <w:left w:val="nil"/>
              <w:bottom w:val="single" w:sz="8" w:space="0" w:color="auto"/>
              <w:right w:val="nil"/>
            </w:tcBorders>
            <w:shd w:val="clear" w:color="auto" w:fill="auto"/>
            <w:noWrap/>
            <w:vAlign w:val="center"/>
            <w:hideMark/>
          </w:tcPr>
          <w:p w14:paraId="6ADC7064"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28.664</w:t>
            </w:r>
          </w:p>
        </w:tc>
        <w:tc>
          <w:tcPr>
            <w:tcW w:w="510" w:type="dxa"/>
            <w:tcBorders>
              <w:top w:val="nil"/>
              <w:left w:val="nil"/>
              <w:bottom w:val="single" w:sz="8" w:space="0" w:color="auto"/>
              <w:right w:val="nil"/>
            </w:tcBorders>
            <w:shd w:val="clear" w:color="auto" w:fill="auto"/>
            <w:noWrap/>
            <w:vAlign w:val="center"/>
            <w:hideMark/>
          </w:tcPr>
          <w:p w14:paraId="25D0AF14"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w:t>
            </w:r>
          </w:p>
        </w:tc>
        <w:tc>
          <w:tcPr>
            <w:tcW w:w="734" w:type="dxa"/>
            <w:tcBorders>
              <w:top w:val="nil"/>
              <w:left w:val="nil"/>
              <w:bottom w:val="single" w:sz="8" w:space="0" w:color="000000"/>
              <w:right w:val="nil"/>
            </w:tcBorders>
            <w:shd w:val="clear" w:color="auto" w:fill="auto"/>
            <w:noWrap/>
            <w:vAlign w:val="center"/>
            <w:hideMark/>
          </w:tcPr>
          <w:p w14:paraId="51D96AC1" w14:textId="77777777" w:rsidR="00576457" w:rsidRPr="00576457" w:rsidRDefault="00576457" w:rsidP="00262F10">
            <w:pPr>
              <w:spacing w:after="0" w:line="240" w:lineRule="auto"/>
              <w:jc w:val="right"/>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c>
          <w:tcPr>
            <w:tcW w:w="510" w:type="dxa"/>
            <w:tcBorders>
              <w:top w:val="nil"/>
              <w:left w:val="nil"/>
              <w:bottom w:val="single" w:sz="8" w:space="0" w:color="000000"/>
              <w:right w:val="single" w:sz="8" w:space="0" w:color="000000"/>
            </w:tcBorders>
            <w:shd w:val="clear" w:color="auto" w:fill="auto"/>
            <w:noWrap/>
            <w:vAlign w:val="center"/>
            <w:hideMark/>
          </w:tcPr>
          <w:p w14:paraId="1CE15BD0" w14:textId="77777777" w:rsidR="00576457" w:rsidRPr="00576457" w:rsidRDefault="00576457" w:rsidP="00262F10">
            <w:pPr>
              <w:spacing w:after="0" w:line="240" w:lineRule="auto"/>
              <w:rPr>
                <w:rFonts w:ascii="Times New Roman" w:eastAsia="Times New Roman" w:hAnsi="Times New Roman" w:cs="Times New Roman"/>
                <w:color w:val="000000"/>
                <w:sz w:val="20"/>
                <w:szCs w:val="20"/>
                <w:lang w:val="en-NZ" w:eastAsia="en-NZ"/>
              </w:rPr>
            </w:pPr>
            <w:r w:rsidRPr="00576457">
              <w:rPr>
                <w:rFonts w:ascii="Times New Roman" w:eastAsia="Times New Roman" w:hAnsi="Times New Roman" w:cs="Times New Roman"/>
                <w:color w:val="000000"/>
                <w:sz w:val="20"/>
                <w:szCs w:val="20"/>
                <w:lang w:val="en-NZ" w:eastAsia="en-NZ"/>
              </w:rPr>
              <w:t> </w:t>
            </w:r>
          </w:p>
        </w:tc>
      </w:tr>
    </w:tbl>
    <w:p w14:paraId="394CBE16" w14:textId="3F681E4F" w:rsidR="009C25D5" w:rsidRPr="00576457" w:rsidRDefault="00576457" w:rsidP="00BC26A7">
      <w:pPr>
        <w:spacing w:after="0" w:line="240" w:lineRule="auto"/>
        <w:jc w:val="both"/>
        <w:rPr>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t>T</w:t>
      </w:r>
      <w:r w:rsidR="009C25D5" w:rsidRPr="00D92911">
        <w:rPr>
          <w:rFonts w:ascii="Times New Roman" w:hAnsi="Times New Roman"/>
          <w:sz w:val="20"/>
          <w:szCs w:val="20"/>
        </w:rPr>
        <w:t xml:space="preserve">able </w:t>
      </w:r>
      <w:r w:rsidR="009C25D5">
        <w:rPr>
          <w:rFonts w:ascii="Times New Roman" w:hAnsi="Times New Roman"/>
          <w:sz w:val="20"/>
          <w:szCs w:val="20"/>
        </w:rPr>
        <w:t>2</w:t>
      </w:r>
      <w:r w:rsidR="009C25D5" w:rsidRPr="00D92911">
        <w:rPr>
          <w:rFonts w:ascii="Times New Roman" w:hAnsi="Times New Roman"/>
          <w:sz w:val="20"/>
          <w:szCs w:val="20"/>
        </w:rPr>
        <w:t xml:space="preserve"> </w:t>
      </w:r>
      <w:r w:rsidR="009C25D5">
        <w:rPr>
          <w:rFonts w:ascii="Times New Roman" w:hAnsi="Times New Roman"/>
          <w:sz w:val="20"/>
          <w:szCs w:val="20"/>
        </w:rPr>
        <w:t>tests differences in the firm characteris</w:t>
      </w:r>
      <w:r w:rsidR="007B1620">
        <w:rPr>
          <w:rFonts w:ascii="Times New Roman" w:hAnsi="Times New Roman"/>
          <w:sz w:val="20"/>
          <w:szCs w:val="20"/>
        </w:rPr>
        <w:t xml:space="preserve">tics of each disclosure outlet, with </w:t>
      </w:r>
      <w:r w:rsidR="007B1620">
        <w:rPr>
          <w:rFonts w:ascii="Times New Roman" w:eastAsia="MS Mincho" w:hAnsi="Times New Roman" w:cs="Times New Roman"/>
          <w:sz w:val="20"/>
          <w:szCs w:val="20"/>
          <w:lang w:val="en-NZ" w:eastAsia="ja-JP"/>
        </w:rPr>
        <w:t>S</w:t>
      </w:r>
      <w:r w:rsidR="007B1620" w:rsidRPr="00D92911">
        <w:rPr>
          <w:rFonts w:ascii="Times New Roman" w:eastAsia="MS Mincho" w:hAnsi="Times New Roman" w:cs="Times New Roman"/>
          <w:sz w:val="20"/>
          <w:szCs w:val="20"/>
          <w:lang w:val="en-NZ" w:eastAsia="ja-JP"/>
        </w:rPr>
        <w:t xml:space="preserve">tudent </w:t>
      </w:r>
      <w:r w:rsidR="007B1620" w:rsidRPr="00D92911">
        <w:rPr>
          <w:rFonts w:ascii="Times New Roman" w:eastAsia="MS Mincho" w:hAnsi="Times New Roman" w:cs="Times New Roman"/>
          <w:i/>
          <w:sz w:val="20"/>
          <w:szCs w:val="20"/>
          <w:lang w:val="en-NZ" w:eastAsia="ja-JP"/>
        </w:rPr>
        <w:t>t</w:t>
      </w:r>
      <w:r w:rsidR="007B1620" w:rsidRPr="00D92911">
        <w:rPr>
          <w:rFonts w:ascii="Times New Roman" w:eastAsia="MS Mincho" w:hAnsi="Times New Roman" w:cs="Times New Roman"/>
          <w:sz w:val="20"/>
          <w:szCs w:val="20"/>
          <w:lang w:val="en-NZ" w:eastAsia="ja-JP"/>
        </w:rPr>
        <w:t xml:space="preserve">-tests and paired </w:t>
      </w:r>
      <w:r w:rsidR="007B1620">
        <w:rPr>
          <w:rFonts w:ascii="Times New Roman" w:eastAsia="MS Mincho" w:hAnsi="Times New Roman" w:cs="Times New Roman"/>
          <w:sz w:val="20"/>
          <w:szCs w:val="20"/>
          <w:lang w:val="en-NZ" w:eastAsia="ja-JP"/>
        </w:rPr>
        <w:t xml:space="preserve">Mann-Whitney </w:t>
      </w:r>
      <w:r w:rsidR="007B1620" w:rsidRPr="00561DAB">
        <w:rPr>
          <w:rFonts w:ascii="Times New Roman" w:eastAsia="MS Mincho" w:hAnsi="Times New Roman" w:cs="Times New Roman"/>
          <w:i/>
          <w:sz w:val="20"/>
          <w:szCs w:val="20"/>
          <w:lang w:val="en-NZ" w:eastAsia="ja-JP"/>
        </w:rPr>
        <w:t>U</w:t>
      </w:r>
      <w:r w:rsidR="007B1620" w:rsidRPr="00D92911">
        <w:rPr>
          <w:rFonts w:ascii="Times New Roman" w:eastAsia="MS Mincho" w:hAnsi="Times New Roman" w:cs="Times New Roman"/>
          <w:sz w:val="20"/>
          <w:szCs w:val="20"/>
          <w:lang w:val="en-NZ" w:eastAsia="ja-JP"/>
        </w:rPr>
        <w:t xml:space="preserve"> rank tests</w:t>
      </w:r>
      <w:r w:rsidR="007B1620">
        <w:rPr>
          <w:rFonts w:ascii="Times New Roman" w:eastAsia="MS Mincho" w:hAnsi="Times New Roman" w:cs="Times New Roman"/>
          <w:sz w:val="20"/>
          <w:szCs w:val="20"/>
          <w:lang w:val="en-NZ" w:eastAsia="ja-JP"/>
        </w:rPr>
        <w:t xml:space="preserve"> on continuous variables, and the </w:t>
      </w:r>
      <w:r w:rsidR="007B1620" w:rsidRPr="007B1620">
        <w:rPr>
          <w:rFonts w:ascii="Times New Roman" w:eastAsia="MS Mincho" w:hAnsi="Times New Roman" w:cs="Times New Roman"/>
          <w:i/>
          <w:sz w:val="20"/>
          <w:szCs w:val="20"/>
          <w:lang w:val="en-NZ" w:eastAsia="ja-JP"/>
        </w:rPr>
        <w:t>Chi</w:t>
      </w:r>
      <w:r w:rsidR="007B1620">
        <w:rPr>
          <w:rFonts w:ascii="Times New Roman" w:eastAsia="MS Mincho" w:hAnsi="Times New Roman" w:cs="Times New Roman"/>
          <w:sz w:val="20"/>
          <w:szCs w:val="20"/>
          <w:lang w:val="en-NZ" w:eastAsia="ja-JP"/>
        </w:rPr>
        <w:t xml:space="preserve">-square test for binary variables. Panel </w:t>
      </w:r>
      <w:proofErr w:type="gramStart"/>
      <w:r w:rsidR="007B1620">
        <w:rPr>
          <w:rFonts w:ascii="Times New Roman" w:eastAsia="MS Mincho" w:hAnsi="Times New Roman" w:cs="Times New Roman"/>
          <w:sz w:val="20"/>
          <w:szCs w:val="20"/>
          <w:lang w:val="en-NZ" w:eastAsia="ja-JP"/>
        </w:rPr>
        <w:t>A</w:t>
      </w:r>
      <w:proofErr w:type="gramEnd"/>
      <w:r w:rsidR="007B1620">
        <w:rPr>
          <w:rFonts w:ascii="Times New Roman" w:eastAsia="MS Mincho" w:hAnsi="Times New Roman" w:cs="Times New Roman"/>
          <w:sz w:val="20"/>
          <w:szCs w:val="20"/>
          <w:lang w:val="en-NZ" w:eastAsia="ja-JP"/>
        </w:rPr>
        <w:t xml:space="preserve"> reports results on the subsample of 171 observations where firms use all three disclosure </w:t>
      </w:r>
      <w:r w:rsidR="00BC26A7">
        <w:rPr>
          <w:rFonts w:ascii="Times New Roman" w:eastAsia="MS Mincho" w:hAnsi="Times New Roman" w:cs="Times New Roman"/>
          <w:sz w:val="20"/>
          <w:szCs w:val="20"/>
          <w:lang w:val="en-NZ" w:eastAsia="ja-JP"/>
        </w:rPr>
        <w:t>outlets</w:t>
      </w:r>
      <w:r w:rsidR="007B1620">
        <w:rPr>
          <w:rFonts w:ascii="Times New Roman" w:eastAsia="MS Mincho" w:hAnsi="Times New Roman" w:cs="Times New Roman"/>
          <w:sz w:val="20"/>
          <w:szCs w:val="20"/>
          <w:lang w:val="en-NZ" w:eastAsia="ja-JP"/>
        </w:rPr>
        <w:t xml:space="preserve">, and Panel B reports results for the full sample of </w:t>
      </w:r>
      <w:r w:rsidR="00526CD2">
        <w:rPr>
          <w:rFonts w:ascii="Times New Roman" w:eastAsia="MS Mincho" w:hAnsi="Times New Roman" w:cs="Times New Roman"/>
          <w:sz w:val="20"/>
          <w:szCs w:val="20"/>
          <w:lang w:val="en-NZ" w:eastAsia="ja-JP"/>
        </w:rPr>
        <w:t>1,316</w:t>
      </w:r>
      <w:r w:rsidR="00BC26A7">
        <w:rPr>
          <w:rFonts w:ascii="Times New Roman" w:eastAsia="MS Mincho" w:hAnsi="Times New Roman" w:cs="Times New Roman"/>
          <w:sz w:val="20"/>
          <w:szCs w:val="20"/>
          <w:lang w:val="en-NZ" w:eastAsia="ja-JP"/>
        </w:rPr>
        <w:t xml:space="preserve"> observations from </w:t>
      </w:r>
      <w:r w:rsidR="007B1620">
        <w:rPr>
          <w:rFonts w:ascii="Times New Roman" w:eastAsia="MS Mincho" w:hAnsi="Times New Roman" w:cs="Times New Roman"/>
          <w:sz w:val="20"/>
          <w:szCs w:val="20"/>
          <w:lang w:val="en-NZ" w:eastAsia="ja-JP"/>
        </w:rPr>
        <w:t xml:space="preserve">resource firms that use </w:t>
      </w:r>
      <w:r w:rsidR="00BC26A7">
        <w:rPr>
          <w:rFonts w:ascii="Times New Roman" w:eastAsia="MS Mincho" w:hAnsi="Times New Roman" w:cs="Times New Roman"/>
          <w:sz w:val="20"/>
          <w:szCs w:val="20"/>
          <w:lang w:val="en-NZ" w:eastAsia="ja-JP"/>
        </w:rPr>
        <w:t>any</w:t>
      </w:r>
      <w:r w:rsidR="007B1620">
        <w:rPr>
          <w:rFonts w:ascii="Times New Roman" w:eastAsia="MS Mincho" w:hAnsi="Times New Roman" w:cs="Times New Roman"/>
          <w:sz w:val="20"/>
          <w:szCs w:val="20"/>
          <w:lang w:val="en-NZ" w:eastAsia="ja-JP"/>
        </w:rPr>
        <w:t xml:space="preserve"> disclosure outlet</w:t>
      </w:r>
      <w:r w:rsidR="009C25D5">
        <w:rPr>
          <w:rFonts w:ascii="Times New Roman" w:eastAsia="MS Mincho" w:hAnsi="Times New Roman" w:cs="Times New Roman"/>
          <w:sz w:val="20"/>
          <w:szCs w:val="20"/>
          <w:lang w:val="en-NZ" w:eastAsia="ja-JP"/>
        </w:rPr>
        <w:t xml:space="preserve">. </w:t>
      </w:r>
      <w:r w:rsidR="00C812F1" w:rsidRPr="00C812F1">
        <w:rPr>
          <w:rFonts w:ascii="Times New Roman" w:eastAsia="MS Mincho" w:hAnsi="Times New Roman" w:cs="Times New Roman"/>
          <w:sz w:val="20"/>
          <w:szCs w:val="20"/>
          <w:lang w:val="en-NZ" w:eastAsia="ja-JP"/>
        </w:rPr>
        <w:t>Variables</w:t>
      </w:r>
      <w:r w:rsidR="00C812F1">
        <w:rPr>
          <w:rFonts w:ascii="Times New Roman" w:hAnsi="Times New Roman"/>
          <w:sz w:val="20"/>
          <w:szCs w:val="20"/>
        </w:rPr>
        <w:t xml:space="preserve"> are as defined in Table 1.</w:t>
      </w:r>
      <w:r w:rsidR="009C25D5">
        <w:rPr>
          <w:rFonts w:ascii="Times New Roman" w:hAnsi="Times New Roman"/>
          <w:sz w:val="20"/>
          <w:szCs w:val="20"/>
        </w:rPr>
        <w:t xml:space="preserve"> </w:t>
      </w:r>
      <w:r w:rsidR="009C25D5">
        <w:rPr>
          <w:rFonts w:ascii="Times New Roman" w:eastAsia="MS Mincho" w:hAnsi="Times New Roman" w:cs="Times New Roman"/>
          <w:sz w:val="20"/>
          <w:szCs w:val="20"/>
          <w:lang w:val="en-NZ" w:eastAsia="ja-JP"/>
        </w:rPr>
        <w:t>Two</w:t>
      </w:r>
      <w:r w:rsidR="009C25D5" w:rsidRPr="00D92911">
        <w:rPr>
          <w:rFonts w:ascii="Times New Roman" w:eastAsia="MS Mincho" w:hAnsi="Times New Roman" w:cs="Times New Roman"/>
          <w:sz w:val="20"/>
          <w:szCs w:val="20"/>
          <w:lang w:val="en-NZ" w:eastAsia="ja-JP"/>
        </w:rPr>
        <w:t>-tailed test of significance: *** = less than 0.01, ** = less than 0 .0</w:t>
      </w:r>
      <w:r w:rsidR="009C25D5">
        <w:rPr>
          <w:rFonts w:ascii="Times New Roman" w:eastAsia="MS Mincho" w:hAnsi="Times New Roman" w:cs="Times New Roman"/>
          <w:sz w:val="20"/>
          <w:szCs w:val="20"/>
          <w:lang w:val="en-NZ" w:eastAsia="ja-JP"/>
        </w:rPr>
        <w:t>5</w:t>
      </w:r>
      <w:r w:rsidR="009C25D5" w:rsidRPr="00D92911">
        <w:rPr>
          <w:rFonts w:ascii="Times New Roman" w:eastAsia="MS Mincho" w:hAnsi="Times New Roman" w:cs="Times New Roman"/>
          <w:sz w:val="20"/>
          <w:szCs w:val="20"/>
          <w:lang w:val="en-NZ" w:eastAsia="ja-JP"/>
        </w:rPr>
        <w:t xml:space="preserve"> and * = less than 0.</w:t>
      </w:r>
      <w:r w:rsidR="009C25D5">
        <w:rPr>
          <w:rFonts w:ascii="Times New Roman" w:eastAsia="MS Mincho" w:hAnsi="Times New Roman" w:cs="Times New Roman"/>
          <w:sz w:val="20"/>
          <w:szCs w:val="20"/>
          <w:lang w:val="en-NZ" w:eastAsia="ja-JP"/>
        </w:rPr>
        <w:t>1</w:t>
      </w:r>
      <w:r w:rsidR="009C25D5" w:rsidRPr="00D92911">
        <w:rPr>
          <w:rFonts w:ascii="Times New Roman" w:eastAsia="MS Mincho" w:hAnsi="Times New Roman" w:cs="Times New Roman"/>
          <w:sz w:val="20"/>
          <w:szCs w:val="20"/>
          <w:lang w:val="en-NZ" w:eastAsia="ja-JP"/>
        </w:rPr>
        <w:t>.</w:t>
      </w:r>
    </w:p>
    <w:p w14:paraId="115B299C" w14:textId="77777777" w:rsidR="00576457" w:rsidRDefault="00576457" w:rsidP="009C25D5">
      <w:pPr>
        <w:rPr>
          <w:rFonts w:ascii="Times New Roman" w:hAnsi="Times New Roman"/>
          <w:b/>
          <w:sz w:val="24"/>
          <w:szCs w:val="24"/>
        </w:rPr>
        <w:sectPr w:rsidR="00576457" w:rsidSect="00D4489B">
          <w:pgSz w:w="16838" w:h="11906" w:orient="landscape"/>
          <w:pgMar w:top="1440" w:right="1440" w:bottom="1440" w:left="1440" w:header="708" w:footer="708" w:gutter="0"/>
          <w:cols w:space="708"/>
          <w:docGrid w:linePitch="360"/>
        </w:sectPr>
      </w:pPr>
    </w:p>
    <w:p w14:paraId="027E14FF" w14:textId="7129B5B6" w:rsidR="009C25D5" w:rsidRDefault="009C25D5" w:rsidP="00576457">
      <w:pPr>
        <w:spacing w:after="0" w:line="480" w:lineRule="auto"/>
        <w:rPr>
          <w:rFonts w:ascii="Times New Roman" w:hAnsi="Times New Roman"/>
          <w:b/>
          <w:sz w:val="24"/>
          <w:szCs w:val="24"/>
        </w:rPr>
      </w:pPr>
      <w:r>
        <w:rPr>
          <w:rFonts w:ascii="Times New Roman" w:hAnsi="Times New Roman"/>
          <w:b/>
          <w:sz w:val="24"/>
          <w:szCs w:val="24"/>
        </w:rPr>
        <w:lastRenderedPageBreak/>
        <w:t>Table 3: Logit regression on diff</w:t>
      </w:r>
      <w:r w:rsidR="00BC26A7">
        <w:rPr>
          <w:rFonts w:ascii="Times New Roman" w:hAnsi="Times New Roman"/>
          <w:b/>
          <w:sz w:val="24"/>
          <w:szCs w:val="24"/>
        </w:rPr>
        <w:t>erences in firm characteristics</w:t>
      </w:r>
    </w:p>
    <w:p w14:paraId="284092D6" w14:textId="385BC0A4" w:rsidR="00576457" w:rsidRPr="009C25D5" w:rsidRDefault="00576457" w:rsidP="00576457">
      <w:pPr>
        <w:spacing w:after="0" w:line="480" w:lineRule="auto"/>
        <w:rPr>
          <w:rFonts w:ascii="Times New Roman" w:hAnsi="Times New Roman"/>
          <w:b/>
          <w:sz w:val="24"/>
          <w:szCs w:val="24"/>
        </w:rPr>
      </w:pPr>
      <w:r>
        <w:rPr>
          <w:rFonts w:ascii="Times New Roman" w:hAnsi="Times New Roman"/>
          <w:b/>
          <w:sz w:val="24"/>
          <w:szCs w:val="24"/>
        </w:rPr>
        <w:t xml:space="preserve">Panel A: </w:t>
      </w:r>
      <w:r w:rsidR="00236027">
        <w:rPr>
          <w:rFonts w:ascii="Times New Roman" w:hAnsi="Times New Roman"/>
          <w:b/>
          <w:sz w:val="24"/>
          <w:szCs w:val="24"/>
        </w:rPr>
        <w:t>Disclosure</w:t>
      </w:r>
      <w:r>
        <w:rPr>
          <w:rFonts w:ascii="Times New Roman" w:hAnsi="Times New Roman"/>
          <w:b/>
          <w:sz w:val="24"/>
          <w:szCs w:val="24"/>
        </w:rPr>
        <w:t xml:space="preserve"> subsample</w:t>
      </w:r>
    </w:p>
    <w:tbl>
      <w:tblPr>
        <w:tblW w:w="9140" w:type="dxa"/>
        <w:tblInd w:w="93" w:type="dxa"/>
        <w:tblLook w:val="04A0" w:firstRow="1" w:lastRow="0" w:firstColumn="1" w:lastColumn="0" w:noHBand="0" w:noVBand="1"/>
      </w:tblPr>
      <w:tblGrid>
        <w:gridCol w:w="1570"/>
        <w:gridCol w:w="1008"/>
        <w:gridCol w:w="1070"/>
        <w:gridCol w:w="428"/>
        <w:gridCol w:w="1119"/>
        <w:gridCol w:w="1119"/>
        <w:gridCol w:w="320"/>
        <w:gridCol w:w="939"/>
        <w:gridCol w:w="997"/>
        <w:gridCol w:w="570"/>
      </w:tblGrid>
      <w:tr w:rsidR="00A13DA5" w:rsidRPr="00332FCD" w14:paraId="56D8419B" w14:textId="77777777" w:rsidTr="00576457">
        <w:trPr>
          <w:trHeight w:val="250"/>
        </w:trPr>
        <w:tc>
          <w:tcPr>
            <w:tcW w:w="1570" w:type="dxa"/>
            <w:tcBorders>
              <w:top w:val="single" w:sz="8" w:space="0" w:color="auto"/>
              <w:left w:val="single" w:sz="8" w:space="0" w:color="000000"/>
              <w:right w:val="single" w:sz="8" w:space="0" w:color="000000"/>
            </w:tcBorders>
            <w:shd w:val="clear" w:color="auto" w:fill="auto"/>
            <w:vAlign w:val="center"/>
          </w:tcPr>
          <w:p w14:paraId="39F82BF1" w14:textId="77777777" w:rsidR="00A13DA5" w:rsidRPr="00576457" w:rsidRDefault="00A13DA5" w:rsidP="00A13DA5">
            <w:pPr>
              <w:spacing w:after="0" w:line="240" w:lineRule="auto"/>
              <w:rPr>
                <w:rFonts w:ascii="Times New Roman" w:eastAsia="Times New Roman" w:hAnsi="Times New Roman" w:cs="Times New Roman"/>
                <w:b/>
                <w:bCs/>
                <w:color w:val="000000"/>
                <w:sz w:val="20"/>
                <w:szCs w:val="20"/>
                <w:lang w:eastAsia="en-AU"/>
              </w:rPr>
            </w:pPr>
          </w:p>
        </w:tc>
        <w:tc>
          <w:tcPr>
            <w:tcW w:w="2506" w:type="dxa"/>
            <w:gridSpan w:val="3"/>
            <w:tcBorders>
              <w:top w:val="single" w:sz="8" w:space="0" w:color="000000"/>
              <w:left w:val="nil"/>
              <w:right w:val="single" w:sz="8" w:space="0" w:color="000000"/>
            </w:tcBorders>
            <w:shd w:val="clear" w:color="auto" w:fill="auto"/>
            <w:noWrap/>
            <w:vAlign w:val="center"/>
          </w:tcPr>
          <w:p w14:paraId="00BA83F7"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Model I</w:t>
            </w:r>
          </w:p>
        </w:tc>
        <w:tc>
          <w:tcPr>
            <w:tcW w:w="2558" w:type="dxa"/>
            <w:gridSpan w:val="3"/>
            <w:tcBorders>
              <w:top w:val="single" w:sz="8" w:space="0" w:color="000000"/>
              <w:left w:val="nil"/>
              <w:right w:val="single" w:sz="8" w:space="0" w:color="000000"/>
            </w:tcBorders>
            <w:shd w:val="clear" w:color="auto" w:fill="auto"/>
            <w:noWrap/>
            <w:vAlign w:val="center"/>
          </w:tcPr>
          <w:p w14:paraId="0E6542D2"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Model II</w:t>
            </w:r>
          </w:p>
        </w:tc>
        <w:tc>
          <w:tcPr>
            <w:tcW w:w="2506" w:type="dxa"/>
            <w:gridSpan w:val="3"/>
            <w:tcBorders>
              <w:top w:val="single" w:sz="8" w:space="0" w:color="000000"/>
              <w:left w:val="nil"/>
              <w:right w:val="single" w:sz="8" w:space="0" w:color="000000"/>
            </w:tcBorders>
            <w:shd w:val="clear" w:color="auto" w:fill="auto"/>
            <w:noWrap/>
            <w:vAlign w:val="center"/>
          </w:tcPr>
          <w:p w14:paraId="5DC12C95"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Model III</w:t>
            </w:r>
          </w:p>
        </w:tc>
      </w:tr>
      <w:tr w:rsidR="00A13DA5" w:rsidRPr="00332FCD" w14:paraId="3E34D044" w14:textId="77777777" w:rsidTr="00576457">
        <w:trPr>
          <w:trHeight w:val="250"/>
        </w:trPr>
        <w:tc>
          <w:tcPr>
            <w:tcW w:w="1570" w:type="dxa"/>
            <w:vMerge w:val="restart"/>
            <w:tcBorders>
              <w:left w:val="single" w:sz="8" w:space="0" w:color="000000"/>
              <w:bottom w:val="single" w:sz="8" w:space="0" w:color="000000"/>
              <w:right w:val="single" w:sz="8" w:space="0" w:color="000000"/>
            </w:tcBorders>
            <w:shd w:val="clear" w:color="auto" w:fill="auto"/>
            <w:vAlign w:val="center"/>
            <w:hideMark/>
          </w:tcPr>
          <w:p w14:paraId="4159C800" w14:textId="77777777" w:rsidR="00A13DA5" w:rsidRPr="00576457" w:rsidRDefault="00A13DA5" w:rsidP="00A13DA5">
            <w:pPr>
              <w:spacing w:after="0" w:line="240" w:lineRule="auto"/>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Variables</w:t>
            </w:r>
          </w:p>
        </w:tc>
        <w:tc>
          <w:tcPr>
            <w:tcW w:w="2506" w:type="dxa"/>
            <w:gridSpan w:val="3"/>
            <w:tcBorders>
              <w:left w:val="nil"/>
              <w:bottom w:val="nil"/>
              <w:right w:val="single" w:sz="8" w:space="0" w:color="000000"/>
            </w:tcBorders>
            <w:shd w:val="clear" w:color="auto" w:fill="auto"/>
            <w:noWrap/>
            <w:vAlign w:val="center"/>
            <w:hideMark/>
          </w:tcPr>
          <w:p w14:paraId="2C5A8909"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Purchased analyst research = 1</w:t>
            </w:r>
          </w:p>
        </w:tc>
        <w:tc>
          <w:tcPr>
            <w:tcW w:w="2558" w:type="dxa"/>
            <w:gridSpan w:val="3"/>
            <w:tcBorders>
              <w:left w:val="nil"/>
              <w:bottom w:val="nil"/>
              <w:right w:val="single" w:sz="8" w:space="0" w:color="000000"/>
            </w:tcBorders>
            <w:shd w:val="clear" w:color="auto" w:fill="auto"/>
            <w:noWrap/>
            <w:vAlign w:val="center"/>
            <w:hideMark/>
          </w:tcPr>
          <w:p w14:paraId="2847DA5D"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Investor presentations = 1</w:t>
            </w:r>
          </w:p>
        </w:tc>
        <w:tc>
          <w:tcPr>
            <w:tcW w:w="2506" w:type="dxa"/>
            <w:gridSpan w:val="3"/>
            <w:tcBorders>
              <w:left w:val="nil"/>
              <w:bottom w:val="nil"/>
              <w:right w:val="single" w:sz="8" w:space="0" w:color="000000"/>
            </w:tcBorders>
            <w:shd w:val="clear" w:color="auto" w:fill="auto"/>
            <w:noWrap/>
            <w:vAlign w:val="center"/>
            <w:hideMark/>
          </w:tcPr>
          <w:p w14:paraId="6790EF2F" w14:textId="77777777" w:rsidR="00A13DA5" w:rsidRPr="00576457" w:rsidRDefault="00A13DA5" w:rsidP="00A13DA5">
            <w:pPr>
              <w:spacing w:after="0" w:line="240" w:lineRule="auto"/>
              <w:jc w:val="center"/>
              <w:rPr>
                <w:rFonts w:ascii="Times New Roman" w:eastAsia="Times New Roman" w:hAnsi="Times New Roman" w:cs="Times New Roman"/>
                <w:b/>
                <w:bCs/>
                <w:color w:val="000000"/>
                <w:sz w:val="20"/>
                <w:szCs w:val="20"/>
                <w:lang w:eastAsia="en-AU"/>
              </w:rPr>
            </w:pPr>
            <w:r w:rsidRPr="00576457">
              <w:rPr>
                <w:rFonts w:ascii="Times New Roman" w:eastAsia="Times New Roman" w:hAnsi="Times New Roman" w:cs="Times New Roman"/>
                <w:b/>
                <w:bCs/>
                <w:color w:val="000000"/>
                <w:sz w:val="20"/>
                <w:szCs w:val="20"/>
                <w:lang w:eastAsia="en-AU"/>
              </w:rPr>
              <w:t>Open Briefings = 1</w:t>
            </w:r>
          </w:p>
        </w:tc>
      </w:tr>
      <w:tr w:rsidR="00A13DA5" w:rsidRPr="00332FCD" w14:paraId="2C2C53FC" w14:textId="77777777" w:rsidTr="00576457">
        <w:trPr>
          <w:trHeight w:val="265"/>
        </w:trPr>
        <w:tc>
          <w:tcPr>
            <w:tcW w:w="1570" w:type="dxa"/>
            <w:vMerge/>
            <w:tcBorders>
              <w:top w:val="nil"/>
              <w:left w:val="single" w:sz="8" w:space="0" w:color="000000"/>
              <w:bottom w:val="single" w:sz="8" w:space="0" w:color="000000"/>
              <w:right w:val="single" w:sz="8" w:space="0" w:color="000000"/>
            </w:tcBorders>
            <w:vAlign w:val="center"/>
            <w:hideMark/>
          </w:tcPr>
          <w:p w14:paraId="0B2693A7" w14:textId="77777777" w:rsidR="00A13DA5" w:rsidRPr="00576457" w:rsidRDefault="00A13DA5" w:rsidP="00A13DA5">
            <w:pPr>
              <w:spacing w:after="0" w:line="240" w:lineRule="auto"/>
              <w:rPr>
                <w:rFonts w:ascii="Times New Roman" w:eastAsia="Times New Roman" w:hAnsi="Times New Roman" w:cs="Times New Roman"/>
                <w:b/>
                <w:bCs/>
                <w:color w:val="000000"/>
                <w:sz w:val="20"/>
                <w:szCs w:val="20"/>
                <w:lang w:eastAsia="en-AU"/>
              </w:rPr>
            </w:pPr>
          </w:p>
        </w:tc>
        <w:tc>
          <w:tcPr>
            <w:tcW w:w="1008" w:type="dxa"/>
            <w:tcBorders>
              <w:top w:val="nil"/>
              <w:left w:val="nil"/>
              <w:bottom w:val="single" w:sz="8" w:space="0" w:color="000000"/>
              <w:right w:val="nil"/>
            </w:tcBorders>
            <w:shd w:val="clear" w:color="auto" w:fill="auto"/>
            <w:noWrap/>
            <w:vAlign w:val="center"/>
            <w:hideMark/>
          </w:tcPr>
          <w:p w14:paraId="61FB2410"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576457">
              <w:rPr>
                <w:rFonts w:ascii="Times New Roman" w:eastAsia="Times New Roman" w:hAnsi="Times New Roman" w:cs="Times New Roman"/>
                <w:b/>
                <w:bCs/>
                <w:i/>
                <w:iCs/>
                <w:color w:val="000000"/>
                <w:sz w:val="20"/>
                <w:szCs w:val="20"/>
                <w:lang w:eastAsia="en-AU"/>
              </w:rPr>
              <w:t>coeff</w:t>
            </w:r>
            <w:proofErr w:type="spellEnd"/>
            <w:proofErr w:type="gramEnd"/>
            <w:r w:rsidRPr="00576457">
              <w:rPr>
                <w:rFonts w:ascii="Times New Roman" w:eastAsia="Times New Roman" w:hAnsi="Times New Roman" w:cs="Times New Roman"/>
                <w:b/>
                <w:bCs/>
                <w:i/>
                <w:iCs/>
                <w:color w:val="000000"/>
                <w:sz w:val="20"/>
                <w:szCs w:val="20"/>
                <w:lang w:eastAsia="en-AU"/>
              </w:rPr>
              <w:t>.</w:t>
            </w:r>
          </w:p>
        </w:tc>
        <w:tc>
          <w:tcPr>
            <w:tcW w:w="1070" w:type="dxa"/>
            <w:tcBorders>
              <w:top w:val="nil"/>
              <w:left w:val="nil"/>
              <w:bottom w:val="single" w:sz="8" w:space="0" w:color="000000"/>
              <w:right w:val="nil"/>
            </w:tcBorders>
            <w:shd w:val="clear" w:color="auto" w:fill="auto"/>
            <w:noWrap/>
            <w:vAlign w:val="center"/>
            <w:hideMark/>
          </w:tcPr>
          <w:p w14:paraId="7AA37511"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r w:rsidRPr="00576457">
              <w:rPr>
                <w:rFonts w:ascii="Times New Roman" w:eastAsia="Times New Roman" w:hAnsi="Times New Roman" w:cs="Times New Roman"/>
                <w:b/>
                <w:bCs/>
                <w:i/>
                <w:iCs/>
                <w:color w:val="000000"/>
                <w:sz w:val="20"/>
                <w:szCs w:val="20"/>
                <w:lang w:val="en-US" w:eastAsia="en-AU"/>
              </w:rPr>
              <w:t>p-value</w:t>
            </w:r>
          </w:p>
        </w:tc>
        <w:tc>
          <w:tcPr>
            <w:tcW w:w="427" w:type="dxa"/>
            <w:tcBorders>
              <w:top w:val="nil"/>
              <w:left w:val="nil"/>
              <w:bottom w:val="single" w:sz="8" w:space="0" w:color="000000"/>
              <w:right w:val="single" w:sz="8" w:space="0" w:color="000000"/>
            </w:tcBorders>
            <w:shd w:val="clear" w:color="auto" w:fill="auto"/>
            <w:noWrap/>
            <w:vAlign w:val="center"/>
            <w:hideMark/>
          </w:tcPr>
          <w:p w14:paraId="6BCF05A8" w14:textId="77777777" w:rsidR="00A13DA5" w:rsidRPr="00576457" w:rsidRDefault="00A13DA5" w:rsidP="00A13DA5">
            <w:pPr>
              <w:spacing w:after="0" w:line="240" w:lineRule="auto"/>
              <w:rPr>
                <w:rFonts w:ascii="Times New Roman" w:eastAsia="Times New Roman" w:hAnsi="Times New Roman" w:cs="Times New Roman"/>
                <w:color w:val="000000"/>
                <w:sz w:val="20"/>
                <w:szCs w:val="20"/>
                <w:lang w:eastAsia="en-AU"/>
              </w:rPr>
            </w:pPr>
            <w:r w:rsidRPr="00576457">
              <w:rPr>
                <w:rFonts w:ascii="Times New Roman" w:eastAsia="Times New Roman" w:hAnsi="Times New Roman" w:cs="Times New Roman"/>
                <w:color w:val="000000"/>
                <w:sz w:val="20"/>
                <w:szCs w:val="20"/>
                <w:lang w:eastAsia="en-AU"/>
              </w:rPr>
              <w:t> </w:t>
            </w:r>
          </w:p>
        </w:tc>
        <w:tc>
          <w:tcPr>
            <w:tcW w:w="1119" w:type="dxa"/>
            <w:tcBorders>
              <w:top w:val="nil"/>
              <w:left w:val="nil"/>
              <w:bottom w:val="single" w:sz="8" w:space="0" w:color="000000"/>
              <w:right w:val="nil"/>
            </w:tcBorders>
            <w:shd w:val="clear" w:color="auto" w:fill="auto"/>
            <w:noWrap/>
            <w:vAlign w:val="center"/>
            <w:hideMark/>
          </w:tcPr>
          <w:p w14:paraId="0019013C"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576457">
              <w:rPr>
                <w:rFonts w:ascii="Times New Roman" w:eastAsia="Times New Roman" w:hAnsi="Times New Roman" w:cs="Times New Roman"/>
                <w:b/>
                <w:bCs/>
                <w:i/>
                <w:iCs/>
                <w:color w:val="000000"/>
                <w:sz w:val="20"/>
                <w:szCs w:val="20"/>
                <w:lang w:eastAsia="en-AU"/>
              </w:rPr>
              <w:t>coeff</w:t>
            </w:r>
            <w:proofErr w:type="spellEnd"/>
            <w:proofErr w:type="gramEnd"/>
            <w:r w:rsidRPr="00576457">
              <w:rPr>
                <w:rFonts w:ascii="Times New Roman" w:eastAsia="Times New Roman" w:hAnsi="Times New Roman" w:cs="Times New Roman"/>
                <w:b/>
                <w:bCs/>
                <w:i/>
                <w:iCs/>
                <w:color w:val="000000"/>
                <w:sz w:val="20"/>
                <w:szCs w:val="20"/>
                <w:lang w:eastAsia="en-AU"/>
              </w:rPr>
              <w:t>.</w:t>
            </w:r>
          </w:p>
        </w:tc>
        <w:tc>
          <w:tcPr>
            <w:tcW w:w="1119" w:type="dxa"/>
            <w:tcBorders>
              <w:top w:val="nil"/>
              <w:left w:val="nil"/>
              <w:bottom w:val="single" w:sz="8" w:space="0" w:color="000000"/>
              <w:right w:val="nil"/>
            </w:tcBorders>
            <w:shd w:val="clear" w:color="auto" w:fill="auto"/>
            <w:noWrap/>
            <w:vAlign w:val="center"/>
            <w:hideMark/>
          </w:tcPr>
          <w:p w14:paraId="5A51105F"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r w:rsidRPr="00576457">
              <w:rPr>
                <w:rFonts w:ascii="Times New Roman" w:eastAsia="Times New Roman" w:hAnsi="Times New Roman" w:cs="Times New Roman"/>
                <w:b/>
                <w:bCs/>
                <w:i/>
                <w:iCs/>
                <w:color w:val="000000"/>
                <w:sz w:val="20"/>
                <w:szCs w:val="20"/>
                <w:lang w:val="en-US" w:eastAsia="en-AU"/>
              </w:rPr>
              <w:t>p-value</w:t>
            </w:r>
          </w:p>
        </w:tc>
        <w:tc>
          <w:tcPr>
            <w:tcW w:w="319" w:type="dxa"/>
            <w:tcBorders>
              <w:top w:val="nil"/>
              <w:left w:val="nil"/>
              <w:bottom w:val="single" w:sz="8" w:space="0" w:color="000000"/>
              <w:right w:val="single" w:sz="8" w:space="0" w:color="000000"/>
            </w:tcBorders>
            <w:shd w:val="clear" w:color="auto" w:fill="auto"/>
            <w:noWrap/>
            <w:vAlign w:val="center"/>
            <w:hideMark/>
          </w:tcPr>
          <w:p w14:paraId="72EDE17B" w14:textId="77777777" w:rsidR="00A13DA5" w:rsidRPr="00576457" w:rsidRDefault="00A13DA5" w:rsidP="00A13DA5">
            <w:pPr>
              <w:spacing w:after="0" w:line="240" w:lineRule="auto"/>
              <w:rPr>
                <w:rFonts w:ascii="Times New Roman" w:eastAsia="Times New Roman" w:hAnsi="Times New Roman" w:cs="Times New Roman"/>
                <w:color w:val="000000"/>
                <w:sz w:val="20"/>
                <w:szCs w:val="20"/>
                <w:lang w:eastAsia="en-AU"/>
              </w:rPr>
            </w:pPr>
            <w:r w:rsidRPr="00576457">
              <w:rPr>
                <w:rFonts w:ascii="Times New Roman" w:eastAsia="Times New Roman" w:hAnsi="Times New Roman" w:cs="Times New Roman"/>
                <w:color w:val="000000"/>
                <w:sz w:val="20"/>
                <w:szCs w:val="20"/>
                <w:lang w:eastAsia="en-AU"/>
              </w:rPr>
              <w:t> </w:t>
            </w:r>
          </w:p>
        </w:tc>
        <w:tc>
          <w:tcPr>
            <w:tcW w:w="939" w:type="dxa"/>
            <w:tcBorders>
              <w:top w:val="nil"/>
              <w:left w:val="nil"/>
              <w:bottom w:val="single" w:sz="8" w:space="0" w:color="000000"/>
              <w:right w:val="nil"/>
            </w:tcBorders>
            <w:shd w:val="clear" w:color="auto" w:fill="auto"/>
            <w:noWrap/>
            <w:vAlign w:val="center"/>
            <w:hideMark/>
          </w:tcPr>
          <w:p w14:paraId="2AF01269"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576457">
              <w:rPr>
                <w:rFonts w:ascii="Times New Roman" w:eastAsia="Times New Roman" w:hAnsi="Times New Roman" w:cs="Times New Roman"/>
                <w:b/>
                <w:bCs/>
                <w:i/>
                <w:iCs/>
                <w:color w:val="000000"/>
                <w:sz w:val="20"/>
                <w:szCs w:val="20"/>
                <w:lang w:eastAsia="en-AU"/>
              </w:rPr>
              <w:t>coeff</w:t>
            </w:r>
            <w:proofErr w:type="spellEnd"/>
            <w:proofErr w:type="gramEnd"/>
            <w:r w:rsidRPr="00576457">
              <w:rPr>
                <w:rFonts w:ascii="Times New Roman" w:eastAsia="Times New Roman" w:hAnsi="Times New Roman" w:cs="Times New Roman"/>
                <w:b/>
                <w:bCs/>
                <w:i/>
                <w:iCs/>
                <w:color w:val="000000"/>
                <w:sz w:val="20"/>
                <w:szCs w:val="20"/>
                <w:lang w:eastAsia="en-AU"/>
              </w:rPr>
              <w:t>.</w:t>
            </w:r>
          </w:p>
        </w:tc>
        <w:tc>
          <w:tcPr>
            <w:tcW w:w="997" w:type="dxa"/>
            <w:tcBorders>
              <w:top w:val="nil"/>
              <w:left w:val="nil"/>
              <w:bottom w:val="single" w:sz="8" w:space="0" w:color="000000"/>
              <w:right w:val="nil"/>
            </w:tcBorders>
            <w:shd w:val="clear" w:color="auto" w:fill="auto"/>
            <w:noWrap/>
            <w:vAlign w:val="center"/>
            <w:hideMark/>
          </w:tcPr>
          <w:p w14:paraId="56FF212E" w14:textId="77777777" w:rsidR="00A13DA5" w:rsidRPr="00576457" w:rsidRDefault="00A13DA5" w:rsidP="00A13DA5">
            <w:pPr>
              <w:spacing w:after="0" w:line="240" w:lineRule="auto"/>
              <w:jc w:val="center"/>
              <w:rPr>
                <w:rFonts w:ascii="Times New Roman" w:eastAsia="Times New Roman" w:hAnsi="Times New Roman" w:cs="Times New Roman"/>
                <w:b/>
                <w:bCs/>
                <w:i/>
                <w:iCs/>
                <w:color w:val="000000"/>
                <w:sz w:val="20"/>
                <w:szCs w:val="20"/>
                <w:lang w:eastAsia="en-AU"/>
              </w:rPr>
            </w:pPr>
            <w:r w:rsidRPr="00576457">
              <w:rPr>
                <w:rFonts w:ascii="Times New Roman" w:eastAsia="Times New Roman" w:hAnsi="Times New Roman" w:cs="Times New Roman"/>
                <w:b/>
                <w:bCs/>
                <w:i/>
                <w:iCs/>
                <w:color w:val="000000"/>
                <w:sz w:val="20"/>
                <w:szCs w:val="20"/>
                <w:lang w:val="en-US" w:eastAsia="en-AU"/>
              </w:rPr>
              <w:t>p-value</w:t>
            </w:r>
          </w:p>
        </w:tc>
        <w:tc>
          <w:tcPr>
            <w:tcW w:w="568" w:type="dxa"/>
            <w:tcBorders>
              <w:top w:val="nil"/>
              <w:left w:val="nil"/>
              <w:bottom w:val="single" w:sz="8" w:space="0" w:color="000000"/>
              <w:right w:val="single" w:sz="8" w:space="0" w:color="000000"/>
            </w:tcBorders>
            <w:shd w:val="clear" w:color="auto" w:fill="auto"/>
            <w:noWrap/>
            <w:vAlign w:val="center"/>
            <w:hideMark/>
          </w:tcPr>
          <w:p w14:paraId="14A8D627" w14:textId="77777777" w:rsidR="00A13DA5" w:rsidRPr="00576457" w:rsidRDefault="00A13DA5" w:rsidP="00A13DA5">
            <w:pPr>
              <w:spacing w:after="0" w:line="240" w:lineRule="auto"/>
              <w:rPr>
                <w:rFonts w:ascii="Times New Roman" w:eastAsia="Times New Roman" w:hAnsi="Times New Roman" w:cs="Times New Roman"/>
                <w:color w:val="000000"/>
                <w:sz w:val="20"/>
                <w:szCs w:val="20"/>
                <w:lang w:eastAsia="en-AU"/>
              </w:rPr>
            </w:pPr>
            <w:r w:rsidRPr="00576457">
              <w:rPr>
                <w:rFonts w:ascii="Times New Roman" w:eastAsia="Times New Roman" w:hAnsi="Times New Roman" w:cs="Times New Roman"/>
                <w:color w:val="000000"/>
                <w:sz w:val="20"/>
                <w:szCs w:val="20"/>
                <w:lang w:eastAsia="en-AU"/>
              </w:rPr>
              <w:t> </w:t>
            </w:r>
          </w:p>
        </w:tc>
      </w:tr>
      <w:tr w:rsidR="00576457" w:rsidRPr="00332FCD" w14:paraId="3B8AF969"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3B9EBEC4" w14:textId="5D0A52D8"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Constant</w:t>
            </w:r>
          </w:p>
        </w:tc>
        <w:tc>
          <w:tcPr>
            <w:tcW w:w="1008" w:type="dxa"/>
            <w:tcBorders>
              <w:top w:val="nil"/>
              <w:left w:val="nil"/>
              <w:bottom w:val="nil"/>
              <w:right w:val="nil"/>
            </w:tcBorders>
            <w:shd w:val="clear" w:color="auto" w:fill="auto"/>
            <w:noWrap/>
            <w:vAlign w:val="center"/>
            <w:hideMark/>
          </w:tcPr>
          <w:p w14:paraId="54094556" w14:textId="0A0D274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1.054</w:t>
            </w:r>
          </w:p>
        </w:tc>
        <w:tc>
          <w:tcPr>
            <w:tcW w:w="1070" w:type="dxa"/>
            <w:tcBorders>
              <w:top w:val="nil"/>
              <w:left w:val="nil"/>
              <w:bottom w:val="nil"/>
              <w:right w:val="nil"/>
            </w:tcBorders>
            <w:shd w:val="clear" w:color="auto" w:fill="auto"/>
            <w:noWrap/>
            <w:vAlign w:val="center"/>
            <w:hideMark/>
          </w:tcPr>
          <w:p w14:paraId="02B5CFCF" w14:textId="2E41177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0.659</w:t>
            </w:r>
          </w:p>
        </w:tc>
        <w:tc>
          <w:tcPr>
            <w:tcW w:w="427" w:type="dxa"/>
            <w:tcBorders>
              <w:top w:val="nil"/>
              <w:left w:val="nil"/>
              <w:bottom w:val="nil"/>
              <w:right w:val="nil"/>
            </w:tcBorders>
            <w:shd w:val="clear" w:color="auto" w:fill="auto"/>
            <w:noWrap/>
            <w:vAlign w:val="center"/>
            <w:hideMark/>
          </w:tcPr>
          <w:p w14:paraId="13F1EA54" w14:textId="122D022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single" w:sz="8" w:space="0" w:color="000000"/>
              <w:bottom w:val="nil"/>
              <w:right w:val="nil"/>
            </w:tcBorders>
            <w:shd w:val="clear" w:color="auto" w:fill="auto"/>
            <w:noWrap/>
            <w:vAlign w:val="center"/>
            <w:hideMark/>
          </w:tcPr>
          <w:p w14:paraId="42B75FDA" w14:textId="521AEC1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-2.926</w:t>
            </w:r>
          </w:p>
        </w:tc>
        <w:tc>
          <w:tcPr>
            <w:tcW w:w="1119" w:type="dxa"/>
            <w:tcBorders>
              <w:top w:val="nil"/>
              <w:left w:val="nil"/>
              <w:bottom w:val="nil"/>
              <w:right w:val="nil"/>
            </w:tcBorders>
            <w:shd w:val="clear" w:color="auto" w:fill="auto"/>
            <w:noWrap/>
            <w:vAlign w:val="center"/>
            <w:hideMark/>
          </w:tcPr>
          <w:p w14:paraId="0FE4F5AE" w14:textId="4864C3C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0.134</w:t>
            </w:r>
          </w:p>
        </w:tc>
        <w:tc>
          <w:tcPr>
            <w:tcW w:w="319" w:type="dxa"/>
            <w:tcBorders>
              <w:top w:val="nil"/>
              <w:left w:val="nil"/>
              <w:bottom w:val="nil"/>
              <w:right w:val="single" w:sz="8" w:space="0" w:color="000000"/>
            </w:tcBorders>
            <w:shd w:val="clear" w:color="auto" w:fill="auto"/>
            <w:noWrap/>
            <w:vAlign w:val="center"/>
            <w:hideMark/>
          </w:tcPr>
          <w:p w14:paraId="5DB1D2A0" w14:textId="1A61E3E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09EA29BB" w14:textId="38FB15F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0.850</w:t>
            </w:r>
          </w:p>
        </w:tc>
        <w:tc>
          <w:tcPr>
            <w:tcW w:w="997" w:type="dxa"/>
            <w:tcBorders>
              <w:top w:val="nil"/>
              <w:left w:val="nil"/>
              <w:bottom w:val="nil"/>
              <w:right w:val="nil"/>
            </w:tcBorders>
            <w:shd w:val="clear" w:color="auto" w:fill="auto"/>
            <w:noWrap/>
            <w:vAlign w:val="center"/>
            <w:hideMark/>
          </w:tcPr>
          <w:p w14:paraId="774FAA18" w14:textId="55BC3D7E"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0.657</w:t>
            </w:r>
          </w:p>
        </w:tc>
        <w:tc>
          <w:tcPr>
            <w:tcW w:w="568" w:type="dxa"/>
            <w:tcBorders>
              <w:top w:val="nil"/>
              <w:left w:val="nil"/>
              <w:bottom w:val="nil"/>
              <w:right w:val="single" w:sz="8" w:space="0" w:color="000000"/>
            </w:tcBorders>
            <w:shd w:val="clear" w:color="auto" w:fill="auto"/>
            <w:noWrap/>
            <w:vAlign w:val="center"/>
            <w:hideMark/>
          </w:tcPr>
          <w:p w14:paraId="463D5FA4" w14:textId="7C2A7FB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0FA2F1E4" w14:textId="77777777" w:rsidTr="00576457">
        <w:trPr>
          <w:trHeight w:val="125"/>
        </w:trPr>
        <w:tc>
          <w:tcPr>
            <w:tcW w:w="1570" w:type="dxa"/>
            <w:tcBorders>
              <w:top w:val="nil"/>
              <w:left w:val="single" w:sz="8" w:space="0" w:color="000000"/>
              <w:bottom w:val="nil"/>
              <w:right w:val="single" w:sz="8" w:space="0" w:color="000000"/>
            </w:tcBorders>
            <w:shd w:val="clear" w:color="auto" w:fill="auto"/>
            <w:vAlign w:val="center"/>
            <w:hideMark/>
          </w:tcPr>
          <w:p w14:paraId="5D8EFB06" w14:textId="7DBB614D"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576457">
              <w:rPr>
                <w:rFonts w:ascii="Times New Roman" w:hAnsi="Times New Roman" w:cs="Times New Roman"/>
                <w:i/>
                <w:iCs/>
                <w:color w:val="000000"/>
                <w:sz w:val="20"/>
                <w:szCs w:val="20"/>
              </w:rPr>
              <w:t>LnAge</w:t>
            </w:r>
            <w:proofErr w:type="spellEnd"/>
          </w:p>
        </w:tc>
        <w:tc>
          <w:tcPr>
            <w:tcW w:w="1008" w:type="dxa"/>
            <w:tcBorders>
              <w:top w:val="nil"/>
              <w:left w:val="nil"/>
              <w:bottom w:val="nil"/>
              <w:right w:val="nil"/>
            </w:tcBorders>
            <w:shd w:val="clear" w:color="auto" w:fill="auto"/>
            <w:noWrap/>
            <w:vAlign w:val="center"/>
            <w:hideMark/>
          </w:tcPr>
          <w:p w14:paraId="5140F2C4" w14:textId="047543B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-0.260</w:t>
            </w:r>
          </w:p>
        </w:tc>
        <w:tc>
          <w:tcPr>
            <w:tcW w:w="1070" w:type="dxa"/>
            <w:tcBorders>
              <w:top w:val="nil"/>
              <w:left w:val="nil"/>
              <w:bottom w:val="nil"/>
              <w:right w:val="nil"/>
            </w:tcBorders>
            <w:shd w:val="clear" w:color="auto" w:fill="auto"/>
            <w:noWrap/>
            <w:vAlign w:val="center"/>
            <w:hideMark/>
          </w:tcPr>
          <w:p w14:paraId="43AE1E06" w14:textId="55BA49E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0.310</w:t>
            </w:r>
          </w:p>
        </w:tc>
        <w:tc>
          <w:tcPr>
            <w:tcW w:w="427" w:type="dxa"/>
            <w:tcBorders>
              <w:top w:val="nil"/>
              <w:left w:val="nil"/>
              <w:bottom w:val="nil"/>
              <w:right w:val="nil"/>
            </w:tcBorders>
            <w:shd w:val="clear" w:color="auto" w:fill="auto"/>
            <w:noWrap/>
            <w:vAlign w:val="center"/>
            <w:hideMark/>
          </w:tcPr>
          <w:p w14:paraId="09C29756"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single" w:sz="8" w:space="0" w:color="000000"/>
              <w:bottom w:val="nil"/>
              <w:right w:val="nil"/>
            </w:tcBorders>
            <w:shd w:val="clear" w:color="auto" w:fill="auto"/>
            <w:noWrap/>
            <w:vAlign w:val="center"/>
            <w:hideMark/>
          </w:tcPr>
          <w:p w14:paraId="093478D7" w14:textId="487BE2E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0.337</w:t>
            </w:r>
          </w:p>
        </w:tc>
        <w:tc>
          <w:tcPr>
            <w:tcW w:w="1119" w:type="dxa"/>
            <w:tcBorders>
              <w:top w:val="nil"/>
              <w:left w:val="nil"/>
              <w:bottom w:val="nil"/>
              <w:right w:val="nil"/>
            </w:tcBorders>
            <w:shd w:val="clear" w:color="auto" w:fill="auto"/>
            <w:noWrap/>
            <w:vAlign w:val="center"/>
            <w:hideMark/>
          </w:tcPr>
          <w:p w14:paraId="3D0C853B" w14:textId="31AD254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0.112</w:t>
            </w:r>
          </w:p>
        </w:tc>
        <w:tc>
          <w:tcPr>
            <w:tcW w:w="319" w:type="dxa"/>
            <w:tcBorders>
              <w:top w:val="nil"/>
              <w:left w:val="nil"/>
              <w:bottom w:val="nil"/>
              <w:right w:val="single" w:sz="8" w:space="0" w:color="000000"/>
            </w:tcBorders>
            <w:shd w:val="clear" w:color="auto" w:fill="auto"/>
            <w:noWrap/>
            <w:vAlign w:val="center"/>
            <w:hideMark/>
          </w:tcPr>
          <w:p w14:paraId="245FF9F5" w14:textId="363AC9CC"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1104F776" w14:textId="5C0A1B99"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-0.209</w:t>
            </w:r>
          </w:p>
        </w:tc>
        <w:tc>
          <w:tcPr>
            <w:tcW w:w="997" w:type="dxa"/>
            <w:tcBorders>
              <w:top w:val="nil"/>
              <w:left w:val="nil"/>
              <w:bottom w:val="nil"/>
              <w:right w:val="nil"/>
            </w:tcBorders>
            <w:shd w:val="clear" w:color="auto" w:fill="auto"/>
            <w:noWrap/>
            <w:vAlign w:val="center"/>
            <w:hideMark/>
          </w:tcPr>
          <w:p w14:paraId="069619FA" w14:textId="25705FD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0.348</w:t>
            </w:r>
          </w:p>
        </w:tc>
        <w:tc>
          <w:tcPr>
            <w:tcW w:w="568" w:type="dxa"/>
            <w:tcBorders>
              <w:top w:val="nil"/>
              <w:left w:val="nil"/>
              <w:bottom w:val="nil"/>
              <w:right w:val="single" w:sz="8" w:space="0" w:color="000000"/>
            </w:tcBorders>
            <w:shd w:val="clear" w:color="auto" w:fill="auto"/>
            <w:noWrap/>
            <w:vAlign w:val="center"/>
            <w:hideMark/>
          </w:tcPr>
          <w:p w14:paraId="476F3076" w14:textId="3DB75A4A"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64C4083C"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79267531" w14:textId="7A77B2A4"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Top20</w:t>
            </w:r>
          </w:p>
        </w:tc>
        <w:tc>
          <w:tcPr>
            <w:tcW w:w="1008" w:type="dxa"/>
            <w:tcBorders>
              <w:top w:val="nil"/>
              <w:left w:val="nil"/>
              <w:bottom w:val="nil"/>
              <w:right w:val="nil"/>
            </w:tcBorders>
            <w:shd w:val="clear" w:color="auto" w:fill="auto"/>
            <w:noWrap/>
            <w:vAlign w:val="center"/>
            <w:hideMark/>
          </w:tcPr>
          <w:p w14:paraId="536ACFF0" w14:textId="5F1F1DF4"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0.032</w:t>
            </w:r>
          </w:p>
        </w:tc>
        <w:tc>
          <w:tcPr>
            <w:tcW w:w="1070" w:type="dxa"/>
            <w:tcBorders>
              <w:top w:val="nil"/>
              <w:left w:val="nil"/>
              <w:bottom w:val="nil"/>
              <w:right w:val="nil"/>
            </w:tcBorders>
            <w:shd w:val="clear" w:color="auto" w:fill="auto"/>
            <w:noWrap/>
            <w:vAlign w:val="center"/>
            <w:hideMark/>
          </w:tcPr>
          <w:p w14:paraId="43B7FCD5" w14:textId="1CF323DE"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0.050</w:t>
            </w:r>
          </w:p>
        </w:tc>
        <w:tc>
          <w:tcPr>
            <w:tcW w:w="427" w:type="dxa"/>
            <w:tcBorders>
              <w:top w:val="nil"/>
              <w:left w:val="nil"/>
              <w:bottom w:val="nil"/>
              <w:right w:val="nil"/>
            </w:tcBorders>
            <w:shd w:val="clear" w:color="auto" w:fill="auto"/>
            <w:noWrap/>
            <w:vAlign w:val="center"/>
            <w:hideMark/>
          </w:tcPr>
          <w:p w14:paraId="046B5EA2" w14:textId="26D38A7B"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1119" w:type="dxa"/>
            <w:tcBorders>
              <w:top w:val="nil"/>
              <w:left w:val="single" w:sz="8" w:space="0" w:color="000000"/>
              <w:bottom w:val="nil"/>
              <w:right w:val="nil"/>
            </w:tcBorders>
            <w:shd w:val="clear" w:color="auto" w:fill="auto"/>
            <w:noWrap/>
            <w:vAlign w:val="center"/>
            <w:hideMark/>
          </w:tcPr>
          <w:p w14:paraId="261A2BDE" w14:textId="344AC05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0.017</w:t>
            </w:r>
          </w:p>
        </w:tc>
        <w:tc>
          <w:tcPr>
            <w:tcW w:w="1119" w:type="dxa"/>
            <w:tcBorders>
              <w:top w:val="nil"/>
              <w:left w:val="nil"/>
              <w:bottom w:val="nil"/>
              <w:right w:val="nil"/>
            </w:tcBorders>
            <w:shd w:val="clear" w:color="auto" w:fill="auto"/>
            <w:noWrap/>
            <w:vAlign w:val="center"/>
            <w:hideMark/>
          </w:tcPr>
          <w:p w14:paraId="5511B445" w14:textId="580A586B"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0.196</w:t>
            </w:r>
          </w:p>
        </w:tc>
        <w:tc>
          <w:tcPr>
            <w:tcW w:w="319" w:type="dxa"/>
            <w:tcBorders>
              <w:top w:val="nil"/>
              <w:left w:val="nil"/>
              <w:bottom w:val="nil"/>
              <w:right w:val="single" w:sz="8" w:space="0" w:color="000000"/>
            </w:tcBorders>
            <w:shd w:val="clear" w:color="auto" w:fill="auto"/>
            <w:noWrap/>
            <w:vAlign w:val="center"/>
            <w:hideMark/>
          </w:tcPr>
          <w:p w14:paraId="233DA5FE" w14:textId="2B79D09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0F15BC78" w14:textId="5FD8C8B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-0.040</w:t>
            </w:r>
          </w:p>
        </w:tc>
        <w:tc>
          <w:tcPr>
            <w:tcW w:w="997" w:type="dxa"/>
            <w:tcBorders>
              <w:top w:val="nil"/>
              <w:left w:val="nil"/>
              <w:bottom w:val="nil"/>
              <w:right w:val="nil"/>
            </w:tcBorders>
            <w:shd w:val="clear" w:color="auto" w:fill="auto"/>
            <w:noWrap/>
            <w:vAlign w:val="center"/>
            <w:hideMark/>
          </w:tcPr>
          <w:p w14:paraId="4FEC0E1A" w14:textId="59B5EE1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0.005</w:t>
            </w:r>
          </w:p>
        </w:tc>
        <w:tc>
          <w:tcPr>
            <w:tcW w:w="568" w:type="dxa"/>
            <w:tcBorders>
              <w:top w:val="nil"/>
              <w:left w:val="nil"/>
              <w:bottom w:val="nil"/>
              <w:right w:val="single" w:sz="8" w:space="0" w:color="000000"/>
            </w:tcBorders>
            <w:shd w:val="clear" w:color="auto" w:fill="auto"/>
            <w:noWrap/>
            <w:vAlign w:val="center"/>
            <w:hideMark/>
          </w:tcPr>
          <w:p w14:paraId="2DE5D25D" w14:textId="5F43508B"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2C55A110"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4F7CC674" w14:textId="24C03328"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576457">
              <w:rPr>
                <w:rFonts w:ascii="Times New Roman" w:hAnsi="Times New Roman" w:cs="Times New Roman"/>
                <w:i/>
                <w:iCs/>
                <w:color w:val="000000"/>
                <w:sz w:val="20"/>
                <w:szCs w:val="20"/>
              </w:rPr>
              <w:t>LnMCap</w:t>
            </w:r>
            <w:proofErr w:type="spellEnd"/>
          </w:p>
        </w:tc>
        <w:tc>
          <w:tcPr>
            <w:tcW w:w="1008" w:type="dxa"/>
            <w:tcBorders>
              <w:top w:val="nil"/>
              <w:left w:val="nil"/>
              <w:bottom w:val="nil"/>
              <w:right w:val="nil"/>
            </w:tcBorders>
            <w:shd w:val="clear" w:color="auto" w:fill="auto"/>
            <w:noWrap/>
            <w:vAlign w:val="center"/>
            <w:hideMark/>
          </w:tcPr>
          <w:p w14:paraId="00D6361F" w14:textId="07F1EF7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-0.244</w:t>
            </w:r>
          </w:p>
        </w:tc>
        <w:tc>
          <w:tcPr>
            <w:tcW w:w="1070" w:type="dxa"/>
            <w:tcBorders>
              <w:top w:val="nil"/>
              <w:left w:val="nil"/>
              <w:bottom w:val="nil"/>
              <w:right w:val="nil"/>
            </w:tcBorders>
            <w:shd w:val="clear" w:color="auto" w:fill="auto"/>
            <w:noWrap/>
            <w:vAlign w:val="center"/>
            <w:hideMark/>
          </w:tcPr>
          <w:p w14:paraId="34E6FEE8" w14:textId="1290010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0.381</w:t>
            </w:r>
          </w:p>
        </w:tc>
        <w:tc>
          <w:tcPr>
            <w:tcW w:w="427" w:type="dxa"/>
            <w:tcBorders>
              <w:top w:val="nil"/>
              <w:left w:val="nil"/>
              <w:bottom w:val="nil"/>
              <w:right w:val="nil"/>
            </w:tcBorders>
            <w:shd w:val="clear" w:color="auto" w:fill="auto"/>
            <w:noWrap/>
            <w:vAlign w:val="center"/>
            <w:hideMark/>
          </w:tcPr>
          <w:p w14:paraId="1CCDD43D"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single" w:sz="8" w:space="0" w:color="000000"/>
              <w:bottom w:val="nil"/>
              <w:right w:val="nil"/>
            </w:tcBorders>
            <w:shd w:val="clear" w:color="auto" w:fill="auto"/>
            <w:noWrap/>
            <w:vAlign w:val="center"/>
            <w:hideMark/>
          </w:tcPr>
          <w:p w14:paraId="1F53F1DB" w14:textId="0601DBD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-0.325</w:t>
            </w:r>
          </w:p>
        </w:tc>
        <w:tc>
          <w:tcPr>
            <w:tcW w:w="1119" w:type="dxa"/>
            <w:tcBorders>
              <w:top w:val="nil"/>
              <w:left w:val="nil"/>
              <w:bottom w:val="nil"/>
              <w:right w:val="nil"/>
            </w:tcBorders>
            <w:shd w:val="clear" w:color="auto" w:fill="auto"/>
            <w:noWrap/>
            <w:vAlign w:val="center"/>
            <w:hideMark/>
          </w:tcPr>
          <w:p w14:paraId="7272178A" w14:textId="3055413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0.147</w:t>
            </w:r>
          </w:p>
        </w:tc>
        <w:tc>
          <w:tcPr>
            <w:tcW w:w="319" w:type="dxa"/>
            <w:tcBorders>
              <w:top w:val="nil"/>
              <w:left w:val="nil"/>
              <w:bottom w:val="nil"/>
              <w:right w:val="single" w:sz="8" w:space="0" w:color="000000"/>
            </w:tcBorders>
            <w:shd w:val="clear" w:color="auto" w:fill="auto"/>
            <w:noWrap/>
            <w:vAlign w:val="center"/>
            <w:hideMark/>
          </w:tcPr>
          <w:p w14:paraId="1DFDFB70" w14:textId="557466D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33A3C1F1" w14:textId="2A60E4D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0.515</w:t>
            </w:r>
          </w:p>
        </w:tc>
        <w:tc>
          <w:tcPr>
            <w:tcW w:w="997" w:type="dxa"/>
            <w:tcBorders>
              <w:top w:val="nil"/>
              <w:left w:val="nil"/>
              <w:bottom w:val="nil"/>
              <w:right w:val="nil"/>
            </w:tcBorders>
            <w:shd w:val="clear" w:color="auto" w:fill="auto"/>
            <w:noWrap/>
            <w:vAlign w:val="center"/>
            <w:hideMark/>
          </w:tcPr>
          <w:p w14:paraId="2C54149E" w14:textId="1640BDCB"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0.034</w:t>
            </w:r>
          </w:p>
        </w:tc>
        <w:tc>
          <w:tcPr>
            <w:tcW w:w="568" w:type="dxa"/>
            <w:tcBorders>
              <w:top w:val="nil"/>
              <w:left w:val="nil"/>
              <w:bottom w:val="nil"/>
              <w:right w:val="single" w:sz="8" w:space="0" w:color="000000"/>
            </w:tcBorders>
            <w:shd w:val="clear" w:color="auto" w:fill="auto"/>
            <w:noWrap/>
            <w:vAlign w:val="center"/>
            <w:hideMark/>
          </w:tcPr>
          <w:p w14:paraId="30A7B19D" w14:textId="2BA5171E"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37632F04"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tcPr>
          <w:p w14:paraId="6C10B229" w14:textId="4F9F53AE"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576457">
              <w:rPr>
                <w:rFonts w:ascii="Times New Roman" w:hAnsi="Times New Roman" w:cs="Times New Roman"/>
                <w:i/>
                <w:iCs/>
                <w:color w:val="000000"/>
                <w:sz w:val="20"/>
                <w:szCs w:val="20"/>
              </w:rPr>
              <w:t>AnlCov</w:t>
            </w:r>
            <w:proofErr w:type="spellEnd"/>
          </w:p>
        </w:tc>
        <w:tc>
          <w:tcPr>
            <w:tcW w:w="1008" w:type="dxa"/>
            <w:tcBorders>
              <w:top w:val="nil"/>
              <w:left w:val="nil"/>
              <w:bottom w:val="nil"/>
              <w:right w:val="nil"/>
            </w:tcBorders>
            <w:shd w:val="clear" w:color="auto" w:fill="auto"/>
            <w:noWrap/>
            <w:vAlign w:val="center"/>
          </w:tcPr>
          <w:p w14:paraId="578FB672" w14:textId="53AB66C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-0.739</w:t>
            </w:r>
          </w:p>
        </w:tc>
        <w:tc>
          <w:tcPr>
            <w:tcW w:w="1070" w:type="dxa"/>
            <w:tcBorders>
              <w:top w:val="nil"/>
              <w:left w:val="nil"/>
              <w:bottom w:val="nil"/>
              <w:right w:val="nil"/>
            </w:tcBorders>
            <w:shd w:val="clear" w:color="auto" w:fill="auto"/>
            <w:noWrap/>
            <w:vAlign w:val="center"/>
          </w:tcPr>
          <w:p w14:paraId="3F570E74" w14:textId="19D23C9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0.254</w:t>
            </w:r>
          </w:p>
        </w:tc>
        <w:tc>
          <w:tcPr>
            <w:tcW w:w="427" w:type="dxa"/>
            <w:tcBorders>
              <w:top w:val="nil"/>
              <w:left w:val="nil"/>
              <w:bottom w:val="nil"/>
              <w:right w:val="nil"/>
            </w:tcBorders>
            <w:shd w:val="clear" w:color="auto" w:fill="auto"/>
            <w:noWrap/>
            <w:vAlign w:val="center"/>
          </w:tcPr>
          <w:p w14:paraId="09D24638" w14:textId="316AA440"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single" w:sz="8" w:space="0" w:color="000000"/>
              <w:bottom w:val="nil"/>
              <w:right w:val="nil"/>
            </w:tcBorders>
            <w:shd w:val="clear" w:color="auto" w:fill="auto"/>
            <w:noWrap/>
            <w:vAlign w:val="center"/>
          </w:tcPr>
          <w:p w14:paraId="62DC9028" w14:textId="2ABDB5AD"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-0.227</w:t>
            </w:r>
          </w:p>
        </w:tc>
        <w:tc>
          <w:tcPr>
            <w:tcW w:w="1119" w:type="dxa"/>
            <w:tcBorders>
              <w:top w:val="nil"/>
              <w:left w:val="nil"/>
              <w:bottom w:val="nil"/>
              <w:right w:val="nil"/>
            </w:tcBorders>
            <w:shd w:val="clear" w:color="auto" w:fill="auto"/>
            <w:noWrap/>
            <w:vAlign w:val="center"/>
          </w:tcPr>
          <w:p w14:paraId="4293491D" w14:textId="5F7ABC09"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0.694</w:t>
            </w:r>
          </w:p>
        </w:tc>
        <w:tc>
          <w:tcPr>
            <w:tcW w:w="319" w:type="dxa"/>
            <w:tcBorders>
              <w:top w:val="nil"/>
              <w:left w:val="nil"/>
              <w:bottom w:val="nil"/>
              <w:right w:val="single" w:sz="8" w:space="0" w:color="000000"/>
            </w:tcBorders>
            <w:shd w:val="clear" w:color="auto" w:fill="auto"/>
            <w:noWrap/>
            <w:vAlign w:val="center"/>
          </w:tcPr>
          <w:p w14:paraId="2768BDAC" w14:textId="637C40C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tcPr>
          <w:p w14:paraId="784124AE" w14:textId="555067AE"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0.774</w:t>
            </w:r>
          </w:p>
        </w:tc>
        <w:tc>
          <w:tcPr>
            <w:tcW w:w="997" w:type="dxa"/>
            <w:tcBorders>
              <w:top w:val="nil"/>
              <w:left w:val="nil"/>
              <w:bottom w:val="nil"/>
              <w:right w:val="nil"/>
            </w:tcBorders>
            <w:shd w:val="clear" w:color="auto" w:fill="auto"/>
            <w:noWrap/>
            <w:vAlign w:val="center"/>
          </w:tcPr>
          <w:p w14:paraId="76292610" w14:textId="710576F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0.178</w:t>
            </w:r>
          </w:p>
        </w:tc>
        <w:tc>
          <w:tcPr>
            <w:tcW w:w="568" w:type="dxa"/>
            <w:tcBorders>
              <w:top w:val="nil"/>
              <w:left w:val="nil"/>
              <w:bottom w:val="nil"/>
              <w:right w:val="single" w:sz="8" w:space="0" w:color="000000"/>
            </w:tcBorders>
            <w:shd w:val="clear" w:color="auto" w:fill="auto"/>
            <w:noWrap/>
            <w:vAlign w:val="center"/>
          </w:tcPr>
          <w:p w14:paraId="23A62196" w14:textId="2F73447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09DA7E21"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730F76C7" w14:textId="7CEB48DE"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576457">
              <w:rPr>
                <w:rFonts w:ascii="Times New Roman" w:hAnsi="Times New Roman" w:cs="Times New Roman"/>
                <w:i/>
                <w:iCs/>
                <w:color w:val="000000"/>
                <w:sz w:val="20"/>
                <w:szCs w:val="20"/>
              </w:rPr>
              <w:t>CFO_Dum</w:t>
            </w:r>
            <w:proofErr w:type="spellEnd"/>
          </w:p>
        </w:tc>
        <w:tc>
          <w:tcPr>
            <w:tcW w:w="1008" w:type="dxa"/>
            <w:tcBorders>
              <w:top w:val="nil"/>
              <w:left w:val="nil"/>
              <w:bottom w:val="nil"/>
              <w:right w:val="nil"/>
            </w:tcBorders>
            <w:shd w:val="clear" w:color="auto" w:fill="auto"/>
            <w:noWrap/>
            <w:vAlign w:val="center"/>
            <w:hideMark/>
          </w:tcPr>
          <w:p w14:paraId="334CB7B1" w14:textId="5AC6AFA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1.558</w:t>
            </w:r>
          </w:p>
        </w:tc>
        <w:tc>
          <w:tcPr>
            <w:tcW w:w="1070" w:type="dxa"/>
            <w:tcBorders>
              <w:top w:val="nil"/>
              <w:left w:val="nil"/>
              <w:bottom w:val="nil"/>
              <w:right w:val="nil"/>
            </w:tcBorders>
            <w:shd w:val="clear" w:color="auto" w:fill="auto"/>
            <w:noWrap/>
            <w:vAlign w:val="center"/>
            <w:hideMark/>
          </w:tcPr>
          <w:p w14:paraId="212FBD78" w14:textId="7D57A45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0.031</w:t>
            </w:r>
          </w:p>
        </w:tc>
        <w:tc>
          <w:tcPr>
            <w:tcW w:w="427" w:type="dxa"/>
            <w:tcBorders>
              <w:top w:val="nil"/>
              <w:left w:val="nil"/>
              <w:bottom w:val="nil"/>
              <w:right w:val="nil"/>
            </w:tcBorders>
            <w:shd w:val="clear" w:color="auto" w:fill="auto"/>
            <w:noWrap/>
            <w:vAlign w:val="center"/>
            <w:hideMark/>
          </w:tcPr>
          <w:p w14:paraId="3F8478F7" w14:textId="2648C57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1119" w:type="dxa"/>
            <w:tcBorders>
              <w:top w:val="nil"/>
              <w:left w:val="single" w:sz="8" w:space="0" w:color="000000"/>
              <w:bottom w:val="nil"/>
              <w:right w:val="nil"/>
            </w:tcBorders>
            <w:shd w:val="clear" w:color="auto" w:fill="auto"/>
            <w:noWrap/>
            <w:vAlign w:val="center"/>
            <w:hideMark/>
          </w:tcPr>
          <w:p w14:paraId="58216370" w14:textId="294C179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0.627</w:t>
            </w:r>
          </w:p>
        </w:tc>
        <w:tc>
          <w:tcPr>
            <w:tcW w:w="1119" w:type="dxa"/>
            <w:tcBorders>
              <w:top w:val="nil"/>
              <w:left w:val="nil"/>
              <w:bottom w:val="nil"/>
              <w:right w:val="nil"/>
            </w:tcBorders>
            <w:shd w:val="clear" w:color="auto" w:fill="auto"/>
            <w:noWrap/>
            <w:vAlign w:val="center"/>
            <w:hideMark/>
          </w:tcPr>
          <w:p w14:paraId="13F09303" w14:textId="54D877E4"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0.207</w:t>
            </w:r>
          </w:p>
        </w:tc>
        <w:tc>
          <w:tcPr>
            <w:tcW w:w="319" w:type="dxa"/>
            <w:tcBorders>
              <w:top w:val="nil"/>
              <w:left w:val="nil"/>
              <w:bottom w:val="nil"/>
              <w:right w:val="single" w:sz="8" w:space="0" w:color="000000"/>
            </w:tcBorders>
            <w:shd w:val="clear" w:color="auto" w:fill="auto"/>
            <w:noWrap/>
            <w:vAlign w:val="center"/>
            <w:hideMark/>
          </w:tcPr>
          <w:p w14:paraId="0F448CF8" w14:textId="2F8EB32B"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53E0C662" w14:textId="0CCA86A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-1.461</w:t>
            </w:r>
          </w:p>
        </w:tc>
        <w:tc>
          <w:tcPr>
            <w:tcW w:w="997" w:type="dxa"/>
            <w:tcBorders>
              <w:top w:val="nil"/>
              <w:left w:val="nil"/>
              <w:bottom w:val="nil"/>
              <w:right w:val="nil"/>
            </w:tcBorders>
            <w:shd w:val="clear" w:color="auto" w:fill="auto"/>
            <w:noWrap/>
            <w:vAlign w:val="center"/>
            <w:hideMark/>
          </w:tcPr>
          <w:p w14:paraId="71277198" w14:textId="2B3A6DFD"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0.004</w:t>
            </w:r>
          </w:p>
        </w:tc>
        <w:tc>
          <w:tcPr>
            <w:tcW w:w="568" w:type="dxa"/>
            <w:tcBorders>
              <w:top w:val="nil"/>
              <w:left w:val="nil"/>
              <w:bottom w:val="nil"/>
              <w:right w:val="single" w:sz="8" w:space="0" w:color="000000"/>
            </w:tcBorders>
            <w:shd w:val="clear" w:color="auto" w:fill="auto"/>
            <w:noWrap/>
            <w:vAlign w:val="center"/>
            <w:hideMark/>
          </w:tcPr>
          <w:p w14:paraId="113DC5D0" w14:textId="6B32CB70"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0C1F7A79" w14:textId="77777777" w:rsidTr="00576457">
        <w:trPr>
          <w:trHeight w:val="265"/>
        </w:trPr>
        <w:tc>
          <w:tcPr>
            <w:tcW w:w="1570" w:type="dxa"/>
            <w:tcBorders>
              <w:top w:val="nil"/>
              <w:left w:val="single" w:sz="8" w:space="0" w:color="000000"/>
              <w:bottom w:val="single" w:sz="8" w:space="0" w:color="000000"/>
              <w:right w:val="single" w:sz="8" w:space="0" w:color="000000"/>
            </w:tcBorders>
            <w:shd w:val="clear" w:color="auto" w:fill="auto"/>
            <w:vAlign w:val="center"/>
            <w:hideMark/>
          </w:tcPr>
          <w:p w14:paraId="1E2568FE" w14:textId="7E6B9EDA"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TLTA</w:t>
            </w:r>
          </w:p>
        </w:tc>
        <w:tc>
          <w:tcPr>
            <w:tcW w:w="1008" w:type="dxa"/>
            <w:tcBorders>
              <w:top w:val="nil"/>
              <w:left w:val="nil"/>
              <w:bottom w:val="single" w:sz="8" w:space="0" w:color="000000"/>
              <w:right w:val="nil"/>
            </w:tcBorders>
            <w:shd w:val="clear" w:color="auto" w:fill="auto"/>
            <w:noWrap/>
            <w:vAlign w:val="center"/>
            <w:hideMark/>
          </w:tcPr>
          <w:p w14:paraId="1C39AA2C" w14:textId="5763089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-1.997</w:t>
            </w:r>
          </w:p>
        </w:tc>
        <w:tc>
          <w:tcPr>
            <w:tcW w:w="1070" w:type="dxa"/>
            <w:tcBorders>
              <w:top w:val="nil"/>
              <w:left w:val="nil"/>
              <w:bottom w:val="single" w:sz="8" w:space="0" w:color="000000"/>
              <w:right w:val="nil"/>
            </w:tcBorders>
            <w:shd w:val="clear" w:color="auto" w:fill="auto"/>
            <w:noWrap/>
            <w:vAlign w:val="center"/>
            <w:hideMark/>
          </w:tcPr>
          <w:p w14:paraId="6B4221EA" w14:textId="759AEA1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0.196</w:t>
            </w:r>
          </w:p>
        </w:tc>
        <w:tc>
          <w:tcPr>
            <w:tcW w:w="427" w:type="dxa"/>
            <w:tcBorders>
              <w:top w:val="nil"/>
              <w:left w:val="nil"/>
              <w:bottom w:val="single" w:sz="8" w:space="0" w:color="000000"/>
              <w:right w:val="nil"/>
            </w:tcBorders>
            <w:shd w:val="clear" w:color="auto" w:fill="auto"/>
            <w:noWrap/>
            <w:vAlign w:val="center"/>
            <w:hideMark/>
          </w:tcPr>
          <w:p w14:paraId="631BF63B" w14:textId="5312CD5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119" w:type="dxa"/>
            <w:tcBorders>
              <w:top w:val="nil"/>
              <w:left w:val="single" w:sz="8" w:space="0" w:color="000000"/>
              <w:bottom w:val="single" w:sz="8" w:space="0" w:color="000000"/>
              <w:right w:val="nil"/>
            </w:tcBorders>
            <w:shd w:val="clear" w:color="auto" w:fill="auto"/>
            <w:noWrap/>
            <w:vAlign w:val="center"/>
            <w:hideMark/>
          </w:tcPr>
          <w:p w14:paraId="42C228C0" w14:textId="38F1481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1.391</w:t>
            </w:r>
          </w:p>
        </w:tc>
        <w:tc>
          <w:tcPr>
            <w:tcW w:w="1119" w:type="dxa"/>
            <w:tcBorders>
              <w:top w:val="nil"/>
              <w:left w:val="nil"/>
              <w:bottom w:val="single" w:sz="8" w:space="0" w:color="000000"/>
              <w:right w:val="nil"/>
            </w:tcBorders>
            <w:shd w:val="clear" w:color="auto" w:fill="auto"/>
            <w:noWrap/>
            <w:vAlign w:val="center"/>
            <w:hideMark/>
          </w:tcPr>
          <w:p w14:paraId="2DA21622" w14:textId="4172910C"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0.245</w:t>
            </w:r>
          </w:p>
        </w:tc>
        <w:tc>
          <w:tcPr>
            <w:tcW w:w="319" w:type="dxa"/>
            <w:tcBorders>
              <w:top w:val="nil"/>
              <w:left w:val="nil"/>
              <w:bottom w:val="single" w:sz="8" w:space="0" w:color="000000"/>
              <w:right w:val="single" w:sz="8" w:space="0" w:color="000000"/>
            </w:tcBorders>
            <w:shd w:val="clear" w:color="auto" w:fill="auto"/>
            <w:noWrap/>
            <w:vAlign w:val="center"/>
            <w:hideMark/>
          </w:tcPr>
          <w:p w14:paraId="3E37DBA9" w14:textId="4533845E"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single" w:sz="8" w:space="0" w:color="000000"/>
              <w:right w:val="nil"/>
            </w:tcBorders>
            <w:shd w:val="clear" w:color="auto" w:fill="auto"/>
            <w:noWrap/>
            <w:vAlign w:val="center"/>
            <w:hideMark/>
          </w:tcPr>
          <w:p w14:paraId="7FF2BCE8" w14:textId="4F72DA8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-0.493</w:t>
            </w:r>
          </w:p>
        </w:tc>
        <w:tc>
          <w:tcPr>
            <w:tcW w:w="997" w:type="dxa"/>
            <w:tcBorders>
              <w:top w:val="nil"/>
              <w:left w:val="nil"/>
              <w:bottom w:val="single" w:sz="8" w:space="0" w:color="000000"/>
              <w:right w:val="nil"/>
            </w:tcBorders>
            <w:shd w:val="clear" w:color="auto" w:fill="auto"/>
            <w:noWrap/>
            <w:vAlign w:val="center"/>
            <w:hideMark/>
          </w:tcPr>
          <w:p w14:paraId="1E45FA4F" w14:textId="31559D4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0.695</w:t>
            </w:r>
          </w:p>
        </w:tc>
        <w:tc>
          <w:tcPr>
            <w:tcW w:w="568" w:type="dxa"/>
            <w:tcBorders>
              <w:top w:val="nil"/>
              <w:left w:val="nil"/>
              <w:bottom w:val="single" w:sz="8" w:space="0" w:color="000000"/>
              <w:right w:val="single" w:sz="8" w:space="0" w:color="000000"/>
            </w:tcBorders>
            <w:shd w:val="clear" w:color="auto" w:fill="auto"/>
            <w:noWrap/>
            <w:vAlign w:val="center"/>
            <w:hideMark/>
          </w:tcPr>
          <w:p w14:paraId="7DA05D12" w14:textId="64146ED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48AD3E56"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2EAA1C0C" w14:textId="50DE97DB"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Chi-square</w:t>
            </w:r>
          </w:p>
        </w:tc>
        <w:tc>
          <w:tcPr>
            <w:tcW w:w="1008" w:type="dxa"/>
            <w:tcBorders>
              <w:top w:val="nil"/>
              <w:left w:val="nil"/>
              <w:bottom w:val="nil"/>
              <w:right w:val="nil"/>
            </w:tcBorders>
            <w:shd w:val="clear" w:color="auto" w:fill="auto"/>
            <w:noWrap/>
            <w:vAlign w:val="center"/>
            <w:hideMark/>
          </w:tcPr>
          <w:p w14:paraId="4F02B2A7" w14:textId="0674951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15.352</w:t>
            </w:r>
          </w:p>
        </w:tc>
        <w:tc>
          <w:tcPr>
            <w:tcW w:w="1070" w:type="dxa"/>
            <w:tcBorders>
              <w:top w:val="nil"/>
              <w:left w:val="nil"/>
              <w:bottom w:val="nil"/>
              <w:right w:val="nil"/>
            </w:tcBorders>
            <w:shd w:val="clear" w:color="auto" w:fill="auto"/>
            <w:noWrap/>
            <w:vAlign w:val="center"/>
            <w:hideMark/>
          </w:tcPr>
          <w:p w14:paraId="358C96A5" w14:textId="208E738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0.180</w:t>
            </w:r>
          </w:p>
        </w:tc>
        <w:tc>
          <w:tcPr>
            <w:tcW w:w="427" w:type="dxa"/>
            <w:tcBorders>
              <w:top w:val="nil"/>
              <w:left w:val="nil"/>
              <w:bottom w:val="nil"/>
              <w:right w:val="single" w:sz="8" w:space="0" w:color="000000"/>
            </w:tcBorders>
            <w:shd w:val="clear" w:color="auto" w:fill="auto"/>
            <w:noWrap/>
            <w:vAlign w:val="center"/>
            <w:hideMark/>
          </w:tcPr>
          <w:p w14:paraId="6D7C19F2" w14:textId="6A6DF64B"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1119" w:type="dxa"/>
            <w:tcBorders>
              <w:top w:val="nil"/>
              <w:left w:val="nil"/>
              <w:bottom w:val="nil"/>
              <w:right w:val="nil"/>
            </w:tcBorders>
            <w:shd w:val="clear" w:color="auto" w:fill="auto"/>
            <w:noWrap/>
            <w:vAlign w:val="center"/>
            <w:hideMark/>
          </w:tcPr>
          <w:p w14:paraId="4CFC493B" w14:textId="178E8319"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11.112</w:t>
            </w:r>
          </w:p>
        </w:tc>
        <w:tc>
          <w:tcPr>
            <w:tcW w:w="1119" w:type="dxa"/>
            <w:tcBorders>
              <w:top w:val="nil"/>
              <w:left w:val="nil"/>
              <w:bottom w:val="nil"/>
              <w:right w:val="nil"/>
            </w:tcBorders>
            <w:shd w:val="clear" w:color="auto" w:fill="auto"/>
            <w:noWrap/>
            <w:vAlign w:val="center"/>
            <w:hideMark/>
          </w:tcPr>
          <w:p w14:paraId="05924111" w14:textId="57F912B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0.085</w:t>
            </w:r>
          </w:p>
        </w:tc>
        <w:tc>
          <w:tcPr>
            <w:tcW w:w="319" w:type="dxa"/>
            <w:tcBorders>
              <w:top w:val="nil"/>
              <w:left w:val="nil"/>
              <w:bottom w:val="nil"/>
              <w:right w:val="single" w:sz="8" w:space="0" w:color="000000"/>
            </w:tcBorders>
            <w:shd w:val="clear" w:color="auto" w:fill="auto"/>
            <w:noWrap/>
            <w:vAlign w:val="center"/>
            <w:hideMark/>
          </w:tcPr>
          <w:p w14:paraId="56D6DA7A" w14:textId="41FB11A9"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39" w:type="dxa"/>
            <w:tcBorders>
              <w:top w:val="nil"/>
              <w:left w:val="nil"/>
              <w:bottom w:val="nil"/>
              <w:right w:val="nil"/>
            </w:tcBorders>
            <w:shd w:val="clear" w:color="auto" w:fill="auto"/>
            <w:noWrap/>
            <w:vAlign w:val="center"/>
            <w:hideMark/>
          </w:tcPr>
          <w:p w14:paraId="0B886818" w14:textId="57E161E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26.513</w:t>
            </w:r>
          </w:p>
        </w:tc>
        <w:tc>
          <w:tcPr>
            <w:tcW w:w="997" w:type="dxa"/>
            <w:tcBorders>
              <w:top w:val="nil"/>
              <w:left w:val="nil"/>
              <w:bottom w:val="nil"/>
              <w:right w:val="nil"/>
            </w:tcBorders>
            <w:shd w:val="clear" w:color="auto" w:fill="auto"/>
            <w:noWrap/>
            <w:vAlign w:val="center"/>
            <w:hideMark/>
          </w:tcPr>
          <w:p w14:paraId="0B0E182B" w14:textId="2434E2D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568" w:type="dxa"/>
            <w:tcBorders>
              <w:top w:val="nil"/>
              <w:left w:val="nil"/>
              <w:bottom w:val="nil"/>
              <w:right w:val="single" w:sz="8" w:space="0" w:color="000000"/>
            </w:tcBorders>
            <w:shd w:val="clear" w:color="auto" w:fill="auto"/>
            <w:noWrap/>
            <w:vAlign w:val="center"/>
            <w:hideMark/>
          </w:tcPr>
          <w:p w14:paraId="36C1ECFC" w14:textId="3435CD3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6AEAEF54" w14:textId="77777777" w:rsidTr="00576457">
        <w:trPr>
          <w:trHeight w:val="250"/>
        </w:trPr>
        <w:tc>
          <w:tcPr>
            <w:tcW w:w="1570" w:type="dxa"/>
            <w:tcBorders>
              <w:top w:val="nil"/>
              <w:left w:val="single" w:sz="8" w:space="0" w:color="000000"/>
              <w:bottom w:val="nil"/>
              <w:right w:val="single" w:sz="8" w:space="0" w:color="000000"/>
            </w:tcBorders>
            <w:shd w:val="clear" w:color="auto" w:fill="auto"/>
            <w:vAlign w:val="center"/>
            <w:hideMark/>
          </w:tcPr>
          <w:p w14:paraId="393D4B53" w14:textId="18E27811"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576457">
              <w:rPr>
                <w:rFonts w:ascii="Times New Roman" w:hAnsi="Times New Roman" w:cs="Times New Roman"/>
                <w:i/>
                <w:iCs/>
                <w:color w:val="000000"/>
                <w:sz w:val="20"/>
                <w:szCs w:val="20"/>
              </w:rPr>
              <w:t>Nagelkerke</w:t>
            </w:r>
            <w:proofErr w:type="spellEnd"/>
            <w:r w:rsidRPr="00576457">
              <w:rPr>
                <w:rFonts w:ascii="Times New Roman" w:hAnsi="Times New Roman" w:cs="Times New Roman"/>
                <w:i/>
                <w:iCs/>
                <w:color w:val="000000"/>
                <w:sz w:val="20"/>
                <w:szCs w:val="20"/>
              </w:rPr>
              <w:t xml:space="preserve"> R</w:t>
            </w:r>
            <w:r w:rsidRPr="00576457">
              <w:rPr>
                <w:rFonts w:ascii="Times New Roman" w:hAnsi="Times New Roman" w:cs="Times New Roman"/>
                <w:i/>
                <w:iCs/>
                <w:color w:val="000000"/>
                <w:sz w:val="20"/>
                <w:szCs w:val="20"/>
                <w:vertAlign w:val="superscript"/>
              </w:rPr>
              <w:t>2</w:t>
            </w:r>
          </w:p>
        </w:tc>
        <w:tc>
          <w:tcPr>
            <w:tcW w:w="1008" w:type="dxa"/>
            <w:tcBorders>
              <w:top w:val="nil"/>
              <w:left w:val="nil"/>
              <w:bottom w:val="nil"/>
              <w:right w:val="nil"/>
            </w:tcBorders>
            <w:shd w:val="clear" w:color="auto" w:fill="auto"/>
            <w:noWrap/>
            <w:vAlign w:val="center"/>
            <w:hideMark/>
          </w:tcPr>
          <w:p w14:paraId="7F7F8012"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70" w:type="dxa"/>
            <w:tcBorders>
              <w:top w:val="nil"/>
              <w:left w:val="nil"/>
              <w:bottom w:val="nil"/>
              <w:right w:val="nil"/>
            </w:tcBorders>
            <w:shd w:val="clear" w:color="auto" w:fill="auto"/>
            <w:noWrap/>
            <w:vAlign w:val="center"/>
            <w:hideMark/>
          </w:tcPr>
          <w:p w14:paraId="59613955" w14:textId="772CF67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14.0%</w:t>
            </w:r>
          </w:p>
        </w:tc>
        <w:tc>
          <w:tcPr>
            <w:tcW w:w="427" w:type="dxa"/>
            <w:tcBorders>
              <w:top w:val="nil"/>
              <w:left w:val="nil"/>
              <w:bottom w:val="nil"/>
              <w:right w:val="single" w:sz="8" w:space="0" w:color="000000"/>
            </w:tcBorders>
            <w:shd w:val="clear" w:color="auto" w:fill="auto"/>
            <w:noWrap/>
            <w:vAlign w:val="center"/>
            <w:hideMark/>
          </w:tcPr>
          <w:p w14:paraId="01E16965" w14:textId="31DD6512"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c>
          <w:tcPr>
            <w:tcW w:w="1119" w:type="dxa"/>
            <w:tcBorders>
              <w:top w:val="nil"/>
              <w:left w:val="nil"/>
              <w:bottom w:val="nil"/>
              <w:right w:val="nil"/>
            </w:tcBorders>
            <w:shd w:val="clear" w:color="auto" w:fill="auto"/>
            <w:noWrap/>
            <w:vAlign w:val="center"/>
            <w:hideMark/>
          </w:tcPr>
          <w:p w14:paraId="3F94F04E"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center"/>
            <w:hideMark/>
          </w:tcPr>
          <w:p w14:paraId="4FD3A50C" w14:textId="340862B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8.7%</w:t>
            </w:r>
          </w:p>
        </w:tc>
        <w:tc>
          <w:tcPr>
            <w:tcW w:w="319" w:type="dxa"/>
            <w:tcBorders>
              <w:top w:val="nil"/>
              <w:left w:val="nil"/>
              <w:bottom w:val="nil"/>
              <w:right w:val="single" w:sz="8" w:space="0" w:color="000000"/>
            </w:tcBorders>
            <w:shd w:val="clear" w:color="auto" w:fill="auto"/>
            <w:noWrap/>
            <w:vAlign w:val="center"/>
            <w:hideMark/>
          </w:tcPr>
          <w:p w14:paraId="056F9D7F" w14:textId="4A2B0852"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c>
          <w:tcPr>
            <w:tcW w:w="939" w:type="dxa"/>
            <w:tcBorders>
              <w:top w:val="nil"/>
              <w:left w:val="nil"/>
              <w:bottom w:val="nil"/>
              <w:right w:val="nil"/>
            </w:tcBorders>
            <w:shd w:val="clear" w:color="auto" w:fill="auto"/>
            <w:noWrap/>
            <w:vAlign w:val="center"/>
            <w:hideMark/>
          </w:tcPr>
          <w:p w14:paraId="25F9C656"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997" w:type="dxa"/>
            <w:tcBorders>
              <w:top w:val="nil"/>
              <w:left w:val="nil"/>
              <w:bottom w:val="nil"/>
              <w:right w:val="nil"/>
            </w:tcBorders>
            <w:shd w:val="clear" w:color="auto" w:fill="auto"/>
            <w:noWrap/>
            <w:vAlign w:val="center"/>
            <w:hideMark/>
          </w:tcPr>
          <w:p w14:paraId="7A3AA9BB" w14:textId="260D5DF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19.2%</w:t>
            </w:r>
          </w:p>
        </w:tc>
        <w:tc>
          <w:tcPr>
            <w:tcW w:w="568" w:type="dxa"/>
            <w:tcBorders>
              <w:top w:val="nil"/>
              <w:left w:val="nil"/>
              <w:bottom w:val="nil"/>
              <w:right w:val="single" w:sz="8" w:space="0" w:color="000000"/>
            </w:tcBorders>
            <w:shd w:val="clear" w:color="auto" w:fill="auto"/>
            <w:noWrap/>
            <w:vAlign w:val="center"/>
            <w:hideMark/>
          </w:tcPr>
          <w:p w14:paraId="378E58A1" w14:textId="020D198C"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r>
      <w:tr w:rsidR="00576457" w:rsidRPr="00332FCD" w14:paraId="05E7139A" w14:textId="77777777" w:rsidTr="00576457">
        <w:trPr>
          <w:trHeight w:val="250"/>
        </w:trPr>
        <w:tc>
          <w:tcPr>
            <w:tcW w:w="1570" w:type="dxa"/>
            <w:tcBorders>
              <w:top w:val="nil"/>
              <w:left w:val="single" w:sz="8" w:space="0" w:color="000000"/>
              <w:bottom w:val="nil"/>
              <w:right w:val="single" w:sz="8" w:space="0" w:color="000000"/>
            </w:tcBorders>
            <w:shd w:val="clear" w:color="auto" w:fill="auto"/>
            <w:noWrap/>
            <w:vAlign w:val="center"/>
            <w:hideMark/>
          </w:tcPr>
          <w:p w14:paraId="51EC575C" w14:textId="62AE6585"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Classification %</w:t>
            </w:r>
          </w:p>
        </w:tc>
        <w:tc>
          <w:tcPr>
            <w:tcW w:w="1008" w:type="dxa"/>
            <w:tcBorders>
              <w:top w:val="nil"/>
              <w:left w:val="nil"/>
              <w:bottom w:val="nil"/>
              <w:right w:val="nil"/>
            </w:tcBorders>
            <w:shd w:val="clear" w:color="auto" w:fill="auto"/>
            <w:noWrap/>
            <w:vAlign w:val="center"/>
            <w:hideMark/>
          </w:tcPr>
          <w:p w14:paraId="72E04959"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70" w:type="dxa"/>
            <w:tcBorders>
              <w:top w:val="nil"/>
              <w:left w:val="nil"/>
              <w:bottom w:val="nil"/>
              <w:right w:val="nil"/>
            </w:tcBorders>
            <w:shd w:val="clear" w:color="auto" w:fill="auto"/>
            <w:noWrap/>
            <w:vAlign w:val="center"/>
            <w:hideMark/>
          </w:tcPr>
          <w:p w14:paraId="216ACEE0" w14:textId="6F17AC6D"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83.0%</w:t>
            </w:r>
          </w:p>
        </w:tc>
        <w:tc>
          <w:tcPr>
            <w:tcW w:w="427" w:type="dxa"/>
            <w:tcBorders>
              <w:top w:val="nil"/>
              <w:left w:val="nil"/>
              <w:bottom w:val="nil"/>
              <w:right w:val="single" w:sz="8" w:space="0" w:color="000000"/>
            </w:tcBorders>
            <w:shd w:val="clear" w:color="auto" w:fill="auto"/>
            <w:noWrap/>
            <w:vAlign w:val="center"/>
            <w:hideMark/>
          </w:tcPr>
          <w:p w14:paraId="198F1E73" w14:textId="56096265"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119" w:type="dxa"/>
            <w:tcBorders>
              <w:top w:val="nil"/>
              <w:left w:val="nil"/>
              <w:bottom w:val="nil"/>
              <w:right w:val="nil"/>
            </w:tcBorders>
            <w:shd w:val="clear" w:color="auto" w:fill="auto"/>
            <w:noWrap/>
            <w:vAlign w:val="center"/>
            <w:hideMark/>
          </w:tcPr>
          <w:p w14:paraId="228FE8A9"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center"/>
            <w:hideMark/>
          </w:tcPr>
          <w:p w14:paraId="05DD6ECB" w14:textId="365A1AD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69.6%</w:t>
            </w:r>
          </w:p>
        </w:tc>
        <w:tc>
          <w:tcPr>
            <w:tcW w:w="319" w:type="dxa"/>
            <w:tcBorders>
              <w:top w:val="nil"/>
              <w:left w:val="nil"/>
              <w:bottom w:val="nil"/>
              <w:right w:val="single" w:sz="8" w:space="0" w:color="000000"/>
            </w:tcBorders>
            <w:shd w:val="clear" w:color="auto" w:fill="auto"/>
            <w:noWrap/>
            <w:vAlign w:val="center"/>
            <w:hideMark/>
          </w:tcPr>
          <w:p w14:paraId="1AF01B98" w14:textId="3A784F2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nil"/>
              <w:right w:val="nil"/>
            </w:tcBorders>
            <w:shd w:val="clear" w:color="auto" w:fill="auto"/>
            <w:noWrap/>
            <w:vAlign w:val="center"/>
            <w:hideMark/>
          </w:tcPr>
          <w:p w14:paraId="085F5264"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997" w:type="dxa"/>
            <w:tcBorders>
              <w:top w:val="nil"/>
              <w:left w:val="nil"/>
              <w:bottom w:val="nil"/>
              <w:right w:val="nil"/>
            </w:tcBorders>
            <w:shd w:val="clear" w:color="auto" w:fill="auto"/>
            <w:noWrap/>
            <w:vAlign w:val="center"/>
            <w:hideMark/>
          </w:tcPr>
          <w:p w14:paraId="4BE87455" w14:textId="456824D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65.5%</w:t>
            </w:r>
          </w:p>
        </w:tc>
        <w:tc>
          <w:tcPr>
            <w:tcW w:w="568" w:type="dxa"/>
            <w:tcBorders>
              <w:top w:val="nil"/>
              <w:left w:val="nil"/>
              <w:bottom w:val="nil"/>
              <w:right w:val="single" w:sz="8" w:space="0" w:color="000000"/>
            </w:tcBorders>
            <w:shd w:val="clear" w:color="auto" w:fill="auto"/>
            <w:noWrap/>
            <w:vAlign w:val="center"/>
            <w:hideMark/>
          </w:tcPr>
          <w:p w14:paraId="2FC3CEF3" w14:textId="4948AD56"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1E78CD46" w14:textId="77777777" w:rsidTr="00576457">
        <w:trPr>
          <w:trHeight w:val="265"/>
        </w:trPr>
        <w:tc>
          <w:tcPr>
            <w:tcW w:w="1570" w:type="dxa"/>
            <w:tcBorders>
              <w:top w:val="nil"/>
              <w:left w:val="single" w:sz="8" w:space="0" w:color="000000"/>
              <w:bottom w:val="single" w:sz="8" w:space="0" w:color="000000"/>
              <w:right w:val="single" w:sz="8" w:space="0" w:color="000000"/>
            </w:tcBorders>
            <w:shd w:val="clear" w:color="auto" w:fill="auto"/>
            <w:noWrap/>
            <w:vAlign w:val="center"/>
            <w:hideMark/>
          </w:tcPr>
          <w:p w14:paraId="0CE7ADD3" w14:textId="0A1DF6DB" w:rsidR="00576457" w:rsidRPr="00576457" w:rsidRDefault="00576457" w:rsidP="00576457">
            <w:pPr>
              <w:spacing w:after="0" w:line="240" w:lineRule="auto"/>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N</w:t>
            </w:r>
          </w:p>
        </w:tc>
        <w:tc>
          <w:tcPr>
            <w:tcW w:w="1008" w:type="dxa"/>
            <w:tcBorders>
              <w:top w:val="nil"/>
              <w:left w:val="nil"/>
              <w:bottom w:val="single" w:sz="8" w:space="0" w:color="000000"/>
              <w:right w:val="nil"/>
            </w:tcBorders>
            <w:shd w:val="clear" w:color="auto" w:fill="auto"/>
            <w:noWrap/>
            <w:vAlign w:val="center"/>
            <w:hideMark/>
          </w:tcPr>
          <w:p w14:paraId="2F0437F1" w14:textId="5811CF9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70" w:type="dxa"/>
            <w:tcBorders>
              <w:top w:val="nil"/>
              <w:left w:val="nil"/>
              <w:bottom w:val="single" w:sz="8" w:space="0" w:color="000000"/>
              <w:right w:val="nil"/>
            </w:tcBorders>
            <w:shd w:val="clear" w:color="auto" w:fill="auto"/>
            <w:noWrap/>
            <w:vAlign w:val="center"/>
            <w:hideMark/>
          </w:tcPr>
          <w:p w14:paraId="4FE2EC8B" w14:textId="652F2F9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171</w:t>
            </w:r>
          </w:p>
        </w:tc>
        <w:tc>
          <w:tcPr>
            <w:tcW w:w="427" w:type="dxa"/>
            <w:tcBorders>
              <w:top w:val="nil"/>
              <w:left w:val="nil"/>
              <w:bottom w:val="single" w:sz="8" w:space="0" w:color="000000"/>
              <w:right w:val="single" w:sz="8" w:space="0" w:color="000000"/>
            </w:tcBorders>
            <w:shd w:val="clear" w:color="auto" w:fill="auto"/>
            <w:noWrap/>
            <w:vAlign w:val="center"/>
            <w:hideMark/>
          </w:tcPr>
          <w:p w14:paraId="4F998216" w14:textId="74D6DD0C"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119" w:type="dxa"/>
            <w:tcBorders>
              <w:top w:val="nil"/>
              <w:left w:val="nil"/>
              <w:bottom w:val="single" w:sz="8" w:space="0" w:color="000000"/>
              <w:right w:val="nil"/>
            </w:tcBorders>
            <w:shd w:val="clear" w:color="auto" w:fill="auto"/>
            <w:noWrap/>
            <w:vAlign w:val="center"/>
            <w:hideMark/>
          </w:tcPr>
          <w:p w14:paraId="4F206DEB" w14:textId="63537F4C"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119" w:type="dxa"/>
            <w:tcBorders>
              <w:top w:val="nil"/>
              <w:left w:val="nil"/>
              <w:bottom w:val="single" w:sz="8" w:space="0" w:color="000000"/>
              <w:right w:val="nil"/>
            </w:tcBorders>
            <w:shd w:val="clear" w:color="auto" w:fill="auto"/>
            <w:noWrap/>
            <w:vAlign w:val="center"/>
            <w:hideMark/>
          </w:tcPr>
          <w:p w14:paraId="2A25A7BD" w14:textId="72793D5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171</w:t>
            </w:r>
          </w:p>
        </w:tc>
        <w:tc>
          <w:tcPr>
            <w:tcW w:w="319" w:type="dxa"/>
            <w:tcBorders>
              <w:top w:val="nil"/>
              <w:left w:val="nil"/>
              <w:bottom w:val="single" w:sz="8" w:space="0" w:color="000000"/>
              <w:right w:val="single" w:sz="8" w:space="0" w:color="000000"/>
            </w:tcBorders>
            <w:shd w:val="clear" w:color="auto" w:fill="auto"/>
            <w:noWrap/>
            <w:vAlign w:val="center"/>
            <w:hideMark/>
          </w:tcPr>
          <w:p w14:paraId="01A0CF90" w14:textId="3199815A"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39" w:type="dxa"/>
            <w:tcBorders>
              <w:top w:val="nil"/>
              <w:left w:val="nil"/>
              <w:bottom w:val="single" w:sz="8" w:space="0" w:color="000000"/>
              <w:right w:val="nil"/>
            </w:tcBorders>
            <w:shd w:val="clear" w:color="auto" w:fill="auto"/>
            <w:noWrap/>
            <w:vAlign w:val="center"/>
            <w:hideMark/>
          </w:tcPr>
          <w:p w14:paraId="114768E2" w14:textId="5F4E568E"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97" w:type="dxa"/>
            <w:tcBorders>
              <w:top w:val="nil"/>
              <w:left w:val="nil"/>
              <w:bottom w:val="single" w:sz="8" w:space="0" w:color="000000"/>
              <w:right w:val="nil"/>
            </w:tcBorders>
            <w:shd w:val="clear" w:color="auto" w:fill="auto"/>
            <w:noWrap/>
            <w:vAlign w:val="center"/>
            <w:hideMark/>
          </w:tcPr>
          <w:p w14:paraId="7B8F67F6" w14:textId="5D76B29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171</w:t>
            </w:r>
          </w:p>
        </w:tc>
        <w:tc>
          <w:tcPr>
            <w:tcW w:w="568" w:type="dxa"/>
            <w:tcBorders>
              <w:top w:val="nil"/>
              <w:left w:val="nil"/>
              <w:bottom w:val="single" w:sz="8" w:space="0" w:color="000000"/>
              <w:right w:val="single" w:sz="8" w:space="0" w:color="000000"/>
            </w:tcBorders>
            <w:shd w:val="clear" w:color="auto" w:fill="auto"/>
            <w:noWrap/>
            <w:vAlign w:val="center"/>
            <w:hideMark/>
          </w:tcPr>
          <w:p w14:paraId="4794471C" w14:textId="1FE795D6"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bl>
    <w:p w14:paraId="6BB0AF53" w14:textId="77777777" w:rsidR="00C812F1" w:rsidRDefault="00C812F1" w:rsidP="00BC26A7">
      <w:pPr>
        <w:spacing w:after="0" w:line="480" w:lineRule="auto"/>
        <w:jc w:val="both"/>
        <w:rPr>
          <w:rFonts w:ascii="Times New Roman" w:hAnsi="Times New Roman"/>
          <w:sz w:val="20"/>
          <w:szCs w:val="20"/>
        </w:rPr>
      </w:pPr>
    </w:p>
    <w:p w14:paraId="5E964146" w14:textId="12C86F15" w:rsidR="00576457" w:rsidRPr="009C25D5" w:rsidRDefault="00576457" w:rsidP="00BC26A7">
      <w:pPr>
        <w:spacing w:after="0" w:line="480" w:lineRule="auto"/>
        <w:rPr>
          <w:rFonts w:ascii="Times New Roman" w:hAnsi="Times New Roman"/>
          <w:b/>
          <w:sz w:val="24"/>
          <w:szCs w:val="24"/>
        </w:rPr>
      </w:pPr>
      <w:r>
        <w:rPr>
          <w:rFonts w:ascii="Times New Roman" w:hAnsi="Times New Roman"/>
          <w:b/>
          <w:sz w:val="24"/>
          <w:szCs w:val="24"/>
        </w:rPr>
        <w:t>Panel B: Full sample</w:t>
      </w:r>
    </w:p>
    <w:tbl>
      <w:tblPr>
        <w:tblW w:w="8956" w:type="dxa"/>
        <w:tblInd w:w="93" w:type="dxa"/>
        <w:tblLook w:val="04A0" w:firstRow="1" w:lastRow="0" w:firstColumn="1" w:lastColumn="0" w:noHBand="0" w:noVBand="1"/>
      </w:tblPr>
      <w:tblGrid>
        <w:gridCol w:w="1517"/>
        <w:gridCol w:w="976"/>
        <w:gridCol w:w="1035"/>
        <w:gridCol w:w="516"/>
        <w:gridCol w:w="1083"/>
        <w:gridCol w:w="1083"/>
        <w:gridCol w:w="516"/>
        <w:gridCol w:w="909"/>
        <w:gridCol w:w="964"/>
        <w:gridCol w:w="550"/>
      </w:tblGrid>
      <w:tr w:rsidR="00C812F1" w:rsidRPr="00332FCD" w14:paraId="7DB7A084" w14:textId="77777777" w:rsidTr="00576457">
        <w:trPr>
          <w:trHeight w:val="255"/>
        </w:trPr>
        <w:tc>
          <w:tcPr>
            <w:tcW w:w="1518" w:type="dxa"/>
            <w:tcBorders>
              <w:top w:val="single" w:sz="8" w:space="0" w:color="auto"/>
              <w:left w:val="single" w:sz="8" w:space="0" w:color="000000"/>
              <w:right w:val="single" w:sz="8" w:space="0" w:color="000000"/>
            </w:tcBorders>
            <w:shd w:val="clear" w:color="auto" w:fill="auto"/>
            <w:vAlign w:val="center"/>
          </w:tcPr>
          <w:p w14:paraId="48E4B764" w14:textId="77777777" w:rsidR="00C812F1" w:rsidRPr="00332FCD" w:rsidRDefault="00C812F1" w:rsidP="00C43C8A">
            <w:pPr>
              <w:spacing w:after="0" w:line="240" w:lineRule="auto"/>
              <w:rPr>
                <w:rFonts w:ascii="Times New Roman" w:eastAsia="Times New Roman" w:hAnsi="Times New Roman" w:cs="Times New Roman"/>
                <w:b/>
                <w:bCs/>
                <w:color w:val="000000"/>
                <w:sz w:val="20"/>
                <w:szCs w:val="20"/>
                <w:lang w:eastAsia="en-AU"/>
              </w:rPr>
            </w:pPr>
          </w:p>
        </w:tc>
        <w:tc>
          <w:tcPr>
            <w:tcW w:w="2430" w:type="dxa"/>
            <w:gridSpan w:val="3"/>
            <w:tcBorders>
              <w:top w:val="single" w:sz="8" w:space="0" w:color="000000"/>
              <w:left w:val="nil"/>
              <w:right w:val="single" w:sz="8" w:space="0" w:color="000000"/>
            </w:tcBorders>
            <w:shd w:val="clear" w:color="auto" w:fill="auto"/>
            <w:noWrap/>
            <w:vAlign w:val="center"/>
          </w:tcPr>
          <w:p w14:paraId="095C4DE0"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Pr>
                <w:rFonts w:ascii="Times New Roman" w:eastAsia="Times New Roman" w:hAnsi="Times New Roman" w:cs="Times New Roman"/>
                <w:b/>
                <w:bCs/>
                <w:color w:val="000000"/>
                <w:sz w:val="20"/>
                <w:szCs w:val="20"/>
                <w:lang w:eastAsia="en-AU"/>
              </w:rPr>
              <w:t>Model I</w:t>
            </w:r>
          </w:p>
        </w:tc>
        <w:tc>
          <w:tcPr>
            <w:tcW w:w="2585" w:type="dxa"/>
            <w:gridSpan w:val="3"/>
            <w:tcBorders>
              <w:top w:val="single" w:sz="8" w:space="0" w:color="000000"/>
              <w:left w:val="nil"/>
              <w:right w:val="single" w:sz="8" w:space="0" w:color="000000"/>
            </w:tcBorders>
            <w:shd w:val="clear" w:color="auto" w:fill="auto"/>
            <w:noWrap/>
            <w:vAlign w:val="center"/>
          </w:tcPr>
          <w:p w14:paraId="352435FC"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Pr>
                <w:rFonts w:ascii="Times New Roman" w:eastAsia="Times New Roman" w:hAnsi="Times New Roman" w:cs="Times New Roman"/>
                <w:b/>
                <w:bCs/>
                <w:color w:val="000000"/>
                <w:sz w:val="20"/>
                <w:szCs w:val="20"/>
                <w:lang w:eastAsia="en-AU"/>
              </w:rPr>
              <w:t>Model II</w:t>
            </w:r>
          </w:p>
        </w:tc>
        <w:tc>
          <w:tcPr>
            <w:tcW w:w="2423" w:type="dxa"/>
            <w:gridSpan w:val="3"/>
            <w:tcBorders>
              <w:top w:val="single" w:sz="8" w:space="0" w:color="000000"/>
              <w:left w:val="nil"/>
              <w:right w:val="single" w:sz="8" w:space="0" w:color="000000"/>
            </w:tcBorders>
            <w:shd w:val="clear" w:color="auto" w:fill="auto"/>
            <w:noWrap/>
            <w:vAlign w:val="center"/>
          </w:tcPr>
          <w:p w14:paraId="4937D372"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Pr>
                <w:rFonts w:ascii="Times New Roman" w:eastAsia="Times New Roman" w:hAnsi="Times New Roman" w:cs="Times New Roman"/>
                <w:b/>
                <w:bCs/>
                <w:color w:val="000000"/>
                <w:sz w:val="20"/>
                <w:szCs w:val="20"/>
                <w:lang w:eastAsia="en-AU"/>
              </w:rPr>
              <w:t>Model III</w:t>
            </w:r>
          </w:p>
        </w:tc>
      </w:tr>
      <w:tr w:rsidR="00C812F1" w:rsidRPr="00332FCD" w14:paraId="75E3A94E" w14:textId="77777777" w:rsidTr="00576457">
        <w:trPr>
          <w:trHeight w:val="255"/>
        </w:trPr>
        <w:tc>
          <w:tcPr>
            <w:tcW w:w="1518" w:type="dxa"/>
            <w:vMerge w:val="restart"/>
            <w:tcBorders>
              <w:left w:val="single" w:sz="8" w:space="0" w:color="000000"/>
              <w:bottom w:val="single" w:sz="8" w:space="0" w:color="000000"/>
              <w:right w:val="single" w:sz="8" w:space="0" w:color="000000"/>
            </w:tcBorders>
            <w:shd w:val="clear" w:color="auto" w:fill="auto"/>
            <w:vAlign w:val="center"/>
            <w:hideMark/>
          </w:tcPr>
          <w:p w14:paraId="0895DB92" w14:textId="77777777" w:rsidR="00C812F1" w:rsidRPr="00332FCD" w:rsidRDefault="00C812F1" w:rsidP="00C43C8A">
            <w:pPr>
              <w:spacing w:after="0" w:line="240" w:lineRule="auto"/>
              <w:rPr>
                <w:rFonts w:ascii="Times New Roman" w:eastAsia="Times New Roman" w:hAnsi="Times New Roman" w:cs="Times New Roman"/>
                <w:b/>
                <w:bCs/>
                <w:color w:val="000000"/>
                <w:sz w:val="20"/>
                <w:szCs w:val="20"/>
                <w:lang w:eastAsia="en-AU"/>
              </w:rPr>
            </w:pPr>
            <w:r w:rsidRPr="00332FCD">
              <w:rPr>
                <w:rFonts w:ascii="Times New Roman" w:eastAsia="Times New Roman" w:hAnsi="Times New Roman" w:cs="Times New Roman"/>
                <w:b/>
                <w:bCs/>
                <w:color w:val="000000"/>
                <w:sz w:val="20"/>
                <w:szCs w:val="20"/>
                <w:lang w:eastAsia="en-AU"/>
              </w:rPr>
              <w:t>Variables</w:t>
            </w:r>
          </w:p>
        </w:tc>
        <w:tc>
          <w:tcPr>
            <w:tcW w:w="2430" w:type="dxa"/>
            <w:gridSpan w:val="3"/>
            <w:tcBorders>
              <w:left w:val="nil"/>
              <w:bottom w:val="nil"/>
              <w:right w:val="single" w:sz="8" w:space="0" w:color="000000"/>
            </w:tcBorders>
            <w:shd w:val="clear" w:color="auto" w:fill="auto"/>
            <w:noWrap/>
            <w:vAlign w:val="center"/>
            <w:hideMark/>
          </w:tcPr>
          <w:p w14:paraId="78152E00"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sidRPr="00332FCD">
              <w:rPr>
                <w:rFonts w:ascii="Times New Roman" w:eastAsia="Times New Roman" w:hAnsi="Times New Roman" w:cs="Times New Roman"/>
                <w:b/>
                <w:bCs/>
                <w:color w:val="000000"/>
                <w:sz w:val="20"/>
                <w:szCs w:val="20"/>
                <w:lang w:eastAsia="en-AU"/>
              </w:rPr>
              <w:t>Purchased analyst research = 1</w:t>
            </w:r>
          </w:p>
        </w:tc>
        <w:tc>
          <w:tcPr>
            <w:tcW w:w="2585" w:type="dxa"/>
            <w:gridSpan w:val="3"/>
            <w:tcBorders>
              <w:left w:val="nil"/>
              <w:bottom w:val="nil"/>
              <w:right w:val="single" w:sz="8" w:space="0" w:color="000000"/>
            </w:tcBorders>
            <w:shd w:val="clear" w:color="auto" w:fill="auto"/>
            <w:noWrap/>
            <w:vAlign w:val="center"/>
            <w:hideMark/>
          </w:tcPr>
          <w:p w14:paraId="5F92BE85"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sidRPr="00332FCD">
              <w:rPr>
                <w:rFonts w:ascii="Times New Roman" w:eastAsia="Times New Roman" w:hAnsi="Times New Roman" w:cs="Times New Roman"/>
                <w:b/>
                <w:bCs/>
                <w:color w:val="000000"/>
                <w:sz w:val="20"/>
                <w:szCs w:val="20"/>
                <w:lang w:eastAsia="en-AU"/>
              </w:rPr>
              <w:t>Investor presentations = 1</w:t>
            </w:r>
          </w:p>
        </w:tc>
        <w:tc>
          <w:tcPr>
            <w:tcW w:w="2423" w:type="dxa"/>
            <w:gridSpan w:val="3"/>
            <w:tcBorders>
              <w:left w:val="nil"/>
              <w:bottom w:val="nil"/>
              <w:right w:val="single" w:sz="8" w:space="0" w:color="000000"/>
            </w:tcBorders>
            <w:shd w:val="clear" w:color="auto" w:fill="auto"/>
            <w:noWrap/>
            <w:vAlign w:val="center"/>
            <w:hideMark/>
          </w:tcPr>
          <w:p w14:paraId="1BA3CC5C" w14:textId="77777777" w:rsidR="00C812F1" w:rsidRPr="00332FCD" w:rsidRDefault="00C812F1" w:rsidP="00C43C8A">
            <w:pPr>
              <w:spacing w:after="0" w:line="240" w:lineRule="auto"/>
              <w:jc w:val="center"/>
              <w:rPr>
                <w:rFonts w:ascii="Times New Roman" w:eastAsia="Times New Roman" w:hAnsi="Times New Roman" w:cs="Times New Roman"/>
                <w:b/>
                <w:bCs/>
                <w:color w:val="000000"/>
                <w:sz w:val="20"/>
                <w:szCs w:val="20"/>
                <w:lang w:eastAsia="en-AU"/>
              </w:rPr>
            </w:pPr>
            <w:r w:rsidRPr="00332FCD">
              <w:rPr>
                <w:rFonts w:ascii="Times New Roman" w:eastAsia="Times New Roman" w:hAnsi="Times New Roman" w:cs="Times New Roman"/>
                <w:b/>
                <w:bCs/>
                <w:color w:val="000000"/>
                <w:sz w:val="20"/>
                <w:szCs w:val="20"/>
                <w:lang w:eastAsia="en-AU"/>
              </w:rPr>
              <w:t>Open Briefings = 1</w:t>
            </w:r>
          </w:p>
        </w:tc>
      </w:tr>
      <w:tr w:rsidR="00C812F1" w:rsidRPr="00332FCD" w14:paraId="3D837B4B" w14:textId="77777777" w:rsidTr="00576457">
        <w:trPr>
          <w:trHeight w:val="269"/>
        </w:trPr>
        <w:tc>
          <w:tcPr>
            <w:tcW w:w="1518" w:type="dxa"/>
            <w:vMerge/>
            <w:tcBorders>
              <w:top w:val="nil"/>
              <w:left w:val="single" w:sz="8" w:space="0" w:color="000000"/>
              <w:bottom w:val="single" w:sz="8" w:space="0" w:color="000000"/>
              <w:right w:val="single" w:sz="8" w:space="0" w:color="000000"/>
            </w:tcBorders>
            <w:vAlign w:val="center"/>
            <w:hideMark/>
          </w:tcPr>
          <w:p w14:paraId="39E304E8" w14:textId="77777777" w:rsidR="00C812F1" w:rsidRPr="00332FCD" w:rsidRDefault="00C812F1" w:rsidP="00C43C8A">
            <w:pPr>
              <w:spacing w:after="0" w:line="240" w:lineRule="auto"/>
              <w:rPr>
                <w:rFonts w:ascii="Times New Roman" w:eastAsia="Times New Roman" w:hAnsi="Times New Roman" w:cs="Times New Roman"/>
                <w:b/>
                <w:bCs/>
                <w:color w:val="000000"/>
                <w:sz w:val="20"/>
                <w:szCs w:val="20"/>
                <w:lang w:eastAsia="en-AU"/>
              </w:rPr>
            </w:pPr>
          </w:p>
        </w:tc>
        <w:tc>
          <w:tcPr>
            <w:tcW w:w="976" w:type="dxa"/>
            <w:tcBorders>
              <w:top w:val="nil"/>
              <w:left w:val="nil"/>
              <w:bottom w:val="single" w:sz="8" w:space="0" w:color="000000"/>
              <w:right w:val="nil"/>
            </w:tcBorders>
            <w:shd w:val="clear" w:color="auto" w:fill="auto"/>
            <w:noWrap/>
            <w:vAlign w:val="center"/>
            <w:hideMark/>
          </w:tcPr>
          <w:p w14:paraId="553FFD97"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332FCD">
              <w:rPr>
                <w:rFonts w:ascii="Times New Roman" w:eastAsia="Times New Roman" w:hAnsi="Times New Roman" w:cs="Times New Roman"/>
                <w:b/>
                <w:bCs/>
                <w:i/>
                <w:iCs/>
                <w:color w:val="000000"/>
                <w:sz w:val="20"/>
                <w:szCs w:val="20"/>
                <w:lang w:eastAsia="en-AU"/>
              </w:rPr>
              <w:t>coeff</w:t>
            </w:r>
            <w:proofErr w:type="spellEnd"/>
            <w:proofErr w:type="gramEnd"/>
            <w:r w:rsidRPr="00332FCD">
              <w:rPr>
                <w:rFonts w:ascii="Times New Roman" w:eastAsia="Times New Roman" w:hAnsi="Times New Roman" w:cs="Times New Roman"/>
                <w:b/>
                <w:bCs/>
                <w:i/>
                <w:iCs/>
                <w:color w:val="000000"/>
                <w:sz w:val="20"/>
                <w:szCs w:val="20"/>
                <w:lang w:eastAsia="en-AU"/>
              </w:rPr>
              <w:t>.</w:t>
            </w:r>
          </w:p>
        </w:tc>
        <w:tc>
          <w:tcPr>
            <w:tcW w:w="1035" w:type="dxa"/>
            <w:tcBorders>
              <w:top w:val="nil"/>
              <w:left w:val="nil"/>
              <w:bottom w:val="single" w:sz="8" w:space="0" w:color="000000"/>
              <w:right w:val="nil"/>
            </w:tcBorders>
            <w:shd w:val="clear" w:color="auto" w:fill="auto"/>
            <w:noWrap/>
            <w:vAlign w:val="center"/>
            <w:hideMark/>
          </w:tcPr>
          <w:p w14:paraId="12F0645F"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r>
              <w:rPr>
                <w:rFonts w:ascii="Times New Roman" w:eastAsia="Times New Roman" w:hAnsi="Times New Roman" w:cs="Times New Roman"/>
                <w:b/>
                <w:bCs/>
                <w:i/>
                <w:iCs/>
                <w:color w:val="000000"/>
                <w:sz w:val="20"/>
                <w:szCs w:val="20"/>
                <w:lang w:val="en-US" w:eastAsia="en-AU"/>
              </w:rPr>
              <w:t>p-value</w:t>
            </w:r>
          </w:p>
        </w:tc>
        <w:tc>
          <w:tcPr>
            <w:tcW w:w="418" w:type="dxa"/>
            <w:tcBorders>
              <w:top w:val="nil"/>
              <w:left w:val="nil"/>
              <w:bottom w:val="single" w:sz="8" w:space="0" w:color="000000"/>
              <w:right w:val="single" w:sz="8" w:space="0" w:color="000000"/>
            </w:tcBorders>
            <w:shd w:val="clear" w:color="auto" w:fill="auto"/>
            <w:noWrap/>
            <w:vAlign w:val="center"/>
            <w:hideMark/>
          </w:tcPr>
          <w:p w14:paraId="2B47542C" w14:textId="77777777" w:rsidR="00C812F1" w:rsidRPr="00332FCD" w:rsidRDefault="00C812F1" w:rsidP="00C43C8A">
            <w:pPr>
              <w:spacing w:after="0" w:line="240" w:lineRule="auto"/>
              <w:rPr>
                <w:rFonts w:ascii="Times New Roman" w:eastAsia="Times New Roman" w:hAnsi="Times New Roman" w:cs="Times New Roman"/>
                <w:color w:val="000000"/>
                <w:sz w:val="20"/>
                <w:szCs w:val="20"/>
                <w:lang w:eastAsia="en-AU"/>
              </w:rPr>
            </w:pPr>
            <w:r w:rsidRPr="00332FCD">
              <w:rPr>
                <w:rFonts w:ascii="Times New Roman" w:eastAsia="Times New Roman" w:hAnsi="Times New Roman" w:cs="Times New Roman"/>
                <w:color w:val="000000"/>
                <w:sz w:val="20"/>
                <w:szCs w:val="20"/>
                <w:lang w:eastAsia="en-AU"/>
              </w:rPr>
              <w:t> </w:t>
            </w:r>
          </w:p>
        </w:tc>
        <w:tc>
          <w:tcPr>
            <w:tcW w:w="1083" w:type="dxa"/>
            <w:tcBorders>
              <w:top w:val="nil"/>
              <w:left w:val="nil"/>
              <w:bottom w:val="single" w:sz="8" w:space="0" w:color="000000"/>
              <w:right w:val="nil"/>
            </w:tcBorders>
            <w:shd w:val="clear" w:color="auto" w:fill="auto"/>
            <w:noWrap/>
            <w:vAlign w:val="center"/>
            <w:hideMark/>
          </w:tcPr>
          <w:p w14:paraId="6A74F6A5"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332FCD">
              <w:rPr>
                <w:rFonts w:ascii="Times New Roman" w:eastAsia="Times New Roman" w:hAnsi="Times New Roman" w:cs="Times New Roman"/>
                <w:b/>
                <w:bCs/>
                <w:i/>
                <w:iCs/>
                <w:color w:val="000000"/>
                <w:sz w:val="20"/>
                <w:szCs w:val="20"/>
                <w:lang w:eastAsia="en-AU"/>
              </w:rPr>
              <w:t>coeff</w:t>
            </w:r>
            <w:proofErr w:type="spellEnd"/>
            <w:proofErr w:type="gramEnd"/>
            <w:r w:rsidRPr="00332FCD">
              <w:rPr>
                <w:rFonts w:ascii="Times New Roman" w:eastAsia="Times New Roman" w:hAnsi="Times New Roman" w:cs="Times New Roman"/>
                <w:b/>
                <w:bCs/>
                <w:i/>
                <w:iCs/>
                <w:color w:val="000000"/>
                <w:sz w:val="20"/>
                <w:szCs w:val="20"/>
                <w:lang w:eastAsia="en-AU"/>
              </w:rPr>
              <w:t>.</w:t>
            </w:r>
          </w:p>
        </w:tc>
        <w:tc>
          <w:tcPr>
            <w:tcW w:w="1083" w:type="dxa"/>
            <w:tcBorders>
              <w:top w:val="nil"/>
              <w:left w:val="nil"/>
              <w:bottom w:val="single" w:sz="8" w:space="0" w:color="000000"/>
              <w:right w:val="nil"/>
            </w:tcBorders>
            <w:shd w:val="clear" w:color="auto" w:fill="auto"/>
            <w:noWrap/>
            <w:vAlign w:val="center"/>
            <w:hideMark/>
          </w:tcPr>
          <w:p w14:paraId="24270FE7"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r>
              <w:rPr>
                <w:rFonts w:ascii="Times New Roman" w:eastAsia="Times New Roman" w:hAnsi="Times New Roman" w:cs="Times New Roman"/>
                <w:b/>
                <w:bCs/>
                <w:i/>
                <w:iCs/>
                <w:color w:val="000000"/>
                <w:sz w:val="20"/>
                <w:szCs w:val="20"/>
                <w:lang w:val="en-US" w:eastAsia="en-AU"/>
              </w:rPr>
              <w:t>p-value</w:t>
            </w:r>
          </w:p>
        </w:tc>
        <w:tc>
          <w:tcPr>
            <w:tcW w:w="418" w:type="dxa"/>
            <w:tcBorders>
              <w:top w:val="nil"/>
              <w:left w:val="nil"/>
              <w:bottom w:val="single" w:sz="8" w:space="0" w:color="000000"/>
              <w:right w:val="single" w:sz="8" w:space="0" w:color="000000"/>
            </w:tcBorders>
            <w:shd w:val="clear" w:color="auto" w:fill="auto"/>
            <w:noWrap/>
            <w:vAlign w:val="center"/>
            <w:hideMark/>
          </w:tcPr>
          <w:p w14:paraId="0999E358" w14:textId="77777777" w:rsidR="00C812F1" w:rsidRPr="00332FCD" w:rsidRDefault="00C812F1" w:rsidP="00C43C8A">
            <w:pPr>
              <w:spacing w:after="0" w:line="240" w:lineRule="auto"/>
              <w:rPr>
                <w:rFonts w:ascii="Times New Roman" w:eastAsia="Times New Roman" w:hAnsi="Times New Roman" w:cs="Times New Roman"/>
                <w:color w:val="000000"/>
                <w:sz w:val="20"/>
                <w:szCs w:val="20"/>
                <w:lang w:eastAsia="en-AU"/>
              </w:rPr>
            </w:pPr>
            <w:r w:rsidRPr="00332FCD">
              <w:rPr>
                <w:rFonts w:ascii="Times New Roman" w:eastAsia="Times New Roman" w:hAnsi="Times New Roman" w:cs="Times New Roman"/>
                <w:color w:val="000000"/>
                <w:sz w:val="20"/>
                <w:szCs w:val="20"/>
                <w:lang w:eastAsia="en-AU"/>
              </w:rPr>
              <w:t> </w:t>
            </w:r>
          </w:p>
        </w:tc>
        <w:tc>
          <w:tcPr>
            <w:tcW w:w="909" w:type="dxa"/>
            <w:tcBorders>
              <w:top w:val="nil"/>
              <w:left w:val="nil"/>
              <w:bottom w:val="single" w:sz="8" w:space="0" w:color="000000"/>
              <w:right w:val="nil"/>
            </w:tcBorders>
            <w:shd w:val="clear" w:color="auto" w:fill="auto"/>
            <w:noWrap/>
            <w:vAlign w:val="center"/>
            <w:hideMark/>
          </w:tcPr>
          <w:p w14:paraId="6FB352F3"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proofErr w:type="spellStart"/>
            <w:proofErr w:type="gramStart"/>
            <w:r w:rsidRPr="00332FCD">
              <w:rPr>
                <w:rFonts w:ascii="Times New Roman" w:eastAsia="Times New Roman" w:hAnsi="Times New Roman" w:cs="Times New Roman"/>
                <w:b/>
                <w:bCs/>
                <w:i/>
                <w:iCs/>
                <w:color w:val="000000"/>
                <w:sz w:val="20"/>
                <w:szCs w:val="20"/>
                <w:lang w:eastAsia="en-AU"/>
              </w:rPr>
              <w:t>coeff</w:t>
            </w:r>
            <w:proofErr w:type="spellEnd"/>
            <w:proofErr w:type="gramEnd"/>
            <w:r w:rsidRPr="00332FCD">
              <w:rPr>
                <w:rFonts w:ascii="Times New Roman" w:eastAsia="Times New Roman" w:hAnsi="Times New Roman" w:cs="Times New Roman"/>
                <w:b/>
                <w:bCs/>
                <w:i/>
                <w:iCs/>
                <w:color w:val="000000"/>
                <w:sz w:val="20"/>
                <w:szCs w:val="20"/>
                <w:lang w:eastAsia="en-AU"/>
              </w:rPr>
              <w:t>.</w:t>
            </w:r>
          </w:p>
        </w:tc>
        <w:tc>
          <w:tcPr>
            <w:tcW w:w="964" w:type="dxa"/>
            <w:tcBorders>
              <w:top w:val="nil"/>
              <w:left w:val="nil"/>
              <w:bottom w:val="single" w:sz="8" w:space="0" w:color="000000"/>
              <w:right w:val="nil"/>
            </w:tcBorders>
            <w:shd w:val="clear" w:color="auto" w:fill="auto"/>
            <w:noWrap/>
            <w:vAlign w:val="center"/>
            <w:hideMark/>
          </w:tcPr>
          <w:p w14:paraId="4D822605" w14:textId="77777777" w:rsidR="00C812F1" w:rsidRPr="00332FCD" w:rsidRDefault="00C812F1" w:rsidP="00C43C8A">
            <w:pPr>
              <w:spacing w:after="0" w:line="240" w:lineRule="auto"/>
              <w:jc w:val="center"/>
              <w:rPr>
                <w:rFonts w:ascii="Times New Roman" w:eastAsia="Times New Roman" w:hAnsi="Times New Roman" w:cs="Times New Roman"/>
                <w:b/>
                <w:bCs/>
                <w:i/>
                <w:iCs/>
                <w:color w:val="000000"/>
                <w:sz w:val="20"/>
                <w:szCs w:val="20"/>
                <w:lang w:eastAsia="en-AU"/>
              </w:rPr>
            </w:pPr>
            <w:r>
              <w:rPr>
                <w:rFonts w:ascii="Times New Roman" w:eastAsia="Times New Roman" w:hAnsi="Times New Roman" w:cs="Times New Roman"/>
                <w:b/>
                <w:bCs/>
                <w:i/>
                <w:iCs/>
                <w:color w:val="000000"/>
                <w:sz w:val="20"/>
                <w:szCs w:val="20"/>
                <w:lang w:val="en-US" w:eastAsia="en-AU"/>
              </w:rPr>
              <w:t>p-value</w:t>
            </w:r>
          </w:p>
        </w:tc>
        <w:tc>
          <w:tcPr>
            <w:tcW w:w="549" w:type="dxa"/>
            <w:tcBorders>
              <w:top w:val="nil"/>
              <w:left w:val="nil"/>
              <w:bottom w:val="single" w:sz="8" w:space="0" w:color="000000"/>
              <w:right w:val="single" w:sz="8" w:space="0" w:color="000000"/>
            </w:tcBorders>
            <w:shd w:val="clear" w:color="auto" w:fill="auto"/>
            <w:noWrap/>
            <w:vAlign w:val="center"/>
            <w:hideMark/>
          </w:tcPr>
          <w:p w14:paraId="14F95D78" w14:textId="77777777" w:rsidR="00C812F1" w:rsidRPr="00332FCD" w:rsidRDefault="00C812F1" w:rsidP="00C43C8A">
            <w:pPr>
              <w:spacing w:after="0" w:line="240" w:lineRule="auto"/>
              <w:rPr>
                <w:rFonts w:ascii="Times New Roman" w:eastAsia="Times New Roman" w:hAnsi="Times New Roman" w:cs="Times New Roman"/>
                <w:color w:val="000000"/>
                <w:sz w:val="20"/>
                <w:szCs w:val="20"/>
                <w:lang w:eastAsia="en-AU"/>
              </w:rPr>
            </w:pPr>
            <w:r w:rsidRPr="00332FCD">
              <w:rPr>
                <w:rFonts w:ascii="Times New Roman" w:eastAsia="Times New Roman" w:hAnsi="Times New Roman" w:cs="Times New Roman"/>
                <w:color w:val="000000"/>
                <w:sz w:val="20"/>
                <w:szCs w:val="20"/>
                <w:lang w:eastAsia="en-AU"/>
              </w:rPr>
              <w:t> </w:t>
            </w:r>
          </w:p>
        </w:tc>
      </w:tr>
      <w:tr w:rsidR="00576457" w:rsidRPr="00332FCD" w14:paraId="0C2BA061"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781DB6A6"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sidRPr="00332FCD">
              <w:rPr>
                <w:rFonts w:ascii="Times New Roman" w:eastAsia="Times New Roman" w:hAnsi="Times New Roman" w:cs="Times New Roman"/>
                <w:i/>
                <w:iCs/>
                <w:color w:val="000000"/>
                <w:sz w:val="20"/>
                <w:szCs w:val="20"/>
                <w:lang w:eastAsia="en-AU"/>
              </w:rPr>
              <w:t>Constant</w:t>
            </w:r>
          </w:p>
        </w:tc>
        <w:tc>
          <w:tcPr>
            <w:tcW w:w="976" w:type="dxa"/>
            <w:tcBorders>
              <w:top w:val="nil"/>
              <w:left w:val="nil"/>
              <w:bottom w:val="nil"/>
              <w:right w:val="nil"/>
            </w:tcBorders>
            <w:shd w:val="clear" w:color="auto" w:fill="auto"/>
            <w:noWrap/>
            <w:vAlign w:val="center"/>
          </w:tcPr>
          <w:p w14:paraId="26F4E64F" w14:textId="06B8DB7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-0.118</w:t>
            </w:r>
          </w:p>
        </w:tc>
        <w:tc>
          <w:tcPr>
            <w:tcW w:w="1035" w:type="dxa"/>
            <w:tcBorders>
              <w:top w:val="nil"/>
              <w:left w:val="nil"/>
              <w:bottom w:val="nil"/>
              <w:right w:val="nil"/>
            </w:tcBorders>
            <w:shd w:val="clear" w:color="auto" w:fill="auto"/>
            <w:noWrap/>
            <w:vAlign w:val="center"/>
          </w:tcPr>
          <w:p w14:paraId="1C341CAC" w14:textId="7CC70E1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0.917</w:t>
            </w:r>
          </w:p>
        </w:tc>
        <w:tc>
          <w:tcPr>
            <w:tcW w:w="418" w:type="dxa"/>
            <w:tcBorders>
              <w:top w:val="nil"/>
              <w:left w:val="nil"/>
              <w:bottom w:val="nil"/>
              <w:right w:val="nil"/>
            </w:tcBorders>
            <w:shd w:val="clear" w:color="auto" w:fill="auto"/>
            <w:noWrap/>
            <w:vAlign w:val="center"/>
          </w:tcPr>
          <w:p w14:paraId="163CC043"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single" w:sz="8" w:space="0" w:color="000000"/>
              <w:bottom w:val="nil"/>
              <w:right w:val="nil"/>
            </w:tcBorders>
            <w:shd w:val="clear" w:color="auto" w:fill="auto"/>
            <w:noWrap/>
            <w:vAlign w:val="center"/>
          </w:tcPr>
          <w:p w14:paraId="33A892A6" w14:textId="7B7436E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-1.478</w:t>
            </w:r>
          </w:p>
        </w:tc>
        <w:tc>
          <w:tcPr>
            <w:tcW w:w="1083" w:type="dxa"/>
            <w:tcBorders>
              <w:top w:val="nil"/>
              <w:left w:val="nil"/>
              <w:bottom w:val="nil"/>
              <w:right w:val="nil"/>
            </w:tcBorders>
            <w:shd w:val="clear" w:color="auto" w:fill="auto"/>
            <w:noWrap/>
            <w:vAlign w:val="center"/>
          </w:tcPr>
          <w:p w14:paraId="650EA8A5" w14:textId="346A74A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0.016</w:t>
            </w:r>
          </w:p>
        </w:tc>
        <w:tc>
          <w:tcPr>
            <w:tcW w:w="418" w:type="dxa"/>
            <w:tcBorders>
              <w:top w:val="nil"/>
              <w:left w:val="nil"/>
              <w:bottom w:val="nil"/>
              <w:right w:val="single" w:sz="8" w:space="0" w:color="000000"/>
            </w:tcBorders>
            <w:shd w:val="clear" w:color="auto" w:fill="auto"/>
            <w:noWrap/>
            <w:vAlign w:val="center"/>
          </w:tcPr>
          <w:p w14:paraId="7E68A093" w14:textId="730A5B45"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0EE5110E" w14:textId="6F5C6B2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0.398</w:t>
            </w:r>
          </w:p>
        </w:tc>
        <w:tc>
          <w:tcPr>
            <w:tcW w:w="964" w:type="dxa"/>
            <w:tcBorders>
              <w:top w:val="nil"/>
              <w:left w:val="nil"/>
              <w:bottom w:val="nil"/>
              <w:right w:val="nil"/>
            </w:tcBorders>
            <w:shd w:val="clear" w:color="auto" w:fill="auto"/>
            <w:noWrap/>
            <w:vAlign w:val="center"/>
          </w:tcPr>
          <w:p w14:paraId="04CBFE10" w14:textId="47870E5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0.523</w:t>
            </w:r>
          </w:p>
        </w:tc>
        <w:tc>
          <w:tcPr>
            <w:tcW w:w="549" w:type="dxa"/>
            <w:tcBorders>
              <w:top w:val="nil"/>
              <w:left w:val="nil"/>
              <w:bottom w:val="nil"/>
              <w:right w:val="single" w:sz="8" w:space="0" w:color="000000"/>
            </w:tcBorders>
            <w:shd w:val="clear" w:color="auto" w:fill="auto"/>
            <w:noWrap/>
            <w:vAlign w:val="center"/>
          </w:tcPr>
          <w:p w14:paraId="20DE533A" w14:textId="233DAD05"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5A164A52" w14:textId="77777777" w:rsidTr="00576457">
        <w:trPr>
          <w:trHeight w:val="127"/>
        </w:trPr>
        <w:tc>
          <w:tcPr>
            <w:tcW w:w="1518" w:type="dxa"/>
            <w:tcBorders>
              <w:top w:val="nil"/>
              <w:left w:val="single" w:sz="8" w:space="0" w:color="000000"/>
              <w:bottom w:val="nil"/>
              <w:right w:val="single" w:sz="8" w:space="0" w:color="000000"/>
            </w:tcBorders>
            <w:shd w:val="clear" w:color="auto" w:fill="auto"/>
            <w:vAlign w:val="center"/>
            <w:hideMark/>
          </w:tcPr>
          <w:p w14:paraId="00B46795"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332FCD">
              <w:rPr>
                <w:rFonts w:ascii="Times New Roman" w:eastAsia="Times New Roman" w:hAnsi="Times New Roman" w:cs="Times New Roman"/>
                <w:i/>
                <w:iCs/>
                <w:color w:val="000000"/>
                <w:sz w:val="20"/>
                <w:szCs w:val="20"/>
                <w:lang w:eastAsia="en-AU"/>
              </w:rPr>
              <w:t>LnAge</w:t>
            </w:r>
            <w:proofErr w:type="spellEnd"/>
          </w:p>
        </w:tc>
        <w:tc>
          <w:tcPr>
            <w:tcW w:w="976" w:type="dxa"/>
            <w:tcBorders>
              <w:top w:val="nil"/>
              <w:left w:val="nil"/>
              <w:bottom w:val="nil"/>
              <w:right w:val="nil"/>
            </w:tcBorders>
            <w:shd w:val="clear" w:color="auto" w:fill="auto"/>
            <w:noWrap/>
            <w:vAlign w:val="center"/>
          </w:tcPr>
          <w:p w14:paraId="23F67767" w14:textId="1023600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-0.346</w:t>
            </w:r>
          </w:p>
        </w:tc>
        <w:tc>
          <w:tcPr>
            <w:tcW w:w="1035" w:type="dxa"/>
            <w:tcBorders>
              <w:top w:val="nil"/>
              <w:left w:val="nil"/>
              <w:bottom w:val="nil"/>
              <w:right w:val="nil"/>
            </w:tcBorders>
            <w:shd w:val="clear" w:color="auto" w:fill="auto"/>
            <w:noWrap/>
            <w:vAlign w:val="center"/>
          </w:tcPr>
          <w:p w14:paraId="414F6DB4" w14:textId="3826A8E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0.003</w:t>
            </w:r>
          </w:p>
        </w:tc>
        <w:tc>
          <w:tcPr>
            <w:tcW w:w="418" w:type="dxa"/>
            <w:tcBorders>
              <w:top w:val="nil"/>
              <w:left w:val="nil"/>
              <w:bottom w:val="nil"/>
              <w:right w:val="nil"/>
            </w:tcBorders>
            <w:shd w:val="clear" w:color="auto" w:fill="auto"/>
            <w:noWrap/>
            <w:vAlign w:val="center"/>
          </w:tcPr>
          <w:p w14:paraId="1F307C14" w14:textId="3E2A9C0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1083" w:type="dxa"/>
            <w:tcBorders>
              <w:top w:val="nil"/>
              <w:left w:val="single" w:sz="8" w:space="0" w:color="000000"/>
              <w:bottom w:val="nil"/>
              <w:right w:val="nil"/>
            </w:tcBorders>
            <w:shd w:val="clear" w:color="auto" w:fill="auto"/>
            <w:noWrap/>
            <w:vAlign w:val="center"/>
          </w:tcPr>
          <w:p w14:paraId="2214D9CB" w14:textId="03AFB66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-0.107</w:t>
            </w:r>
          </w:p>
        </w:tc>
        <w:tc>
          <w:tcPr>
            <w:tcW w:w="1083" w:type="dxa"/>
            <w:tcBorders>
              <w:top w:val="nil"/>
              <w:left w:val="nil"/>
              <w:bottom w:val="nil"/>
              <w:right w:val="nil"/>
            </w:tcBorders>
            <w:shd w:val="clear" w:color="auto" w:fill="auto"/>
            <w:noWrap/>
            <w:vAlign w:val="center"/>
          </w:tcPr>
          <w:p w14:paraId="14F40203" w14:textId="06F506F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0.088</w:t>
            </w:r>
          </w:p>
        </w:tc>
        <w:tc>
          <w:tcPr>
            <w:tcW w:w="418" w:type="dxa"/>
            <w:tcBorders>
              <w:top w:val="nil"/>
              <w:left w:val="nil"/>
              <w:bottom w:val="nil"/>
              <w:right w:val="single" w:sz="8" w:space="0" w:color="000000"/>
            </w:tcBorders>
            <w:shd w:val="clear" w:color="auto" w:fill="auto"/>
            <w:noWrap/>
            <w:vAlign w:val="center"/>
          </w:tcPr>
          <w:p w14:paraId="6FFDE895" w14:textId="011966D6"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7AD07E82" w14:textId="468AD43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0.217</w:t>
            </w:r>
          </w:p>
        </w:tc>
        <w:tc>
          <w:tcPr>
            <w:tcW w:w="964" w:type="dxa"/>
            <w:tcBorders>
              <w:top w:val="nil"/>
              <w:left w:val="nil"/>
              <w:bottom w:val="nil"/>
              <w:right w:val="nil"/>
            </w:tcBorders>
            <w:shd w:val="clear" w:color="auto" w:fill="auto"/>
            <w:noWrap/>
            <w:vAlign w:val="center"/>
          </w:tcPr>
          <w:p w14:paraId="2B922E19" w14:textId="56FB3B5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0.001</w:t>
            </w:r>
          </w:p>
        </w:tc>
        <w:tc>
          <w:tcPr>
            <w:tcW w:w="549" w:type="dxa"/>
            <w:tcBorders>
              <w:top w:val="nil"/>
              <w:left w:val="nil"/>
              <w:bottom w:val="nil"/>
              <w:right w:val="single" w:sz="8" w:space="0" w:color="000000"/>
            </w:tcBorders>
            <w:shd w:val="clear" w:color="auto" w:fill="auto"/>
            <w:noWrap/>
            <w:vAlign w:val="center"/>
          </w:tcPr>
          <w:p w14:paraId="21FF4C13" w14:textId="7F2027E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54ABF118"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242E0854"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sidRPr="00332FCD">
              <w:rPr>
                <w:rFonts w:ascii="Times New Roman" w:eastAsia="Times New Roman" w:hAnsi="Times New Roman" w:cs="Times New Roman"/>
                <w:i/>
                <w:iCs/>
                <w:color w:val="000000"/>
                <w:sz w:val="20"/>
                <w:szCs w:val="20"/>
                <w:lang w:eastAsia="en-AU"/>
              </w:rPr>
              <w:t>Top20</w:t>
            </w:r>
          </w:p>
        </w:tc>
        <w:tc>
          <w:tcPr>
            <w:tcW w:w="976" w:type="dxa"/>
            <w:tcBorders>
              <w:top w:val="nil"/>
              <w:left w:val="nil"/>
              <w:bottom w:val="nil"/>
              <w:right w:val="nil"/>
            </w:tcBorders>
            <w:shd w:val="clear" w:color="auto" w:fill="auto"/>
            <w:noWrap/>
            <w:vAlign w:val="center"/>
          </w:tcPr>
          <w:p w14:paraId="15023E82" w14:textId="0FA6FA8C"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0.011</w:t>
            </w:r>
          </w:p>
        </w:tc>
        <w:tc>
          <w:tcPr>
            <w:tcW w:w="1035" w:type="dxa"/>
            <w:tcBorders>
              <w:top w:val="nil"/>
              <w:left w:val="nil"/>
              <w:bottom w:val="nil"/>
              <w:right w:val="nil"/>
            </w:tcBorders>
            <w:shd w:val="clear" w:color="auto" w:fill="auto"/>
            <w:noWrap/>
            <w:vAlign w:val="center"/>
          </w:tcPr>
          <w:p w14:paraId="1224B95A" w14:textId="13E680A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0.153</w:t>
            </w:r>
          </w:p>
        </w:tc>
        <w:tc>
          <w:tcPr>
            <w:tcW w:w="418" w:type="dxa"/>
            <w:tcBorders>
              <w:top w:val="nil"/>
              <w:left w:val="nil"/>
              <w:bottom w:val="nil"/>
              <w:right w:val="nil"/>
            </w:tcBorders>
            <w:shd w:val="clear" w:color="auto" w:fill="auto"/>
            <w:noWrap/>
            <w:vAlign w:val="center"/>
          </w:tcPr>
          <w:p w14:paraId="25E7670C"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single" w:sz="8" w:space="0" w:color="000000"/>
              <w:bottom w:val="nil"/>
              <w:right w:val="nil"/>
            </w:tcBorders>
            <w:shd w:val="clear" w:color="auto" w:fill="auto"/>
            <w:noWrap/>
            <w:vAlign w:val="center"/>
          </w:tcPr>
          <w:p w14:paraId="3968F76C" w14:textId="0CE1B46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0.016</w:t>
            </w:r>
          </w:p>
        </w:tc>
        <w:tc>
          <w:tcPr>
            <w:tcW w:w="1083" w:type="dxa"/>
            <w:tcBorders>
              <w:top w:val="nil"/>
              <w:left w:val="nil"/>
              <w:bottom w:val="nil"/>
              <w:right w:val="nil"/>
            </w:tcBorders>
            <w:shd w:val="clear" w:color="auto" w:fill="auto"/>
            <w:noWrap/>
            <w:vAlign w:val="center"/>
          </w:tcPr>
          <w:p w14:paraId="0AE8CFB1" w14:textId="49D275F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418" w:type="dxa"/>
            <w:tcBorders>
              <w:top w:val="nil"/>
              <w:left w:val="nil"/>
              <w:bottom w:val="nil"/>
              <w:right w:val="single" w:sz="8" w:space="0" w:color="000000"/>
            </w:tcBorders>
            <w:shd w:val="clear" w:color="auto" w:fill="auto"/>
            <w:noWrap/>
            <w:vAlign w:val="center"/>
          </w:tcPr>
          <w:p w14:paraId="20746A88" w14:textId="2A042E18"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2D27A3D9" w14:textId="7D690C6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-0.019</w:t>
            </w:r>
          </w:p>
        </w:tc>
        <w:tc>
          <w:tcPr>
            <w:tcW w:w="964" w:type="dxa"/>
            <w:tcBorders>
              <w:top w:val="nil"/>
              <w:left w:val="nil"/>
              <w:bottom w:val="nil"/>
              <w:right w:val="nil"/>
            </w:tcBorders>
            <w:shd w:val="clear" w:color="auto" w:fill="auto"/>
            <w:noWrap/>
            <w:vAlign w:val="center"/>
          </w:tcPr>
          <w:p w14:paraId="64C57766" w14:textId="420CF83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549" w:type="dxa"/>
            <w:tcBorders>
              <w:top w:val="nil"/>
              <w:left w:val="nil"/>
              <w:bottom w:val="nil"/>
              <w:right w:val="single" w:sz="8" w:space="0" w:color="000000"/>
            </w:tcBorders>
            <w:shd w:val="clear" w:color="auto" w:fill="auto"/>
            <w:noWrap/>
            <w:vAlign w:val="center"/>
          </w:tcPr>
          <w:p w14:paraId="06826D68" w14:textId="069C716A"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37D45231"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634CF60A"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332FCD">
              <w:rPr>
                <w:rFonts w:ascii="Times New Roman" w:eastAsia="Times New Roman" w:hAnsi="Times New Roman" w:cs="Times New Roman"/>
                <w:i/>
                <w:iCs/>
                <w:color w:val="000000"/>
                <w:sz w:val="20"/>
                <w:szCs w:val="20"/>
                <w:lang w:eastAsia="en-AU"/>
              </w:rPr>
              <w:t>LnMCap</w:t>
            </w:r>
            <w:proofErr w:type="spellEnd"/>
          </w:p>
        </w:tc>
        <w:tc>
          <w:tcPr>
            <w:tcW w:w="976" w:type="dxa"/>
            <w:tcBorders>
              <w:top w:val="nil"/>
              <w:left w:val="nil"/>
              <w:bottom w:val="nil"/>
              <w:right w:val="nil"/>
            </w:tcBorders>
            <w:shd w:val="clear" w:color="auto" w:fill="auto"/>
            <w:noWrap/>
            <w:vAlign w:val="center"/>
          </w:tcPr>
          <w:p w14:paraId="1A87D30C" w14:textId="3AB7B1E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-0.158</w:t>
            </w:r>
          </w:p>
        </w:tc>
        <w:tc>
          <w:tcPr>
            <w:tcW w:w="1035" w:type="dxa"/>
            <w:tcBorders>
              <w:top w:val="nil"/>
              <w:left w:val="nil"/>
              <w:bottom w:val="nil"/>
              <w:right w:val="nil"/>
            </w:tcBorders>
            <w:shd w:val="clear" w:color="auto" w:fill="auto"/>
            <w:noWrap/>
            <w:vAlign w:val="center"/>
          </w:tcPr>
          <w:p w14:paraId="67B83F09" w14:textId="3430757C"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0.147</w:t>
            </w:r>
          </w:p>
        </w:tc>
        <w:tc>
          <w:tcPr>
            <w:tcW w:w="418" w:type="dxa"/>
            <w:tcBorders>
              <w:top w:val="nil"/>
              <w:left w:val="nil"/>
              <w:bottom w:val="nil"/>
              <w:right w:val="nil"/>
            </w:tcBorders>
            <w:shd w:val="clear" w:color="auto" w:fill="auto"/>
            <w:noWrap/>
            <w:vAlign w:val="center"/>
          </w:tcPr>
          <w:p w14:paraId="225727A5"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single" w:sz="8" w:space="0" w:color="000000"/>
              <w:bottom w:val="nil"/>
              <w:right w:val="nil"/>
            </w:tcBorders>
            <w:shd w:val="clear" w:color="auto" w:fill="auto"/>
            <w:noWrap/>
            <w:vAlign w:val="center"/>
          </w:tcPr>
          <w:p w14:paraId="0498A396" w14:textId="4217E0F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0.112</w:t>
            </w:r>
          </w:p>
        </w:tc>
        <w:tc>
          <w:tcPr>
            <w:tcW w:w="1083" w:type="dxa"/>
            <w:tcBorders>
              <w:top w:val="nil"/>
              <w:left w:val="nil"/>
              <w:bottom w:val="nil"/>
              <w:right w:val="nil"/>
            </w:tcBorders>
            <w:shd w:val="clear" w:color="auto" w:fill="auto"/>
            <w:noWrap/>
            <w:vAlign w:val="center"/>
          </w:tcPr>
          <w:p w14:paraId="6EC85F45" w14:textId="291EA2E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0.029</w:t>
            </w:r>
          </w:p>
        </w:tc>
        <w:tc>
          <w:tcPr>
            <w:tcW w:w="418" w:type="dxa"/>
            <w:tcBorders>
              <w:top w:val="nil"/>
              <w:left w:val="nil"/>
              <w:bottom w:val="nil"/>
              <w:right w:val="single" w:sz="8" w:space="0" w:color="000000"/>
            </w:tcBorders>
            <w:shd w:val="clear" w:color="auto" w:fill="auto"/>
            <w:noWrap/>
            <w:vAlign w:val="center"/>
          </w:tcPr>
          <w:p w14:paraId="17FBD999" w14:textId="175B2CD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33D77C0E" w14:textId="1FD4EAA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-0.079</w:t>
            </w:r>
          </w:p>
        </w:tc>
        <w:tc>
          <w:tcPr>
            <w:tcW w:w="964" w:type="dxa"/>
            <w:tcBorders>
              <w:top w:val="nil"/>
              <w:left w:val="nil"/>
              <w:bottom w:val="nil"/>
              <w:right w:val="nil"/>
            </w:tcBorders>
            <w:shd w:val="clear" w:color="auto" w:fill="auto"/>
            <w:noWrap/>
            <w:vAlign w:val="center"/>
          </w:tcPr>
          <w:p w14:paraId="6CBEE4C6" w14:textId="463C119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0.128</w:t>
            </w:r>
          </w:p>
        </w:tc>
        <w:tc>
          <w:tcPr>
            <w:tcW w:w="549" w:type="dxa"/>
            <w:tcBorders>
              <w:top w:val="nil"/>
              <w:left w:val="nil"/>
              <w:bottom w:val="nil"/>
              <w:right w:val="single" w:sz="8" w:space="0" w:color="000000"/>
            </w:tcBorders>
            <w:shd w:val="clear" w:color="auto" w:fill="auto"/>
            <w:noWrap/>
            <w:vAlign w:val="center"/>
          </w:tcPr>
          <w:p w14:paraId="725B68E7" w14:textId="097BBBC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0911CDC2"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tcPr>
          <w:p w14:paraId="6761E768"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332FCD">
              <w:rPr>
                <w:rFonts w:ascii="Times New Roman" w:eastAsia="Times New Roman" w:hAnsi="Times New Roman" w:cs="Times New Roman"/>
                <w:i/>
                <w:iCs/>
                <w:color w:val="000000"/>
                <w:sz w:val="20"/>
                <w:szCs w:val="20"/>
                <w:lang w:eastAsia="en-AU"/>
              </w:rPr>
              <w:t>AnlCov</w:t>
            </w:r>
            <w:proofErr w:type="spellEnd"/>
          </w:p>
        </w:tc>
        <w:tc>
          <w:tcPr>
            <w:tcW w:w="976" w:type="dxa"/>
            <w:tcBorders>
              <w:top w:val="nil"/>
              <w:left w:val="nil"/>
              <w:bottom w:val="nil"/>
              <w:right w:val="nil"/>
            </w:tcBorders>
            <w:shd w:val="clear" w:color="auto" w:fill="auto"/>
            <w:noWrap/>
            <w:vAlign w:val="center"/>
          </w:tcPr>
          <w:p w14:paraId="31F7772B" w14:textId="6ADF86AD"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-0.259</w:t>
            </w:r>
          </w:p>
        </w:tc>
        <w:tc>
          <w:tcPr>
            <w:tcW w:w="1035" w:type="dxa"/>
            <w:tcBorders>
              <w:top w:val="nil"/>
              <w:left w:val="nil"/>
              <w:bottom w:val="nil"/>
              <w:right w:val="nil"/>
            </w:tcBorders>
            <w:shd w:val="clear" w:color="auto" w:fill="auto"/>
            <w:noWrap/>
            <w:vAlign w:val="center"/>
          </w:tcPr>
          <w:p w14:paraId="7DA38628" w14:textId="1C3E7C5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0.401</w:t>
            </w:r>
          </w:p>
        </w:tc>
        <w:tc>
          <w:tcPr>
            <w:tcW w:w="418" w:type="dxa"/>
            <w:tcBorders>
              <w:top w:val="nil"/>
              <w:left w:val="nil"/>
              <w:bottom w:val="nil"/>
              <w:right w:val="nil"/>
            </w:tcBorders>
            <w:shd w:val="clear" w:color="auto" w:fill="auto"/>
            <w:noWrap/>
            <w:vAlign w:val="center"/>
          </w:tcPr>
          <w:p w14:paraId="055EAF0F"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single" w:sz="8" w:space="0" w:color="000000"/>
              <w:bottom w:val="nil"/>
              <w:right w:val="nil"/>
            </w:tcBorders>
            <w:shd w:val="clear" w:color="auto" w:fill="auto"/>
            <w:noWrap/>
            <w:vAlign w:val="center"/>
          </w:tcPr>
          <w:p w14:paraId="1C6E961D" w14:textId="2434887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-0.983</w:t>
            </w:r>
          </w:p>
        </w:tc>
        <w:tc>
          <w:tcPr>
            <w:tcW w:w="1083" w:type="dxa"/>
            <w:tcBorders>
              <w:top w:val="nil"/>
              <w:left w:val="nil"/>
              <w:bottom w:val="nil"/>
              <w:right w:val="nil"/>
            </w:tcBorders>
            <w:shd w:val="clear" w:color="auto" w:fill="auto"/>
            <w:noWrap/>
            <w:vAlign w:val="center"/>
          </w:tcPr>
          <w:p w14:paraId="59818AD5" w14:textId="0E652BC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418" w:type="dxa"/>
            <w:tcBorders>
              <w:top w:val="nil"/>
              <w:left w:val="nil"/>
              <w:bottom w:val="nil"/>
              <w:right w:val="single" w:sz="8" w:space="0" w:color="000000"/>
            </w:tcBorders>
            <w:shd w:val="clear" w:color="auto" w:fill="auto"/>
            <w:noWrap/>
            <w:vAlign w:val="center"/>
          </w:tcPr>
          <w:p w14:paraId="59B80556" w14:textId="5A4D619C"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03B1AD08" w14:textId="65A68239"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1.106</w:t>
            </w:r>
          </w:p>
        </w:tc>
        <w:tc>
          <w:tcPr>
            <w:tcW w:w="964" w:type="dxa"/>
            <w:tcBorders>
              <w:top w:val="nil"/>
              <w:left w:val="nil"/>
              <w:bottom w:val="nil"/>
              <w:right w:val="nil"/>
            </w:tcBorders>
            <w:shd w:val="clear" w:color="auto" w:fill="auto"/>
            <w:noWrap/>
            <w:vAlign w:val="center"/>
          </w:tcPr>
          <w:p w14:paraId="5247B7E3" w14:textId="3FDEBBC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549" w:type="dxa"/>
            <w:tcBorders>
              <w:top w:val="nil"/>
              <w:left w:val="nil"/>
              <w:bottom w:val="nil"/>
              <w:right w:val="single" w:sz="8" w:space="0" w:color="000000"/>
            </w:tcBorders>
            <w:shd w:val="clear" w:color="auto" w:fill="auto"/>
            <w:noWrap/>
            <w:vAlign w:val="center"/>
          </w:tcPr>
          <w:p w14:paraId="24667135" w14:textId="5ED64018"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45D70109"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0B0F343E"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332FCD">
              <w:rPr>
                <w:rFonts w:ascii="Times New Roman" w:eastAsia="Times New Roman" w:hAnsi="Times New Roman" w:cs="Times New Roman"/>
                <w:i/>
                <w:iCs/>
                <w:color w:val="000000"/>
                <w:sz w:val="20"/>
                <w:szCs w:val="20"/>
                <w:lang w:eastAsia="en-AU"/>
              </w:rPr>
              <w:t>CFO_Dum</w:t>
            </w:r>
            <w:proofErr w:type="spellEnd"/>
          </w:p>
        </w:tc>
        <w:tc>
          <w:tcPr>
            <w:tcW w:w="976" w:type="dxa"/>
            <w:tcBorders>
              <w:top w:val="nil"/>
              <w:left w:val="nil"/>
              <w:bottom w:val="nil"/>
              <w:right w:val="nil"/>
            </w:tcBorders>
            <w:shd w:val="clear" w:color="auto" w:fill="auto"/>
            <w:noWrap/>
            <w:vAlign w:val="center"/>
          </w:tcPr>
          <w:p w14:paraId="6153DACE" w14:textId="5C65B62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-0.091</w:t>
            </w:r>
          </w:p>
        </w:tc>
        <w:tc>
          <w:tcPr>
            <w:tcW w:w="1035" w:type="dxa"/>
            <w:tcBorders>
              <w:top w:val="nil"/>
              <w:left w:val="nil"/>
              <w:bottom w:val="nil"/>
              <w:right w:val="nil"/>
            </w:tcBorders>
            <w:shd w:val="clear" w:color="auto" w:fill="auto"/>
            <w:noWrap/>
            <w:vAlign w:val="center"/>
          </w:tcPr>
          <w:p w14:paraId="68FDF816" w14:textId="4509E36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0.763</w:t>
            </w:r>
          </w:p>
        </w:tc>
        <w:tc>
          <w:tcPr>
            <w:tcW w:w="418" w:type="dxa"/>
            <w:tcBorders>
              <w:top w:val="nil"/>
              <w:left w:val="nil"/>
              <w:bottom w:val="nil"/>
              <w:right w:val="nil"/>
            </w:tcBorders>
            <w:shd w:val="clear" w:color="auto" w:fill="auto"/>
            <w:noWrap/>
            <w:vAlign w:val="center"/>
          </w:tcPr>
          <w:p w14:paraId="7223495E"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single" w:sz="8" w:space="0" w:color="000000"/>
              <w:bottom w:val="nil"/>
              <w:right w:val="nil"/>
            </w:tcBorders>
            <w:shd w:val="clear" w:color="auto" w:fill="auto"/>
            <w:noWrap/>
            <w:vAlign w:val="center"/>
          </w:tcPr>
          <w:p w14:paraId="4EC29222" w14:textId="27662CE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-0.420</w:t>
            </w:r>
          </w:p>
        </w:tc>
        <w:tc>
          <w:tcPr>
            <w:tcW w:w="1083" w:type="dxa"/>
            <w:tcBorders>
              <w:top w:val="nil"/>
              <w:left w:val="nil"/>
              <w:bottom w:val="nil"/>
              <w:right w:val="nil"/>
            </w:tcBorders>
            <w:shd w:val="clear" w:color="auto" w:fill="auto"/>
            <w:noWrap/>
            <w:vAlign w:val="center"/>
          </w:tcPr>
          <w:p w14:paraId="196D0D47" w14:textId="15D57A2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0.004</w:t>
            </w:r>
          </w:p>
        </w:tc>
        <w:tc>
          <w:tcPr>
            <w:tcW w:w="418" w:type="dxa"/>
            <w:tcBorders>
              <w:top w:val="nil"/>
              <w:left w:val="nil"/>
              <w:bottom w:val="nil"/>
              <w:right w:val="single" w:sz="8" w:space="0" w:color="000000"/>
            </w:tcBorders>
            <w:shd w:val="clear" w:color="auto" w:fill="auto"/>
            <w:noWrap/>
            <w:vAlign w:val="center"/>
          </w:tcPr>
          <w:p w14:paraId="07A317FD" w14:textId="39BB0028"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16DC0B6C" w14:textId="5601D2E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0.435</w:t>
            </w:r>
          </w:p>
        </w:tc>
        <w:tc>
          <w:tcPr>
            <w:tcW w:w="964" w:type="dxa"/>
            <w:tcBorders>
              <w:top w:val="nil"/>
              <w:left w:val="nil"/>
              <w:bottom w:val="nil"/>
              <w:right w:val="nil"/>
            </w:tcBorders>
            <w:shd w:val="clear" w:color="auto" w:fill="auto"/>
            <w:noWrap/>
            <w:vAlign w:val="center"/>
          </w:tcPr>
          <w:p w14:paraId="12AEDECA" w14:textId="1F04AFA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0.003</w:t>
            </w:r>
          </w:p>
        </w:tc>
        <w:tc>
          <w:tcPr>
            <w:tcW w:w="549" w:type="dxa"/>
            <w:tcBorders>
              <w:top w:val="nil"/>
              <w:left w:val="nil"/>
              <w:bottom w:val="nil"/>
              <w:right w:val="single" w:sz="8" w:space="0" w:color="000000"/>
            </w:tcBorders>
            <w:shd w:val="clear" w:color="auto" w:fill="auto"/>
            <w:noWrap/>
            <w:vAlign w:val="center"/>
          </w:tcPr>
          <w:p w14:paraId="59A5B9D5" w14:textId="11D2607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6A2E4D50" w14:textId="77777777" w:rsidTr="00576457">
        <w:trPr>
          <w:trHeight w:val="269"/>
        </w:trPr>
        <w:tc>
          <w:tcPr>
            <w:tcW w:w="1518" w:type="dxa"/>
            <w:tcBorders>
              <w:top w:val="nil"/>
              <w:left w:val="single" w:sz="8" w:space="0" w:color="000000"/>
              <w:bottom w:val="single" w:sz="8" w:space="0" w:color="000000"/>
              <w:right w:val="single" w:sz="8" w:space="0" w:color="000000"/>
            </w:tcBorders>
            <w:shd w:val="clear" w:color="auto" w:fill="auto"/>
            <w:vAlign w:val="center"/>
            <w:hideMark/>
          </w:tcPr>
          <w:p w14:paraId="644F9C3F" w14:textId="5882B371"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Pr>
                <w:rFonts w:ascii="Times New Roman" w:eastAsia="Times New Roman" w:hAnsi="Times New Roman" w:cs="Times New Roman"/>
                <w:i/>
                <w:iCs/>
                <w:color w:val="000000"/>
                <w:sz w:val="20"/>
                <w:szCs w:val="20"/>
                <w:lang w:eastAsia="en-AU"/>
              </w:rPr>
              <w:t>TLTA</w:t>
            </w:r>
          </w:p>
        </w:tc>
        <w:tc>
          <w:tcPr>
            <w:tcW w:w="976" w:type="dxa"/>
            <w:tcBorders>
              <w:top w:val="nil"/>
              <w:left w:val="nil"/>
              <w:bottom w:val="single" w:sz="8" w:space="0" w:color="000000"/>
              <w:right w:val="nil"/>
            </w:tcBorders>
            <w:shd w:val="clear" w:color="auto" w:fill="auto"/>
            <w:noWrap/>
            <w:vAlign w:val="center"/>
          </w:tcPr>
          <w:p w14:paraId="5D29FEE4" w14:textId="4ECACEA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0.392</w:t>
            </w:r>
          </w:p>
        </w:tc>
        <w:tc>
          <w:tcPr>
            <w:tcW w:w="1035" w:type="dxa"/>
            <w:tcBorders>
              <w:top w:val="nil"/>
              <w:left w:val="nil"/>
              <w:bottom w:val="single" w:sz="8" w:space="0" w:color="000000"/>
              <w:right w:val="nil"/>
            </w:tcBorders>
            <w:shd w:val="clear" w:color="auto" w:fill="auto"/>
            <w:noWrap/>
            <w:vAlign w:val="center"/>
          </w:tcPr>
          <w:p w14:paraId="2F246126" w14:textId="5566C35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0.535</w:t>
            </w:r>
          </w:p>
        </w:tc>
        <w:tc>
          <w:tcPr>
            <w:tcW w:w="418" w:type="dxa"/>
            <w:tcBorders>
              <w:top w:val="nil"/>
              <w:left w:val="nil"/>
              <w:bottom w:val="single" w:sz="8" w:space="0" w:color="000000"/>
              <w:right w:val="nil"/>
            </w:tcBorders>
            <w:shd w:val="clear" w:color="auto" w:fill="auto"/>
            <w:noWrap/>
            <w:vAlign w:val="center"/>
          </w:tcPr>
          <w:p w14:paraId="21AFACFF" w14:textId="625FF4C8"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83" w:type="dxa"/>
            <w:tcBorders>
              <w:top w:val="nil"/>
              <w:left w:val="single" w:sz="8" w:space="0" w:color="000000"/>
              <w:bottom w:val="single" w:sz="8" w:space="0" w:color="000000"/>
              <w:right w:val="nil"/>
            </w:tcBorders>
            <w:shd w:val="clear" w:color="auto" w:fill="auto"/>
            <w:noWrap/>
            <w:vAlign w:val="center"/>
          </w:tcPr>
          <w:p w14:paraId="6B8C8355" w14:textId="163E8E4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0.425</w:t>
            </w:r>
          </w:p>
        </w:tc>
        <w:tc>
          <w:tcPr>
            <w:tcW w:w="1083" w:type="dxa"/>
            <w:tcBorders>
              <w:top w:val="nil"/>
              <w:left w:val="nil"/>
              <w:bottom w:val="single" w:sz="8" w:space="0" w:color="000000"/>
              <w:right w:val="nil"/>
            </w:tcBorders>
            <w:shd w:val="clear" w:color="auto" w:fill="auto"/>
            <w:noWrap/>
            <w:vAlign w:val="center"/>
          </w:tcPr>
          <w:p w14:paraId="089745C6" w14:textId="78E3EECF"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0.193</w:t>
            </w:r>
          </w:p>
        </w:tc>
        <w:tc>
          <w:tcPr>
            <w:tcW w:w="418" w:type="dxa"/>
            <w:tcBorders>
              <w:top w:val="nil"/>
              <w:left w:val="nil"/>
              <w:bottom w:val="single" w:sz="8" w:space="0" w:color="000000"/>
              <w:right w:val="single" w:sz="8" w:space="0" w:color="000000"/>
            </w:tcBorders>
            <w:shd w:val="clear" w:color="auto" w:fill="auto"/>
            <w:noWrap/>
            <w:vAlign w:val="center"/>
          </w:tcPr>
          <w:p w14:paraId="2E5C7401" w14:textId="5B4D78E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09" w:type="dxa"/>
            <w:tcBorders>
              <w:top w:val="nil"/>
              <w:left w:val="nil"/>
              <w:bottom w:val="single" w:sz="8" w:space="0" w:color="000000"/>
              <w:right w:val="nil"/>
            </w:tcBorders>
            <w:shd w:val="clear" w:color="auto" w:fill="auto"/>
            <w:noWrap/>
            <w:vAlign w:val="center"/>
          </w:tcPr>
          <w:p w14:paraId="2BDB113F" w14:textId="46251482"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-0.503</w:t>
            </w:r>
          </w:p>
        </w:tc>
        <w:tc>
          <w:tcPr>
            <w:tcW w:w="964" w:type="dxa"/>
            <w:tcBorders>
              <w:top w:val="nil"/>
              <w:left w:val="nil"/>
              <w:bottom w:val="single" w:sz="8" w:space="0" w:color="000000"/>
              <w:right w:val="nil"/>
            </w:tcBorders>
            <w:shd w:val="clear" w:color="auto" w:fill="auto"/>
            <w:noWrap/>
            <w:vAlign w:val="center"/>
          </w:tcPr>
          <w:p w14:paraId="0E317149" w14:textId="17909519"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0.133</w:t>
            </w:r>
          </w:p>
        </w:tc>
        <w:tc>
          <w:tcPr>
            <w:tcW w:w="549" w:type="dxa"/>
            <w:tcBorders>
              <w:top w:val="nil"/>
              <w:left w:val="nil"/>
              <w:bottom w:val="single" w:sz="8" w:space="0" w:color="000000"/>
              <w:right w:val="single" w:sz="8" w:space="0" w:color="000000"/>
            </w:tcBorders>
            <w:shd w:val="clear" w:color="auto" w:fill="auto"/>
            <w:noWrap/>
            <w:vAlign w:val="center"/>
          </w:tcPr>
          <w:p w14:paraId="19D3B75E" w14:textId="20B499B4"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6E9E7747"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0D58F0CC"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sidRPr="00332FCD">
              <w:rPr>
                <w:rFonts w:ascii="Times New Roman" w:eastAsia="Times New Roman" w:hAnsi="Times New Roman" w:cs="Times New Roman"/>
                <w:i/>
                <w:iCs/>
                <w:color w:val="000000"/>
                <w:sz w:val="20"/>
                <w:szCs w:val="20"/>
                <w:lang w:eastAsia="en-AU"/>
              </w:rPr>
              <w:t>Chi-square</w:t>
            </w:r>
          </w:p>
        </w:tc>
        <w:tc>
          <w:tcPr>
            <w:tcW w:w="976" w:type="dxa"/>
            <w:tcBorders>
              <w:top w:val="nil"/>
              <w:left w:val="nil"/>
              <w:bottom w:val="nil"/>
              <w:right w:val="nil"/>
            </w:tcBorders>
            <w:shd w:val="clear" w:color="auto" w:fill="auto"/>
            <w:noWrap/>
            <w:vAlign w:val="center"/>
          </w:tcPr>
          <w:p w14:paraId="281A89D1" w14:textId="4B795C04"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31.273</w:t>
            </w:r>
          </w:p>
        </w:tc>
        <w:tc>
          <w:tcPr>
            <w:tcW w:w="1035" w:type="dxa"/>
            <w:tcBorders>
              <w:top w:val="nil"/>
              <w:left w:val="nil"/>
              <w:bottom w:val="nil"/>
              <w:right w:val="nil"/>
            </w:tcBorders>
            <w:shd w:val="clear" w:color="auto" w:fill="auto"/>
            <w:noWrap/>
            <w:vAlign w:val="center"/>
          </w:tcPr>
          <w:p w14:paraId="1D25EA40" w14:textId="09CBE630"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418" w:type="dxa"/>
            <w:tcBorders>
              <w:top w:val="nil"/>
              <w:left w:val="nil"/>
              <w:bottom w:val="nil"/>
              <w:right w:val="single" w:sz="8" w:space="0" w:color="000000"/>
            </w:tcBorders>
            <w:shd w:val="clear" w:color="auto" w:fill="auto"/>
            <w:noWrap/>
            <w:vAlign w:val="center"/>
          </w:tcPr>
          <w:p w14:paraId="52984C20" w14:textId="6E4A8604"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1083" w:type="dxa"/>
            <w:tcBorders>
              <w:top w:val="nil"/>
              <w:left w:val="nil"/>
              <w:bottom w:val="nil"/>
              <w:right w:val="nil"/>
            </w:tcBorders>
            <w:shd w:val="clear" w:color="auto" w:fill="auto"/>
            <w:noWrap/>
            <w:vAlign w:val="center"/>
          </w:tcPr>
          <w:p w14:paraId="37AD4E47" w14:textId="3C044BB4"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82.459</w:t>
            </w:r>
          </w:p>
        </w:tc>
        <w:tc>
          <w:tcPr>
            <w:tcW w:w="1083" w:type="dxa"/>
            <w:tcBorders>
              <w:top w:val="nil"/>
              <w:left w:val="nil"/>
              <w:bottom w:val="nil"/>
              <w:right w:val="nil"/>
            </w:tcBorders>
            <w:shd w:val="clear" w:color="auto" w:fill="auto"/>
            <w:noWrap/>
            <w:vAlign w:val="center"/>
          </w:tcPr>
          <w:p w14:paraId="0EA0CDCA" w14:textId="0BD902CC"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418" w:type="dxa"/>
            <w:tcBorders>
              <w:top w:val="nil"/>
              <w:left w:val="nil"/>
              <w:bottom w:val="nil"/>
              <w:right w:val="single" w:sz="8" w:space="0" w:color="000000"/>
            </w:tcBorders>
            <w:shd w:val="clear" w:color="auto" w:fill="auto"/>
            <w:noWrap/>
            <w:vAlign w:val="center"/>
          </w:tcPr>
          <w:p w14:paraId="4A03899C" w14:textId="1F4D0DC0"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c>
          <w:tcPr>
            <w:tcW w:w="909" w:type="dxa"/>
            <w:tcBorders>
              <w:top w:val="nil"/>
              <w:left w:val="nil"/>
              <w:bottom w:val="nil"/>
              <w:right w:val="nil"/>
            </w:tcBorders>
            <w:shd w:val="clear" w:color="auto" w:fill="auto"/>
            <w:noWrap/>
            <w:vAlign w:val="center"/>
          </w:tcPr>
          <w:p w14:paraId="04C30D9A" w14:textId="6A1536B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128.554</w:t>
            </w:r>
          </w:p>
        </w:tc>
        <w:tc>
          <w:tcPr>
            <w:tcW w:w="964" w:type="dxa"/>
            <w:tcBorders>
              <w:top w:val="nil"/>
              <w:left w:val="nil"/>
              <w:bottom w:val="nil"/>
              <w:right w:val="nil"/>
            </w:tcBorders>
            <w:shd w:val="clear" w:color="auto" w:fill="auto"/>
            <w:noWrap/>
            <w:vAlign w:val="center"/>
          </w:tcPr>
          <w:p w14:paraId="49ED7DF3" w14:textId="4AE124FB"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0.000</w:t>
            </w:r>
          </w:p>
        </w:tc>
        <w:tc>
          <w:tcPr>
            <w:tcW w:w="549" w:type="dxa"/>
            <w:tcBorders>
              <w:top w:val="nil"/>
              <w:left w:val="nil"/>
              <w:bottom w:val="nil"/>
              <w:right w:val="single" w:sz="8" w:space="0" w:color="000000"/>
            </w:tcBorders>
            <w:shd w:val="clear" w:color="auto" w:fill="auto"/>
            <w:noWrap/>
            <w:vAlign w:val="center"/>
          </w:tcPr>
          <w:p w14:paraId="3705A52D" w14:textId="3A549FDA"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w:t>
            </w:r>
          </w:p>
        </w:tc>
      </w:tr>
      <w:tr w:rsidR="00576457" w:rsidRPr="00332FCD" w14:paraId="52FA04D8" w14:textId="77777777" w:rsidTr="00576457">
        <w:trPr>
          <w:trHeight w:val="255"/>
        </w:trPr>
        <w:tc>
          <w:tcPr>
            <w:tcW w:w="1518" w:type="dxa"/>
            <w:tcBorders>
              <w:top w:val="nil"/>
              <w:left w:val="single" w:sz="8" w:space="0" w:color="000000"/>
              <w:bottom w:val="nil"/>
              <w:right w:val="single" w:sz="8" w:space="0" w:color="000000"/>
            </w:tcBorders>
            <w:shd w:val="clear" w:color="auto" w:fill="auto"/>
            <w:vAlign w:val="center"/>
            <w:hideMark/>
          </w:tcPr>
          <w:p w14:paraId="5052C704"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proofErr w:type="spellStart"/>
            <w:r w:rsidRPr="00332FCD">
              <w:rPr>
                <w:rFonts w:ascii="Times New Roman" w:eastAsia="Times New Roman" w:hAnsi="Times New Roman" w:cs="Times New Roman"/>
                <w:i/>
                <w:iCs/>
                <w:color w:val="000000"/>
                <w:sz w:val="20"/>
                <w:szCs w:val="20"/>
                <w:lang w:eastAsia="en-AU"/>
              </w:rPr>
              <w:t>Nagelkerke</w:t>
            </w:r>
            <w:proofErr w:type="spellEnd"/>
            <w:r w:rsidRPr="00332FCD">
              <w:rPr>
                <w:rFonts w:ascii="Times New Roman" w:eastAsia="Times New Roman" w:hAnsi="Times New Roman" w:cs="Times New Roman"/>
                <w:i/>
                <w:iCs/>
                <w:color w:val="000000"/>
                <w:sz w:val="20"/>
                <w:szCs w:val="20"/>
                <w:lang w:eastAsia="en-AU"/>
              </w:rPr>
              <w:t xml:space="preserve"> R</w:t>
            </w:r>
            <w:r w:rsidRPr="00332FCD">
              <w:rPr>
                <w:rFonts w:ascii="Times New Roman" w:eastAsia="Times New Roman" w:hAnsi="Times New Roman" w:cs="Times New Roman"/>
                <w:i/>
                <w:iCs/>
                <w:color w:val="000000"/>
                <w:sz w:val="20"/>
                <w:szCs w:val="20"/>
                <w:vertAlign w:val="superscript"/>
                <w:lang w:eastAsia="en-AU"/>
              </w:rPr>
              <w:t>2</w:t>
            </w:r>
          </w:p>
        </w:tc>
        <w:tc>
          <w:tcPr>
            <w:tcW w:w="976" w:type="dxa"/>
            <w:tcBorders>
              <w:top w:val="nil"/>
              <w:left w:val="nil"/>
              <w:bottom w:val="nil"/>
              <w:right w:val="nil"/>
            </w:tcBorders>
            <w:shd w:val="clear" w:color="auto" w:fill="auto"/>
            <w:noWrap/>
            <w:vAlign w:val="center"/>
          </w:tcPr>
          <w:p w14:paraId="12A9D7C5"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35" w:type="dxa"/>
            <w:tcBorders>
              <w:top w:val="nil"/>
              <w:left w:val="nil"/>
              <w:bottom w:val="nil"/>
              <w:right w:val="nil"/>
            </w:tcBorders>
            <w:shd w:val="clear" w:color="auto" w:fill="auto"/>
            <w:noWrap/>
            <w:vAlign w:val="center"/>
          </w:tcPr>
          <w:p w14:paraId="18C768F3" w14:textId="5B8552E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6.0%</w:t>
            </w:r>
          </w:p>
        </w:tc>
        <w:tc>
          <w:tcPr>
            <w:tcW w:w="418" w:type="dxa"/>
            <w:tcBorders>
              <w:top w:val="nil"/>
              <w:left w:val="nil"/>
              <w:bottom w:val="nil"/>
              <w:right w:val="single" w:sz="8" w:space="0" w:color="000000"/>
            </w:tcBorders>
            <w:shd w:val="clear" w:color="auto" w:fill="auto"/>
            <w:noWrap/>
            <w:vAlign w:val="center"/>
          </w:tcPr>
          <w:p w14:paraId="3511F796" w14:textId="24CA2031"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c>
          <w:tcPr>
            <w:tcW w:w="1083" w:type="dxa"/>
            <w:tcBorders>
              <w:top w:val="nil"/>
              <w:left w:val="nil"/>
              <w:bottom w:val="nil"/>
              <w:right w:val="nil"/>
            </w:tcBorders>
            <w:shd w:val="clear" w:color="auto" w:fill="auto"/>
            <w:noWrap/>
            <w:vAlign w:val="center"/>
          </w:tcPr>
          <w:p w14:paraId="0D541002"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nil"/>
              <w:bottom w:val="nil"/>
              <w:right w:val="nil"/>
            </w:tcBorders>
            <w:shd w:val="clear" w:color="auto" w:fill="auto"/>
            <w:noWrap/>
            <w:vAlign w:val="center"/>
          </w:tcPr>
          <w:p w14:paraId="6CF6E062" w14:textId="7941BB15"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8.1%</w:t>
            </w:r>
          </w:p>
        </w:tc>
        <w:tc>
          <w:tcPr>
            <w:tcW w:w="418" w:type="dxa"/>
            <w:tcBorders>
              <w:top w:val="nil"/>
              <w:left w:val="nil"/>
              <w:bottom w:val="nil"/>
              <w:right w:val="single" w:sz="8" w:space="0" w:color="000000"/>
            </w:tcBorders>
            <w:shd w:val="clear" w:color="auto" w:fill="auto"/>
            <w:noWrap/>
            <w:vAlign w:val="center"/>
          </w:tcPr>
          <w:p w14:paraId="560B10A1" w14:textId="69B3192D"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c>
          <w:tcPr>
            <w:tcW w:w="909" w:type="dxa"/>
            <w:tcBorders>
              <w:top w:val="nil"/>
              <w:left w:val="nil"/>
              <w:bottom w:val="nil"/>
              <w:right w:val="nil"/>
            </w:tcBorders>
            <w:shd w:val="clear" w:color="auto" w:fill="auto"/>
            <w:noWrap/>
            <w:vAlign w:val="center"/>
          </w:tcPr>
          <w:p w14:paraId="0189C23D" w14:textId="77777777"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p>
        </w:tc>
        <w:tc>
          <w:tcPr>
            <w:tcW w:w="964" w:type="dxa"/>
            <w:tcBorders>
              <w:top w:val="nil"/>
              <w:left w:val="nil"/>
              <w:bottom w:val="nil"/>
              <w:right w:val="nil"/>
            </w:tcBorders>
            <w:shd w:val="clear" w:color="auto" w:fill="auto"/>
            <w:noWrap/>
            <w:vAlign w:val="center"/>
          </w:tcPr>
          <w:p w14:paraId="1CED5828" w14:textId="16D9B9A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12.4%</w:t>
            </w:r>
          </w:p>
        </w:tc>
        <w:tc>
          <w:tcPr>
            <w:tcW w:w="549" w:type="dxa"/>
            <w:tcBorders>
              <w:top w:val="nil"/>
              <w:left w:val="nil"/>
              <w:bottom w:val="nil"/>
              <w:right w:val="single" w:sz="8" w:space="0" w:color="000000"/>
            </w:tcBorders>
            <w:shd w:val="clear" w:color="auto" w:fill="auto"/>
            <w:noWrap/>
            <w:vAlign w:val="center"/>
          </w:tcPr>
          <w:p w14:paraId="585BC0A3" w14:textId="39B306A4" w:rsidR="00576457" w:rsidRPr="00576457" w:rsidRDefault="00576457" w:rsidP="00576457">
            <w:pPr>
              <w:spacing w:after="0" w:line="240" w:lineRule="auto"/>
              <w:jc w:val="center"/>
              <w:rPr>
                <w:rFonts w:ascii="Times New Roman" w:eastAsia="Times New Roman" w:hAnsi="Times New Roman" w:cs="Times New Roman"/>
                <w:i/>
                <w:iCs/>
                <w:color w:val="000000"/>
                <w:sz w:val="20"/>
                <w:szCs w:val="20"/>
                <w:lang w:eastAsia="en-AU"/>
              </w:rPr>
            </w:pPr>
            <w:r w:rsidRPr="00576457">
              <w:rPr>
                <w:rFonts w:ascii="Times New Roman" w:hAnsi="Times New Roman" w:cs="Times New Roman"/>
                <w:i/>
                <w:iCs/>
                <w:color w:val="000000"/>
                <w:sz w:val="20"/>
                <w:szCs w:val="20"/>
              </w:rPr>
              <w:t> </w:t>
            </w:r>
          </w:p>
        </w:tc>
      </w:tr>
      <w:tr w:rsidR="00576457" w:rsidRPr="00332FCD" w14:paraId="4E93810D" w14:textId="77777777" w:rsidTr="00576457">
        <w:trPr>
          <w:trHeight w:val="255"/>
        </w:trPr>
        <w:tc>
          <w:tcPr>
            <w:tcW w:w="1518" w:type="dxa"/>
            <w:tcBorders>
              <w:top w:val="nil"/>
              <w:left w:val="single" w:sz="8" w:space="0" w:color="000000"/>
              <w:bottom w:val="nil"/>
              <w:right w:val="single" w:sz="8" w:space="0" w:color="000000"/>
            </w:tcBorders>
            <w:shd w:val="clear" w:color="auto" w:fill="auto"/>
            <w:noWrap/>
            <w:vAlign w:val="center"/>
            <w:hideMark/>
          </w:tcPr>
          <w:p w14:paraId="5C98A989"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sidRPr="00332FCD">
              <w:rPr>
                <w:rFonts w:ascii="Times New Roman" w:eastAsia="Times New Roman" w:hAnsi="Times New Roman" w:cs="Times New Roman"/>
                <w:i/>
                <w:iCs/>
                <w:color w:val="000000"/>
                <w:sz w:val="20"/>
                <w:szCs w:val="20"/>
                <w:lang w:eastAsia="en-AU"/>
              </w:rPr>
              <w:t>Classification %</w:t>
            </w:r>
          </w:p>
        </w:tc>
        <w:tc>
          <w:tcPr>
            <w:tcW w:w="976" w:type="dxa"/>
            <w:tcBorders>
              <w:top w:val="nil"/>
              <w:left w:val="nil"/>
              <w:bottom w:val="nil"/>
              <w:right w:val="nil"/>
            </w:tcBorders>
            <w:shd w:val="clear" w:color="auto" w:fill="auto"/>
            <w:noWrap/>
            <w:vAlign w:val="center"/>
          </w:tcPr>
          <w:p w14:paraId="67ACC927"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35" w:type="dxa"/>
            <w:tcBorders>
              <w:top w:val="nil"/>
              <w:left w:val="nil"/>
              <w:bottom w:val="nil"/>
              <w:right w:val="nil"/>
            </w:tcBorders>
            <w:shd w:val="clear" w:color="auto" w:fill="auto"/>
            <w:noWrap/>
            <w:vAlign w:val="center"/>
          </w:tcPr>
          <w:p w14:paraId="6AADDBF2" w14:textId="2412A16A"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93.2%</w:t>
            </w:r>
          </w:p>
        </w:tc>
        <w:tc>
          <w:tcPr>
            <w:tcW w:w="418" w:type="dxa"/>
            <w:tcBorders>
              <w:top w:val="nil"/>
              <w:left w:val="nil"/>
              <w:bottom w:val="nil"/>
              <w:right w:val="single" w:sz="8" w:space="0" w:color="000000"/>
            </w:tcBorders>
            <w:shd w:val="clear" w:color="auto" w:fill="auto"/>
            <w:noWrap/>
            <w:vAlign w:val="center"/>
          </w:tcPr>
          <w:p w14:paraId="2ADBB9A4" w14:textId="79C71F32"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83" w:type="dxa"/>
            <w:tcBorders>
              <w:top w:val="nil"/>
              <w:left w:val="nil"/>
              <w:bottom w:val="nil"/>
              <w:right w:val="nil"/>
            </w:tcBorders>
            <w:shd w:val="clear" w:color="auto" w:fill="auto"/>
            <w:noWrap/>
            <w:vAlign w:val="center"/>
          </w:tcPr>
          <w:p w14:paraId="4A6DA38A"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1083" w:type="dxa"/>
            <w:tcBorders>
              <w:top w:val="nil"/>
              <w:left w:val="nil"/>
              <w:bottom w:val="nil"/>
              <w:right w:val="nil"/>
            </w:tcBorders>
            <w:shd w:val="clear" w:color="auto" w:fill="auto"/>
            <w:noWrap/>
            <w:vAlign w:val="center"/>
          </w:tcPr>
          <w:p w14:paraId="6B27D29A" w14:textId="6704AA23"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61.3%</w:t>
            </w:r>
          </w:p>
        </w:tc>
        <w:tc>
          <w:tcPr>
            <w:tcW w:w="418" w:type="dxa"/>
            <w:tcBorders>
              <w:top w:val="nil"/>
              <w:left w:val="nil"/>
              <w:bottom w:val="nil"/>
              <w:right w:val="single" w:sz="8" w:space="0" w:color="000000"/>
            </w:tcBorders>
            <w:shd w:val="clear" w:color="auto" w:fill="auto"/>
            <w:noWrap/>
            <w:vAlign w:val="center"/>
          </w:tcPr>
          <w:p w14:paraId="71C7463E" w14:textId="38FFECF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09" w:type="dxa"/>
            <w:tcBorders>
              <w:top w:val="nil"/>
              <w:left w:val="nil"/>
              <w:bottom w:val="nil"/>
              <w:right w:val="nil"/>
            </w:tcBorders>
            <w:shd w:val="clear" w:color="auto" w:fill="auto"/>
            <w:noWrap/>
            <w:vAlign w:val="center"/>
          </w:tcPr>
          <w:p w14:paraId="04DEB2BC" w14:textId="77777777"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p>
        </w:tc>
        <w:tc>
          <w:tcPr>
            <w:tcW w:w="964" w:type="dxa"/>
            <w:tcBorders>
              <w:top w:val="nil"/>
              <w:left w:val="nil"/>
              <w:bottom w:val="nil"/>
              <w:right w:val="nil"/>
            </w:tcBorders>
            <w:shd w:val="clear" w:color="auto" w:fill="auto"/>
            <w:noWrap/>
            <w:vAlign w:val="center"/>
          </w:tcPr>
          <w:p w14:paraId="6E7B93A9" w14:textId="4D336B71"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62.8%</w:t>
            </w:r>
          </w:p>
        </w:tc>
        <w:tc>
          <w:tcPr>
            <w:tcW w:w="549" w:type="dxa"/>
            <w:tcBorders>
              <w:top w:val="nil"/>
              <w:left w:val="nil"/>
              <w:bottom w:val="nil"/>
              <w:right w:val="single" w:sz="8" w:space="0" w:color="000000"/>
            </w:tcBorders>
            <w:shd w:val="clear" w:color="auto" w:fill="auto"/>
            <w:noWrap/>
            <w:vAlign w:val="center"/>
          </w:tcPr>
          <w:p w14:paraId="15DCB189" w14:textId="48ADBD78"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r w:rsidR="00576457" w:rsidRPr="00332FCD" w14:paraId="181DC300" w14:textId="77777777" w:rsidTr="00576457">
        <w:trPr>
          <w:trHeight w:val="269"/>
        </w:trPr>
        <w:tc>
          <w:tcPr>
            <w:tcW w:w="1518" w:type="dxa"/>
            <w:tcBorders>
              <w:top w:val="nil"/>
              <w:left w:val="single" w:sz="8" w:space="0" w:color="000000"/>
              <w:bottom w:val="single" w:sz="8" w:space="0" w:color="000000"/>
              <w:right w:val="single" w:sz="8" w:space="0" w:color="000000"/>
            </w:tcBorders>
            <w:shd w:val="clear" w:color="auto" w:fill="auto"/>
            <w:noWrap/>
            <w:vAlign w:val="center"/>
            <w:hideMark/>
          </w:tcPr>
          <w:p w14:paraId="0BCAB6FA" w14:textId="77777777" w:rsidR="00576457" w:rsidRPr="00332FCD" w:rsidRDefault="00576457" w:rsidP="00576457">
            <w:pPr>
              <w:spacing w:after="0" w:line="240" w:lineRule="auto"/>
              <w:rPr>
                <w:rFonts w:ascii="Times New Roman" w:eastAsia="Times New Roman" w:hAnsi="Times New Roman" w:cs="Times New Roman"/>
                <w:i/>
                <w:iCs/>
                <w:color w:val="000000"/>
                <w:sz w:val="20"/>
                <w:szCs w:val="20"/>
                <w:lang w:eastAsia="en-AU"/>
              </w:rPr>
            </w:pPr>
            <w:r w:rsidRPr="00332FCD">
              <w:rPr>
                <w:rFonts w:ascii="Times New Roman" w:eastAsia="Times New Roman" w:hAnsi="Times New Roman" w:cs="Times New Roman"/>
                <w:i/>
                <w:iCs/>
                <w:color w:val="000000"/>
                <w:sz w:val="20"/>
                <w:szCs w:val="20"/>
                <w:lang w:eastAsia="en-AU"/>
              </w:rPr>
              <w:t>N</w:t>
            </w:r>
          </w:p>
        </w:tc>
        <w:tc>
          <w:tcPr>
            <w:tcW w:w="976" w:type="dxa"/>
            <w:tcBorders>
              <w:top w:val="nil"/>
              <w:left w:val="nil"/>
              <w:bottom w:val="single" w:sz="8" w:space="0" w:color="000000"/>
              <w:right w:val="nil"/>
            </w:tcBorders>
            <w:shd w:val="clear" w:color="auto" w:fill="auto"/>
            <w:noWrap/>
            <w:vAlign w:val="center"/>
          </w:tcPr>
          <w:p w14:paraId="7ADA53D5" w14:textId="4C4A8241"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35" w:type="dxa"/>
            <w:tcBorders>
              <w:top w:val="nil"/>
              <w:left w:val="nil"/>
              <w:bottom w:val="single" w:sz="8" w:space="0" w:color="000000"/>
              <w:right w:val="nil"/>
            </w:tcBorders>
            <w:shd w:val="clear" w:color="auto" w:fill="auto"/>
            <w:noWrap/>
            <w:vAlign w:val="center"/>
          </w:tcPr>
          <w:p w14:paraId="24CF095E" w14:textId="6173D366"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1316</w:t>
            </w:r>
          </w:p>
        </w:tc>
        <w:tc>
          <w:tcPr>
            <w:tcW w:w="418" w:type="dxa"/>
            <w:tcBorders>
              <w:top w:val="nil"/>
              <w:left w:val="nil"/>
              <w:bottom w:val="single" w:sz="8" w:space="0" w:color="000000"/>
              <w:right w:val="single" w:sz="8" w:space="0" w:color="000000"/>
            </w:tcBorders>
            <w:shd w:val="clear" w:color="auto" w:fill="auto"/>
            <w:noWrap/>
            <w:vAlign w:val="center"/>
          </w:tcPr>
          <w:p w14:paraId="35A71FB5" w14:textId="3381DD73"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83" w:type="dxa"/>
            <w:tcBorders>
              <w:top w:val="nil"/>
              <w:left w:val="nil"/>
              <w:bottom w:val="single" w:sz="8" w:space="0" w:color="000000"/>
              <w:right w:val="nil"/>
            </w:tcBorders>
            <w:shd w:val="clear" w:color="auto" w:fill="auto"/>
            <w:noWrap/>
            <w:vAlign w:val="center"/>
          </w:tcPr>
          <w:p w14:paraId="6778444F" w14:textId="1819661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1083" w:type="dxa"/>
            <w:tcBorders>
              <w:top w:val="nil"/>
              <w:left w:val="nil"/>
              <w:bottom w:val="single" w:sz="8" w:space="0" w:color="000000"/>
              <w:right w:val="nil"/>
            </w:tcBorders>
            <w:shd w:val="clear" w:color="auto" w:fill="auto"/>
            <w:noWrap/>
            <w:vAlign w:val="center"/>
          </w:tcPr>
          <w:p w14:paraId="0BE17793" w14:textId="216F1824"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1316</w:t>
            </w:r>
          </w:p>
        </w:tc>
        <w:tc>
          <w:tcPr>
            <w:tcW w:w="418" w:type="dxa"/>
            <w:tcBorders>
              <w:top w:val="nil"/>
              <w:left w:val="nil"/>
              <w:bottom w:val="single" w:sz="8" w:space="0" w:color="000000"/>
              <w:right w:val="single" w:sz="8" w:space="0" w:color="000000"/>
            </w:tcBorders>
            <w:shd w:val="clear" w:color="auto" w:fill="auto"/>
            <w:noWrap/>
            <w:vAlign w:val="center"/>
          </w:tcPr>
          <w:p w14:paraId="63B4F2F4" w14:textId="3DFDD9FF"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09" w:type="dxa"/>
            <w:tcBorders>
              <w:top w:val="nil"/>
              <w:left w:val="nil"/>
              <w:bottom w:val="single" w:sz="8" w:space="0" w:color="000000"/>
              <w:right w:val="nil"/>
            </w:tcBorders>
            <w:shd w:val="clear" w:color="auto" w:fill="auto"/>
            <w:noWrap/>
            <w:vAlign w:val="center"/>
          </w:tcPr>
          <w:p w14:paraId="2FD96F75" w14:textId="4EA0D8F6"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c>
          <w:tcPr>
            <w:tcW w:w="964" w:type="dxa"/>
            <w:tcBorders>
              <w:top w:val="nil"/>
              <w:left w:val="nil"/>
              <w:bottom w:val="single" w:sz="8" w:space="0" w:color="000000"/>
              <w:right w:val="nil"/>
            </w:tcBorders>
            <w:shd w:val="clear" w:color="auto" w:fill="auto"/>
            <w:noWrap/>
            <w:vAlign w:val="center"/>
          </w:tcPr>
          <w:p w14:paraId="439595CC" w14:textId="0BB04098" w:rsidR="00576457" w:rsidRPr="00576457" w:rsidRDefault="00576457" w:rsidP="00576457">
            <w:pPr>
              <w:spacing w:after="0" w:line="240" w:lineRule="auto"/>
              <w:jc w:val="right"/>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1316</w:t>
            </w:r>
          </w:p>
        </w:tc>
        <w:tc>
          <w:tcPr>
            <w:tcW w:w="549" w:type="dxa"/>
            <w:tcBorders>
              <w:top w:val="nil"/>
              <w:left w:val="nil"/>
              <w:bottom w:val="single" w:sz="8" w:space="0" w:color="000000"/>
              <w:right w:val="single" w:sz="8" w:space="0" w:color="000000"/>
            </w:tcBorders>
            <w:shd w:val="clear" w:color="auto" w:fill="auto"/>
            <w:noWrap/>
            <w:vAlign w:val="center"/>
          </w:tcPr>
          <w:p w14:paraId="5CA09916" w14:textId="03AAB7ED" w:rsidR="00576457" w:rsidRPr="00576457" w:rsidRDefault="00576457" w:rsidP="00576457">
            <w:pPr>
              <w:spacing w:after="0" w:line="240" w:lineRule="auto"/>
              <w:rPr>
                <w:rFonts w:ascii="Times New Roman" w:eastAsia="Times New Roman" w:hAnsi="Times New Roman" w:cs="Times New Roman"/>
                <w:color w:val="000000"/>
                <w:sz w:val="20"/>
                <w:szCs w:val="20"/>
                <w:lang w:eastAsia="en-AU"/>
              </w:rPr>
            </w:pPr>
            <w:r w:rsidRPr="00576457">
              <w:rPr>
                <w:rFonts w:ascii="Times New Roman" w:hAnsi="Times New Roman" w:cs="Times New Roman"/>
                <w:color w:val="000000"/>
                <w:sz w:val="20"/>
                <w:szCs w:val="20"/>
              </w:rPr>
              <w:t> </w:t>
            </w:r>
          </w:p>
        </w:tc>
      </w:tr>
    </w:tbl>
    <w:p w14:paraId="62206104" w14:textId="232AFFD2" w:rsidR="00A61416" w:rsidRDefault="00E729C2" w:rsidP="00D4489B">
      <w:pPr>
        <w:spacing w:after="0" w:line="240" w:lineRule="auto"/>
        <w:jc w:val="both"/>
        <w:rPr>
          <w:rFonts w:ascii="Times New Roman" w:eastAsia="MS Mincho" w:hAnsi="Times New Roman" w:cs="Times New Roman"/>
          <w:sz w:val="20"/>
          <w:szCs w:val="20"/>
          <w:lang w:val="en-NZ" w:eastAsia="ja-JP"/>
        </w:rPr>
      </w:pPr>
      <w:r w:rsidRPr="00D92911">
        <w:rPr>
          <w:rFonts w:ascii="Times New Roman" w:hAnsi="Times New Roman"/>
          <w:sz w:val="20"/>
          <w:szCs w:val="20"/>
        </w:rPr>
        <w:t xml:space="preserve">Table </w:t>
      </w:r>
      <w:r w:rsidR="009C25D5">
        <w:rPr>
          <w:rFonts w:ascii="Times New Roman" w:hAnsi="Times New Roman"/>
          <w:sz w:val="20"/>
          <w:szCs w:val="20"/>
        </w:rPr>
        <w:t>3</w:t>
      </w:r>
      <w:r w:rsidRPr="00D92911">
        <w:rPr>
          <w:rFonts w:ascii="Times New Roman" w:hAnsi="Times New Roman"/>
          <w:sz w:val="20"/>
          <w:szCs w:val="20"/>
        </w:rPr>
        <w:t xml:space="preserve"> </w:t>
      </w:r>
      <w:r w:rsidR="001A5280">
        <w:rPr>
          <w:rFonts w:ascii="Times New Roman" w:hAnsi="Times New Roman"/>
          <w:sz w:val="20"/>
          <w:szCs w:val="20"/>
        </w:rPr>
        <w:t>tests differences in the firm characteristics of each disclosure outlet</w:t>
      </w:r>
      <w:r w:rsidR="009C25D5">
        <w:rPr>
          <w:rFonts w:ascii="Times New Roman" w:hAnsi="Times New Roman"/>
          <w:sz w:val="20"/>
          <w:szCs w:val="20"/>
        </w:rPr>
        <w:t xml:space="preserve"> through </w:t>
      </w:r>
      <w:r w:rsidR="001A5280">
        <w:rPr>
          <w:rFonts w:ascii="Times New Roman" w:eastAsia="MS Mincho" w:hAnsi="Times New Roman" w:cs="Times New Roman"/>
          <w:sz w:val="20"/>
          <w:szCs w:val="20"/>
          <w:lang w:val="en-NZ" w:eastAsia="ja-JP"/>
        </w:rPr>
        <w:t xml:space="preserve">logit regressions. </w:t>
      </w:r>
      <w:r w:rsidR="00BC26A7">
        <w:rPr>
          <w:rFonts w:ascii="Times New Roman" w:eastAsia="MS Mincho" w:hAnsi="Times New Roman" w:cs="Times New Roman"/>
          <w:sz w:val="20"/>
          <w:szCs w:val="20"/>
          <w:lang w:val="en-NZ" w:eastAsia="ja-JP"/>
        </w:rPr>
        <w:t xml:space="preserve">Panel </w:t>
      </w:r>
      <w:proofErr w:type="gramStart"/>
      <w:r w:rsidR="00BC26A7">
        <w:rPr>
          <w:rFonts w:ascii="Times New Roman" w:eastAsia="MS Mincho" w:hAnsi="Times New Roman" w:cs="Times New Roman"/>
          <w:sz w:val="20"/>
          <w:szCs w:val="20"/>
          <w:lang w:val="en-NZ" w:eastAsia="ja-JP"/>
        </w:rPr>
        <w:t>A</w:t>
      </w:r>
      <w:proofErr w:type="gramEnd"/>
      <w:r w:rsidR="00BC26A7">
        <w:rPr>
          <w:rFonts w:ascii="Times New Roman" w:eastAsia="MS Mincho" w:hAnsi="Times New Roman" w:cs="Times New Roman"/>
          <w:sz w:val="20"/>
          <w:szCs w:val="20"/>
          <w:lang w:val="en-NZ" w:eastAsia="ja-JP"/>
        </w:rPr>
        <w:t xml:space="preserve"> reports results on the subsample of 171 observations where firms use all three disclosure outlets, and Panel B reports results for the full sample of 1</w:t>
      </w:r>
      <w:r w:rsidR="00236027">
        <w:rPr>
          <w:rFonts w:ascii="Times New Roman" w:eastAsia="MS Mincho" w:hAnsi="Times New Roman" w:cs="Times New Roman"/>
          <w:sz w:val="20"/>
          <w:szCs w:val="20"/>
          <w:lang w:val="en-NZ" w:eastAsia="ja-JP"/>
        </w:rPr>
        <w:t>,</w:t>
      </w:r>
      <w:r w:rsidR="00526CD2">
        <w:rPr>
          <w:rFonts w:ascii="Times New Roman" w:eastAsia="MS Mincho" w:hAnsi="Times New Roman" w:cs="Times New Roman"/>
          <w:sz w:val="20"/>
          <w:szCs w:val="20"/>
          <w:lang w:val="en-NZ" w:eastAsia="ja-JP"/>
        </w:rPr>
        <w:t>3</w:t>
      </w:r>
      <w:r w:rsidR="00BC26A7">
        <w:rPr>
          <w:rFonts w:ascii="Times New Roman" w:eastAsia="MS Mincho" w:hAnsi="Times New Roman" w:cs="Times New Roman"/>
          <w:sz w:val="20"/>
          <w:szCs w:val="20"/>
          <w:lang w:val="en-NZ" w:eastAsia="ja-JP"/>
        </w:rPr>
        <w:t xml:space="preserve">16 observations from resource firms that use any disclosure outlet. </w:t>
      </w:r>
      <w:r w:rsidR="00C812F1" w:rsidRPr="00C812F1">
        <w:rPr>
          <w:rFonts w:ascii="Times New Roman" w:eastAsia="MS Mincho" w:hAnsi="Times New Roman" w:cs="Times New Roman"/>
          <w:sz w:val="20"/>
          <w:szCs w:val="20"/>
          <w:lang w:val="en-NZ" w:eastAsia="ja-JP"/>
        </w:rPr>
        <w:t>Variables</w:t>
      </w:r>
      <w:r w:rsidR="00C812F1">
        <w:rPr>
          <w:rFonts w:ascii="Times New Roman" w:hAnsi="Times New Roman"/>
          <w:sz w:val="20"/>
          <w:szCs w:val="20"/>
        </w:rPr>
        <w:t xml:space="preserve"> are as defined in Table 1. </w:t>
      </w:r>
      <w:r w:rsidR="00C812F1">
        <w:rPr>
          <w:rFonts w:ascii="Times New Roman" w:eastAsia="MS Mincho" w:hAnsi="Times New Roman" w:cs="Times New Roman"/>
          <w:sz w:val="20"/>
          <w:szCs w:val="20"/>
          <w:lang w:val="en-NZ" w:eastAsia="ja-JP"/>
        </w:rPr>
        <w:t>Two</w:t>
      </w:r>
      <w:r w:rsidR="00C812F1" w:rsidRPr="00D92911">
        <w:rPr>
          <w:rFonts w:ascii="Times New Roman" w:eastAsia="MS Mincho" w:hAnsi="Times New Roman" w:cs="Times New Roman"/>
          <w:sz w:val="20"/>
          <w:szCs w:val="20"/>
          <w:lang w:val="en-NZ" w:eastAsia="ja-JP"/>
        </w:rPr>
        <w:t>-tailed test of significance: *** = less than 0.01, ** = less than 0 .0</w:t>
      </w:r>
      <w:r w:rsidR="00C812F1">
        <w:rPr>
          <w:rFonts w:ascii="Times New Roman" w:eastAsia="MS Mincho" w:hAnsi="Times New Roman" w:cs="Times New Roman"/>
          <w:sz w:val="20"/>
          <w:szCs w:val="20"/>
          <w:lang w:val="en-NZ" w:eastAsia="ja-JP"/>
        </w:rPr>
        <w:t>5</w:t>
      </w:r>
      <w:r w:rsidR="00C812F1" w:rsidRPr="00D92911">
        <w:rPr>
          <w:rFonts w:ascii="Times New Roman" w:eastAsia="MS Mincho" w:hAnsi="Times New Roman" w:cs="Times New Roman"/>
          <w:sz w:val="20"/>
          <w:szCs w:val="20"/>
          <w:lang w:val="en-NZ" w:eastAsia="ja-JP"/>
        </w:rPr>
        <w:t xml:space="preserve"> and * = less than 0.</w:t>
      </w:r>
      <w:r w:rsidR="00C812F1">
        <w:rPr>
          <w:rFonts w:ascii="Times New Roman" w:eastAsia="MS Mincho" w:hAnsi="Times New Roman" w:cs="Times New Roman"/>
          <w:sz w:val="20"/>
          <w:szCs w:val="20"/>
          <w:lang w:val="en-NZ" w:eastAsia="ja-JP"/>
        </w:rPr>
        <w:t>1</w:t>
      </w:r>
      <w:r w:rsidR="00C812F1" w:rsidRPr="00D92911">
        <w:rPr>
          <w:rFonts w:ascii="Times New Roman" w:eastAsia="MS Mincho" w:hAnsi="Times New Roman" w:cs="Times New Roman"/>
          <w:sz w:val="20"/>
          <w:szCs w:val="20"/>
          <w:lang w:val="en-NZ" w:eastAsia="ja-JP"/>
        </w:rPr>
        <w:t>.</w:t>
      </w:r>
    </w:p>
    <w:p w14:paraId="3828D9D3" w14:textId="77777777" w:rsidR="00576457" w:rsidRPr="00D4489B" w:rsidRDefault="00576457" w:rsidP="00D4489B">
      <w:pPr>
        <w:spacing w:after="0" w:line="240" w:lineRule="auto"/>
        <w:jc w:val="both"/>
        <w:rPr>
          <w:rFonts w:ascii="Times New Roman" w:eastAsia="MS Mincho" w:hAnsi="Times New Roman" w:cs="Times New Roman"/>
          <w:sz w:val="20"/>
          <w:szCs w:val="20"/>
          <w:lang w:val="en-NZ" w:eastAsia="ja-JP"/>
        </w:rPr>
      </w:pPr>
    </w:p>
    <w:p w14:paraId="3AD79286" w14:textId="77777777" w:rsidR="00576457" w:rsidRDefault="00576457" w:rsidP="004A2DB4">
      <w:pPr>
        <w:spacing w:after="0" w:line="480" w:lineRule="auto"/>
        <w:jc w:val="both"/>
        <w:rPr>
          <w:rFonts w:ascii="Times New Roman" w:hAnsi="Times New Roman"/>
          <w:b/>
          <w:sz w:val="24"/>
          <w:szCs w:val="24"/>
        </w:rPr>
        <w:sectPr w:rsidR="00576457" w:rsidSect="00576457">
          <w:pgSz w:w="11906" w:h="16838"/>
          <w:pgMar w:top="1440" w:right="1440" w:bottom="1440" w:left="1440" w:header="708" w:footer="708" w:gutter="0"/>
          <w:cols w:space="708"/>
          <w:docGrid w:linePitch="360"/>
        </w:sectPr>
      </w:pPr>
    </w:p>
    <w:p w14:paraId="6CF7AD5C" w14:textId="6797F625" w:rsidR="004A2DB4" w:rsidRDefault="00ED4BEE" w:rsidP="004A2DB4">
      <w:pPr>
        <w:spacing w:after="0" w:line="480" w:lineRule="auto"/>
        <w:jc w:val="both"/>
        <w:rPr>
          <w:rFonts w:ascii="Times New Roman" w:hAnsi="Times New Roman"/>
          <w:b/>
          <w:sz w:val="24"/>
          <w:szCs w:val="24"/>
        </w:rPr>
      </w:pPr>
      <w:r>
        <w:rPr>
          <w:rFonts w:ascii="Times New Roman" w:hAnsi="Times New Roman"/>
          <w:b/>
          <w:sz w:val="24"/>
          <w:szCs w:val="24"/>
        </w:rPr>
        <w:lastRenderedPageBreak/>
        <w:t>T</w:t>
      </w:r>
      <w:r w:rsidR="004A2DB4">
        <w:rPr>
          <w:rFonts w:ascii="Times New Roman" w:hAnsi="Times New Roman"/>
          <w:b/>
          <w:sz w:val="24"/>
          <w:szCs w:val="24"/>
        </w:rPr>
        <w:t xml:space="preserve">able </w:t>
      </w:r>
      <w:r w:rsidR="00305B45">
        <w:rPr>
          <w:rFonts w:ascii="Times New Roman" w:hAnsi="Times New Roman"/>
          <w:b/>
          <w:sz w:val="24"/>
          <w:szCs w:val="24"/>
        </w:rPr>
        <w:t>4</w:t>
      </w:r>
      <w:r w:rsidR="006029F5">
        <w:rPr>
          <w:rFonts w:ascii="Times New Roman" w:hAnsi="Times New Roman"/>
          <w:b/>
          <w:sz w:val="24"/>
          <w:szCs w:val="24"/>
        </w:rPr>
        <w:t>:</w:t>
      </w:r>
      <w:r w:rsidR="004A2DB4">
        <w:rPr>
          <w:rFonts w:ascii="Times New Roman" w:hAnsi="Times New Roman"/>
          <w:b/>
          <w:sz w:val="24"/>
          <w:szCs w:val="24"/>
        </w:rPr>
        <w:t xml:space="preserve"> </w:t>
      </w:r>
      <w:r w:rsidR="008F6130">
        <w:rPr>
          <w:rFonts w:ascii="Times New Roman" w:hAnsi="Times New Roman"/>
          <w:b/>
          <w:sz w:val="24"/>
          <w:szCs w:val="24"/>
        </w:rPr>
        <w:t>Differences in the market reaction between users of disclosure outlets</w:t>
      </w:r>
    </w:p>
    <w:tbl>
      <w:tblPr>
        <w:tblW w:w="12411" w:type="dxa"/>
        <w:tblInd w:w="91" w:type="dxa"/>
        <w:tblLook w:val="04A0" w:firstRow="1" w:lastRow="0" w:firstColumn="1" w:lastColumn="0" w:noHBand="0" w:noVBand="1"/>
      </w:tblPr>
      <w:tblGrid>
        <w:gridCol w:w="1251"/>
        <w:gridCol w:w="1256"/>
        <w:gridCol w:w="767"/>
        <w:gridCol w:w="516"/>
        <w:gridCol w:w="767"/>
        <w:gridCol w:w="516"/>
        <w:gridCol w:w="1256"/>
        <w:gridCol w:w="767"/>
        <w:gridCol w:w="516"/>
        <w:gridCol w:w="767"/>
        <w:gridCol w:w="516"/>
        <w:gridCol w:w="1356"/>
        <w:gridCol w:w="830"/>
        <w:gridCol w:w="416"/>
        <w:gridCol w:w="830"/>
        <w:gridCol w:w="416"/>
      </w:tblGrid>
      <w:tr w:rsidR="0013260B" w:rsidRPr="0013260B" w14:paraId="7BE131A6" w14:textId="77777777" w:rsidTr="0013260B">
        <w:trPr>
          <w:trHeight w:val="255"/>
        </w:trPr>
        <w:tc>
          <w:tcPr>
            <w:tcW w:w="125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C2A5EB" w14:textId="77777777" w:rsidR="0013260B" w:rsidRPr="00A36EFB" w:rsidRDefault="0013260B" w:rsidP="0013260B">
            <w:pPr>
              <w:spacing w:after="0" w:line="240" w:lineRule="auto"/>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 </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A64202E"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A: Absolute return</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E336FA3"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B: Absolute return</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64E7B69"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C: Absolute return</w:t>
            </w:r>
          </w:p>
        </w:tc>
      </w:tr>
      <w:tr w:rsidR="0013260B" w:rsidRPr="0013260B" w14:paraId="63CA7470" w14:textId="77777777" w:rsidTr="0013260B">
        <w:trPr>
          <w:trHeight w:val="255"/>
        </w:trPr>
        <w:tc>
          <w:tcPr>
            <w:tcW w:w="12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AAA97" w14:textId="77777777" w:rsidR="0013260B" w:rsidRPr="0013260B" w:rsidRDefault="0013260B" w:rsidP="0013260B">
            <w:pPr>
              <w:spacing w:after="0" w:line="240" w:lineRule="auto"/>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Event window</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2AAF0AF2"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Purchased analyst research = 1</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1843A036"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Investor presentations = 1</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7565F73A"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Open Briefings = 1</w:t>
            </w:r>
          </w:p>
        </w:tc>
      </w:tr>
      <w:tr w:rsidR="0013260B" w:rsidRPr="0013260B" w14:paraId="16D6169B" w14:textId="77777777" w:rsidTr="0013260B">
        <w:trPr>
          <w:trHeight w:val="255"/>
        </w:trPr>
        <w:tc>
          <w:tcPr>
            <w:tcW w:w="1251" w:type="dxa"/>
            <w:vMerge/>
            <w:tcBorders>
              <w:top w:val="nil"/>
              <w:left w:val="single" w:sz="8" w:space="0" w:color="auto"/>
              <w:bottom w:val="single" w:sz="8" w:space="0" w:color="000000"/>
              <w:right w:val="single" w:sz="8" w:space="0" w:color="auto"/>
            </w:tcBorders>
            <w:vAlign w:val="center"/>
            <w:hideMark/>
          </w:tcPr>
          <w:p w14:paraId="68E1DD01" w14:textId="77777777" w:rsidR="0013260B" w:rsidRPr="0013260B" w:rsidRDefault="0013260B" w:rsidP="0013260B">
            <w:pPr>
              <w:spacing w:after="0" w:line="240" w:lineRule="auto"/>
              <w:rPr>
                <w:rFonts w:ascii="Times New Roman" w:eastAsia="Times New Roman" w:hAnsi="Times New Roman" w:cs="Times New Roman"/>
                <w:b/>
                <w:bCs/>
                <w:color w:val="000000"/>
                <w:sz w:val="20"/>
                <w:szCs w:val="20"/>
                <w:lang w:eastAsia="en-AU"/>
              </w:rPr>
            </w:pPr>
          </w:p>
        </w:tc>
        <w:tc>
          <w:tcPr>
            <w:tcW w:w="1256" w:type="dxa"/>
            <w:tcBorders>
              <w:top w:val="nil"/>
              <w:left w:val="nil"/>
              <w:bottom w:val="single" w:sz="8" w:space="0" w:color="auto"/>
              <w:right w:val="nil"/>
            </w:tcBorders>
            <w:shd w:val="clear" w:color="auto" w:fill="auto"/>
            <w:noWrap/>
            <w:vAlign w:val="center"/>
            <w:hideMark/>
          </w:tcPr>
          <w:p w14:paraId="3BE853EB"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767" w:type="dxa"/>
            <w:tcBorders>
              <w:top w:val="nil"/>
              <w:left w:val="nil"/>
              <w:bottom w:val="single" w:sz="8" w:space="0" w:color="auto"/>
              <w:right w:val="nil"/>
            </w:tcBorders>
            <w:shd w:val="clear" w:color="auto" w:fill="auto"/>
            <w:noWrap/>
            <w:vAlign w:val="center"/>
            <w:hideMark/>
          </w:tcPr>
          <w:p w14:paraId="5AE82F11"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465" w:type="dxa"/>
            <w:tcBorders>
              <w:top w:val="nil"/>
              <w:left w:val="nil"/>
              <w:bottom w:val="single" w:sz="8" w:space="0" w:color="auto"/>
              <w:right w:val="nil"/>
            </w:tcBorders>
            <w:shd w:val="clear" w:color="auto" w:fill="auto"/>
            <w:noWrap/>
            <w:vAlign w:val="center"/>
            <w:hideMark/>
          </w:tcPr>
          <w:p w14:paraId="1862911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32" w:type="dxa"/>
            <w:gridSpan w:val="2"/>
            <w:tcBorders>
              <w:top w:val="nil"/>
              <w:left w:val="nil"/>
              <w:bottom w:val="single" w:sz="8" w:space="0" w:color="auto"/>
              <w:right w:val="single" w:sz="8" w:space="0" w:color="000000"/>
            </w:tcBorders>
            <w:shd w:val="clear" w:color="auto" w:fill="auto"/>
            <w:noWrap/>
            <w:vAlign w:val="center"/>
            <w:hideMark/>
          </w:tcPr>
          <w:p w14:paraId="1864169D"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c>
          <w:tcPr>
            <w:tcW w:w="1256" w:type="dxa"/>
            <w:tcBorders>
              <w:top w:val="nil"/>
              <w:left w:val="nil"/>
              <w:bottom w:val="single" w:sz="8" w:space="0" w:color="auto"/>
              <w:right w:val="nil"/>
            </w:tcBorders>
            <w:shd w:val="clear" w:color="auto" w:fill="auto"/>
            <w:noWrap/>
            <w:vAlign w:val="center"/>
            <w:hideMark/>
          </w:tcPr>
          <w:p w14:paraId="52C44BEB"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767" w:type="dxa"/>
            <w:tcBorders>
              <w:top w:val="nil"/>
              <w:left w:val="nil"/>
              <w:bottom w:val="single" w:sz="8" w:space="0" w:color="auto"/>
              <w:right w:val="nil"/>
            </w:tcBorders>
            <w:shd w:val="clear" w:color="auto" w:fill="auto"/>
            <w:noWrap/>
            <w:vAlign w:val="center"/>
            <w:hideMark/>
          </w:tcPr>
          <w:p w14:paraId="4FA149C4"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465" w:type="dxa"/>
            <w:tcBorders>
              <w:top w:val="nil"/>
              <w:left w:val="nil"/>
              <w:bottom w:val="single" w:sz="8" w:space="0" w:color="auto"/>
              <w:right w:val="nil"/>
            </w:tcBorders>
            <w:shd w:val="clear" w:color="auto" w:fill="auto"/>
            <w:noWrap/>
            <w:vAlign w:val="center"/>
            <w:hideMark/>
          </w:tcPr>
          <w:p w14:paraId="7997C46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32" w:type="dxa"/>
            <w:gridSpan w:val="2"/>
            <w:tcBorders>
              <w:top w:val="nil"/>
              <w:left w:val="nil"/>
              <w:bottom w:val="single" w:sz="8" w:space="0" w:color="auto"/>
              <w:right w:val="single" w:sz="8" w:space="0" w:color="000000"/>
            </w:tcBorders>
            <w:shd w:val="clear" w:color="auto" w:fill="auto"/>
            <w:noWrap/>
            <w:vAlign w:val="center"/>
            <w:hideMark/>
          </w:tcPr>
          <w:p w14:paraId="4E56D2AD"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c>
          <w:tcPr>
            <w:tcW w:w="1356" w:type="dxa"/>
            <w:tcBorders>
              <w:top w:val="nil"/>
              <w:left w:val="nil"/>
              <w:bottom w:val="single" w:sz="8" w:space="0" w:color="auto"/>
              <w:right w:val="nil"/>
            </w:tcBorders>
            <w:shd w:val="clear" w:color="auto" w:fill="auto"/>
            <w:noWrap/>
            <w:vAlign w:val="center"/>
            <w:hideMark/>
          </w:tcPr>
          <w:p w14:paraId="73DD0B4A"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830" w:type="dxa"/>
            <w:tcBorders>
              <w:top w:val="nil"/>
              <w:left w:val="nil"/>
              <w:bottom w:val="single" w:sz="8" w:space="0" w:color="auto"/>
              <w:right w:val="nil"/>
            </w:tcBorders>
            <w:shd w:val="clear" w:color="auto" w:fill="auto"/>
            <w:noWrap/>
            <w:vAlign w:val="center"/>
            <w:hideMark/>
          </w:tcPr>
          <w:p w14:paraId="02070AED"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352" w:type="dxa"/>
            <w:tcBorders>
              <w:top w:val="nil"/>
              <w:left w:val="nil"/>
              <w:bottom w:val="single" w:sz="8" w:space="0" w:color="auto"/>
              <w:right w:val="nil"/>
            </w:tcBorders>
            <w:shd w:val="clear" w:color="auto" w:fill="auto"/>
            <w:noWrap/>
            <w:vAlign w:val="center"/>
            <w:hideMark/>
          </w:tcPr>
          <w:p w14:paraId="633ACF1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182" w:type="dxa"/>
            <w:gridSpan w:val="2"/>
            <w:tcBorders>
              <w:top w:val="nil"/>
              <w:left w:val="nil"/>
              <w:bottom w:val="single" w:sz="8" w:space="0" w:color="auto"/>
              <w:right w:val="single" w:sz="8" w:space="0" w:color="000000"/>
            </w:tcBorders>
            <w:shd w:val="clear" w:color="auto" w:fill="auto"/>
            <w:noWrap/>
            <w:vAlign w:val="center"/>
            <w:hideMark/>
          </w:tcPr>
          <w:p w14:paraId="6227402E"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r>
      <w:tr w:rsidR="0013260B" w:rsidRPr="0013260B" w14:paraId="654E26DA"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2E2DEF62"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t-3</w:t>
            </w:r>
          </w:p>
        </w:tc>
        <w:tc>
          <w:tcPr>
            <w:tcW w:w="1256" w:type="dxa"/>
            <w:tcBorders>
              <w:top w:val="nil"/>
              <w:left w:val="nil"/>
              <w:bottom w:val="nil"/>
              <w:right w:val="nil"/>
            </w:tcBorders>
            <w:shd w:val="clear" w:color="auto" w:fill="auto"/>
            <w:noWrap/>
            <w:vAlign w:val="center"/>
            <w:hideMark/>
          </w:tcPr>
          <w:p w14:paraId="3345497C"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highlight w:val="yellow"/>
                <w:lang w:eastAsia="en-AU"/>
              </w:rPr>
            </w:pPr>
            <w:r>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0.76%</w:t>
            </w:r>
          </w:p>
        </w:tc>
        <w:tc>
          <w:tcPr>
            <w:tcW w:w="767" w:type="dxa"/>
            <w:tcBorders>
              <w:top w:val="nil"/>
              <w:left w:val="nil"/>
              <w:bottom w:val="nil"/>
              <w:right w:val="nil"/>
            </w:tcBorders>
            <w:shd w:val="clear" w:color="auto" w:fill="auto"/>
            <w:noWrap/>
            <w:vAlign w:val="center"/>
            <w:hideMark/>
          </w:tcPr>
          <w:p w14:paraId="0420ED72"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1.316</w:t>
            </w:r>
          </w:p>
        </w:tc>
        <w:tc>
          <w:tcPr>
            <w:tcW w:w="465" w:type="dxa"/>
            <w:tcBorders>
              <w:top w:val="nil"/>
              <w:left w:val="nil"/>
              <w:bottom w:val="nil"/>
              <w:right w:val="nil"/>
            </w:tcBorders>
            <w:shd w:val="clear" w:color="auto" w:fill="auto"/>
            <w:noWrap/>
            <w:vAlign w:val="center"/>
            <w:hideMark/>
          </w:tcPr>
          <w:p w14:paraId="7E41E84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nil"/>
              <w:right w:val="nil"/>
            </w:tcBorders>
            <w:shd w:val="clear" w:color="auto" w:fill="auto"/>
            <w:noWrap/>
            <w:vAlign w:val="center"/>
            <w:hideMark/>
          </w:tcPr>
          <w:p w14:paraId="41780E82"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1.941</w:t>
            </w:r>
          </w:p>
        </w:tc>
        <w:tc>
          <w:tcPr>
            <w:tcW w:w="465" w:type="dxa"/>
            <w:tcBorders>
              <w:top w:val="nil"/>
              <w:left w:val="nil"/>
              <w:bottom w:val="nil"/>
              <w:right w:val="nil"/>
            </w:tcBorders>
            <w:shd w:val="clear" w:color="auto" w:fill="auto"/>
            <w:noWrap/>
            <w:vAlign w:val="center"/>
            <w:hideMark/>
          </w:tcPr>
          <w:p w14:paraId="35D165A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256" w:type="dxa"/>
            <w:tcBorders>
              <w:top w:val="nil"/>
              <w:left w:val="single" w:sz="8" w:space="0" w:color="auto"/>
              <w:bottom w:val="nil"/>
              <w:right w:val="nil"/>
            </w:tcBorders>
            <w:shd w:val="clear" w:color="auto" w:fill="auto"/>
            <w:noWrap/>
            <w:vAlign w:val="center"/>
            <w:hideMark/>
          </w:tcPr>
          <w:p w14:paraId="3D36462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1.42%</w:t>
            </w:r>
          </w:p>
        </w:tc>
        <w:tc>
          <w:tcPr>
            <w:tcW w:w="767" w:type="dxa"/>
            <w:tcBorders>
              <w:top w:val="nil"/>
              <w:left w:val="nil"/>
              <w:bottom w:val="nil"/>
              <w:right w:val="nil"/>
            </w:tcBorders>
            <w:shd w:val="clear" w:color="auto" w:fill="auto"/>
            <w:noWrap/>
            <w:vAlign w:val="center"/>
            <w:hideMark/>
          </w:tcPr>
          <w:p w14:paraId="662E621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2.807</w:t>
            </w:r>
          </w:p>
        </w:tc>
        <w:tc>
          <w:tcPr>
            <w:tcW w:w="465" w:type="dxa"/>
            <w:tcBorders>
              <w:top w:val="nil"/>
              <w:left w:val="nil"/>
              <w:bottom w:val="nil"/>
              <w:right w:val="nil"/>
            </w:tcBorders>
            <w:shd w:val="clear" w:color="auto" w:fill="auto"/>
            <w:noWrap/>
            <w:vAlign w:val="center"/>
            <w:hideMark/>
          </w:tcPr>
          <w:p w14:paraId="1C760C5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77C3FC0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2.844</w:t>
            </w:r>
          </w:p>
        </w:tc>
        <w:tc>
          <w:tcPr>
            <w:tcW w:w="465" w:type="dxa"/>
            <w:tcBorders>
              <w:top w:val="nil"/>
              <w:left w:val="nil"/>
              <w:bottom w:val="nil"/>
              <w:right w:val="nil"/>
            </w:tcBorders>
            <w:shd w:val="clear" w:color="auto" w:fill="auto"/>
            <w:noWrap/>
            <w:vAlign w:val="center"/>
            <w:hideMark/>
          </w:tcPr>
          <w:p w14:paraId="34A7BE7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356" w:type="dxa"/>
            <w:tcBorders>
              <w:top w:val="nil"/>
              <w:left w:val="single" w:sz="8" w:space="0" w:color="auto"/>
              <w:bottom w:val="nil"/>
              <w:right w:val="nil"/>
            </w:tcBorders>
            <w:shd w:val="clear" w:color="auto" w:fill="auto"/>
            <w:noWrap/>
            <w:vAlign w:val="center"/>
            <w:hideMark/>
          </w:tcPr>
          <w:p w14:paraId="224341F0"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0.81%</w:t>
            </w:r>
          </w:p>
        </w:tc>
        <w:tc>
          <w:tcPr>
            <w:tcW w:w="830" w:type="dxa"/>
            <w:tcBorders>
              <w:top w:val="nil"/>
              <w:left w:val="nil"/>
              <w:bottom w:val="nil"/>
              <w:right w:val="nil"/>
            </w:tcBorders>
            <w:shd w:val="clear" w:color="auto" w:fill="auto"/>
            <w:noWrap/>
            <w:vAlign w:val="center"/>
            <w:hideMark/>
          </w:tcPr>
          <w:p w14:paraId="09455215"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1.862</w:t>
            </w:r>
          </w:p>
        </w:tc>
        <w:tc>
          <w:tcPr>
            <w:tcW w:w="352" w:type="dxa"/>
            <w:tcBorders>
              <w:top w:val="nil"/>
              <w:left w:val="nil"/>
              <w:bottom w:val="nil"/>
              <w:right w:val="nil"/>
            </w:tcBorders>
            <w:shd w:val="clear" w:color="auto" w:fill="auto"/>
            <w:noWrap/>
            <w:vAlign w:val="center"/>
            <w:hideMark/>
          </w:tcPr>
          <w:p w14:paraId="436AA47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830" w:type="dxa"/>
            <w:tcBorders>
              <w:top w:val="nil"/>
              <w:left w:val="nil"/>
              <w:bottom w:val="nil"/>
              <w:right w:val="nil"/>
            </w:tcBorders>
            <w:shd w:val="clear" w:color="auto" w:fill="auto"/>
            <w:noWrap/>
            <w:vAlign w:val="center"/>
            <w:hideMark/>
          </w:tcPr>
          <w:p w14:paraId="6D33D226"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1.187</w:t>
            </w:r>
          </w:p>
        </w:tc>
        <w:tc>
          <w:tcPr>
            <w:tcW w:w="352" w:type="dxa"/>
            <w:tcBorders>
              <w:top w:val="nil"/>
              <w:left w:val="nil"/>
              <w:bottom w:val="nil"/>
              <w:right w:val="single" w:sz="8" w:space="0" w:color="auto"/>
            </w:tcBorders>
            <w:shd w:val="clear" w:color="auto" w:fill="auto"/>
            <w:noWrap/>
            <w:vAlign w:val="center"/>
            <w:hideMark/>
          </w:tcPr>
          <w:p w14:paraId="7811FE1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1A900239"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02355955"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w:t>
            </w:r>
          </w:p>
        </w:tc>
        <w:tc>
          <w:tcPr>
            <w:tcW w:w="1256" w:type="dxa"/>
            <w:tcBorders>
              <w:top w:val="nil"/>
              <w:left w:val="nil"/>
              <w:bottom w:val="nil"/>
              <w:right w:val="nil"/>
            </w:tcBorders>
            <w:shd w:val="clear" w:color="auto" w:fill="auto"/>
            <w:noWrap/>
            <w:vAlign w:val="center"/>
            <w:hideMark/>
          </w:tcPr>
          <w:p w14:paraId="53B0C714"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0.85%</w:t>
            </w:r>
          </w:p>
        </w:tc>
        <w:tc>
          <w:tcPr>
            <w:tcW w:w="767" w:type="dxa"/>
            <w:tcBorders>
              <w:top w:val="nil"/>
              <w:left w:val="nil"/>
              <w:bottom w:val="nil"/>
              <w:right w:val="nil"/>
            </w:tcBorders>
            <w:shd w:val="clear" w:color="auto" w:fill="auto"/>
            <w:noWrap/>
            <w:vAlign w:val="center"/>
            <w:hideMark/>
          </w:tcPr>
          <w:p w14:paraId="3FD222C2"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1.319</w:t>
            </w:r>
          </w:p>
        </w:tc>
        <w:tc>
          <w:tcPr>
            <w:tcW w:w="465" w:type="dxa"/>
            <w:tcBorders>
              <w:top w:val="nil"/>
              <w:left w:val="nil"/>
              <w:bottom w:val="nil"/>
              <w:right w:val="nil"/>
            </w:tcBorders>
            <w:shd w:val="clear" w:color="auto" w:fill="auto"/>
            <w:noWrap/>
            <w:vAlign w:val="center"/>
            <w:hideMark/>
          </w:tcPr>
          <w:p w14:paraId="7B8C4ACF" w14:textId="77777777" w:rsidR="0013260B" w:rsidRPr="00EC086E"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501EDB56"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1.608</w:t>
            </w:r>
          </w:p>
        </w:tc>
        <w:tc>
          <w:tcPr>
            <w:tcW w:w="465" w:type="dxa"/>
            <w:tcBorders>
              <w:top w:val="nil"/>
              <w:left w:val="nil"/>
              <w:bottom w:val="nil"/>
              <w:right w:val="nil"/>
            </w:tcBorders>
            <w:shd w:val="clear" w:color="auto" w:fill="auto"/>
            <w:noWrap/>
            <w:vAlign w:val="center"/>
            <w:hideMark/>
          </w:tcPr>
          <w:p w14:paraId="4AD1611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5D856F1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0.94%</w:t>
            </w:r>
          </w:p>
        </w:tc>
        <w:tc>
          <w:tcPr>
            <w:tcW w:w="767" w:type="dxa"/>
            <w:tcBorders>
              <w:top w:val="nil"/>
              <w:left w:val="nil"/>
              <w:bottom w:val="nil"/>
              <w:right w:val="nil"/>
            </w:tcBorders>
            <w:shd w:val="clear" w:color="auto" w:fill="auto"/>
            <w:noWrap/>
            <w:vAlign w:val="center"/>
            <w:hideMark/>
          </w:tcPr>
          <w:p w14:paraId="63039BB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1.800</w:t>
            </w:r>
          </w:p>
        </w:tc>
        <w:tc>
          <w:tcPr>
            <w:tcW w:w="465" w:type="dxa"/>
            <w:tcBorders>
              <w:top w:val="nil"/>
              <w:left w:val="nil"/>
              <w:bottom w:val="nil"/>
              <w:right w:val="nil"/>
            </w:tcBorders>
            <w:shd w:val="clear" w:color="auto" w:fill="auto"/>
            <w:noWrap/>
            <w:vAlign w:val="center"/>
            <w:hideMark/>
          </w:tcPr>
          <w:p w14:paraId="1C7AD8C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2FDB6E2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1.999</w:t>
            </w:r>
          </w:p>
        </w:tc>
        <w:tc>
          <w:tcPr>
            <w:tcW w:w="465" w:type="dxa"/>
            <w:tcBorders>
              <w:top w:val="nil"/>
              <w:left w:val="nil"/>
              <w:bottom w:val="nil"/>
              <w:right w:val="nil"/>
            </w:tcBorders>
            <w:shd w:val="clear" w:color="auto" w:fill="auto"/>
            <w:noWrap/>
            <w:vAlign w:val="center"/>
            <w:hideMark/>
          </w:tcPr>
          <w:p w14:paraId="101DFE4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356" w:type="dxa"/>
            <w:tcBorders>
              <w:top w:val="nil"/>
              <w:left w:val="single" w:sz="8" w:space="0" w:color="auto"/>
              <w:bottom w:val="nil"/>
              <w:right w:val="nil"/>
            </w:tcBorders>
            <w:shd w:val="clear" w:color="auto" w:fill="auto"/>
            <w:noWrap/>
            <w:vAlign w:val="center"/>
            <w:hideMark/>
          </w:tcPr>
          <w:p w14:paraId="69AFB18B"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0.33%</w:t>
            </w:r>
          </w:p>
        </w:tc>
        <w:tc>
          <w:tcPr>
            <w:tcW w:w="830" w:type="dxa"/>
            <w:tcBorders>
              <w:top w:val="nil"/>
              <w:left w:val="nil"/>
              <w:bottom w:val="nil"/>
              <w:right w:val="nil"/>
            </w:tcBorders>
            <w:shd w:val="clear" w:color="auto" w:fill="auto"/>
            <w:noWrap/>
            <w:vAlign w:val="center"/>
            <w:hideMark/>
          </w:tcPr>
          <w:p w14:paraId="143B089A"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0.671</w:t>
            </w:r>
          </w:p>
        </w:tc>
        <w:tc>
          <w:tcPr>
            <w:tcW w:w="352" w:type="dxa"/>
            <w:tcBorders>
              <w:top w:val="nil"/>
              <w:left w:val="nil"/>
              <w:bottom w:val="nil"/>
              <w:right w:val="nil"/>
            </w:tcBorders>
            <w:shd w:val="clear" w:color="auto" w:fill="auto"/>
            <w:noWrap/>
            <w:vAlign w:val="center"/>
            <w:hideMark/>
          </w:tcPr>
          <w:p w14:paraId="37C5AD0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358B980C"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0.646</w:t>
            </w:r>
          </w:p>
        </w:tc>
        <w:tc>
          <w:tcPr>
            <w:tcW w:w="352" w:type="dxa"/>
            <w:tcBorders>
              <w:top w:val="nil"/>
              <w:left w:val="nil"/>
              <w:bottom w:val="nil"/>
              <w:right w:val="single" w:sz="8" w:space="0" w:color="auto"/>
            </w:tcBorders>
            <w:shd w:val="clear" w:color="auto" w:fill="auto"/>
            <w:noWrap/>
            <w:vAlign w:val="center"/>
            <w:hideMark/>
          </w:tcPr>
          <w:p w14:paraId="4754C82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56BB171C"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21B20E10"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w:t>
            </w:r>
          </w:p>
        </w:tc>
        <w:tc>
          <w:tcPr>
            <w:tcW w:w="1256" w:type="dxa"/>
            <w:tcBorders>
              <w:top w:val="nil"/>
              <w:left w:val="nil"/>
              <w:bottom w:val="nil"/>
              <w:right w:val="nil"/>
            </w:tcBorders>
            <w:shd w:val="clear" w:color="auto" w:fill="auto"/>
            <w:noWrap/>
            <w:vAlign w:val="center"/>
            <w:hideMark/>
          </w:tcPr>
          <w:p w14:paraId="46D24EFC"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0.09%</w:t>
            </w:r>
          </w:p>
        </w:tc>
        <w:tc>
          <w:tcPr>
            <w:tcW w:w="767" w:type="dxa"/>
            <w:tcBorders>
              <w:top w:val="nil"/>
              <w:left w:val="nil"/>
              <w:bottom w:val="nil"/>
              <w:right w:val="nil"/>
            </w:tcBorders>
            <w:shd w:val="clear" w:color="auto" w:fill="auto"/>
            <w:noWrap/>
            <w:vAlign w:val="center"/>
            <w:hideMark/>
          </w:tcPr>
          <w:p w14:paraId="0D2CE4DA"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0.142</w:t>
            </w:r>
          </w:p>
        </w:tc>
        <w:tc>
          <w:tcPr>
            <w:tcW w:w="465" w:type="dxa"/>
            <w:tcBorders>
              <w:top w:val="nil"/>
              <w:left w:val="nil"/>
              <w:bottom w:val="nil"/>
              <w:right w:val="nil"/>
            </w:tcBorders>
            <w:shd w:val="clear" w:color="auto" w:fill="auto"/>
            <w:noWrap/>
            <w:vAlign w:val="center"/>
            <w:hideMark/>
          </w:tcPr>
          <w:p w14:paraId="0E5447BB" w14:textId="77777777" w:rsidR="0013260B" w:rsidRPr="00EC086E"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52507DD1"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0.593</w:t>
            </w:r>
          </w:p>
        </w:tc>
        <w:tc>
          <w:tcPr>
            <w:tcW w:w="465" w:type="dxa"/>
            <w:tcBorders>
              <w:top w:val="nil"/>
              <w:left w:val="nil"/>
              <w:bottom w:val="nil"/>
              <w:right w:val="nil"/>
            </w:tcBorders>
            <w:shd w:val="clear" w:color="auto" w:fill="auto"/>
            <w:noWrap/>
            <w:vAlign w:val="center"/>
            <w:hideMark/>
          </w:tcPr>
          <w:p w14:paraId="74F78D3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57F0A1F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1.05%</w:t>
            </w:r>
          </w:p>
        </w:tc>
        <w:tc>
          <w:tcPr>
            <w:tcW w:w="767" w:type="dxa"/>
            <w:tcBorders>
              <w:top w:val="nil"/>
              <w:left w:val="nil"/>
              <w:bottom w:val="nil"/>
              <w:right w:val="nil"/>
            </w:tcBorders>
            <w:shd w:val="clear" w:color="auto" w:fill="auto"/>
            <w:noWrap/>
            <w:vAlign w:val="center"/>
            <w:hideMark/>
          </w:tcPr>
          <w:p w14:paraId="458147E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1.790</w:t>
            </w:r>
          </w:p>
        </w:tc>
        <w:tc>
          <w:tcPr>
            <w:tcW w:w="465" w:type="dxa"/>
            <w:tcBorders>
              <w:top w:val="nil"/>
              <w:left w:val="nil"/>
              <w:bottom w:val="nil"/>
              <w:right w:val="nil"/>
            </w:tcBorders>
            <w:shd w:val="clear" w:color="auto" w:fill="auto"/>
            <w:noWrap/>
            <w:vAlign w:val="center"/>
            <w:hideMark/>
          </w:tcPr>
          <w:p w14:paraId="0BAF7ED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66A1105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1.629</w:t>
            </w:r>
          </w:p>
        </w:tc>
        <w:tc>
          <w:tcPr>
            <w:tcW w:w="465" w:type="dxa"/>
            <w:tcBorders>
              <w:top w:val="nil"/>
              <w:left w:val="nil"/>
              <w:bottom w:val="nil"/>
              <w:right w:val="nil"/>
            </w:tcBorders>
            <w:shd w:val="clear" w:color="auto" w:fill="auto"/>
            <w:noWrap/>
            <w:vAlign w:val="center"/>
            <w:hideMark/>
          </w:tcPr>
          <w:p w14:paraId="4BFC891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3224D728"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0.88%</w:t>
            </w:r>
          </w:p>
        </w:tc>
        <w:tc>
          <w:tcPr>
            <w:tcW w:w="830" w:type="dxa"/>
            <w:tcBorders>
              <w:top w:val="nil"/>
              <w:left w:val="nil"/>
              <w:bottom w:val="nil"/>
              <w:right w:val="nil"/>
            </w:tcBorders>
            <w:shd w:val="clear" w:color="auto" w:fill="auto"/>
            <w:noWrap/>
            <w:vAlign w:val="center"/>
            <w:hideMark/>
          </w:tcPr>
          <w:p w14:paraId="4A5EE728"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1.740</w:t>
            </w:r>
          </w:p>
        </w:tc>
        <w:tc>
          <w:tcPr>
            <w:tcW w:w="352" w:type="dxa"/>
            <w:tcBorders>
              <w:top w:val="nil"/>
              <w:left w:val="nil"/>
              <w:bottom w:val="nil"/>
              <w:right w:val="nil"/>
            </w:tcBorders>
            <w:shd w:val="clear" w:color="auto" w:fill="auto"/>
            <w:noWrap/>
            <w:vAlign w:val="center"/>
            <w:hideMark/>
          </w:tcPr>
          <w:p w14:paraId="35D6CA4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830" w:type="dxa"/>
            <w:tcBorders>
              <w:top w:val="nil"/>
              <w:left w:val="nil"/>
              <w:bottom w:val="nil"/>
              <w:right w:val="nil"/>
            </w:tcBorders>
            <w:shd w:val="clear" w:color="auto" w:fill="auto"/>
            <w:noWrap/>
            <w:vAlign w:val="center"/>
            <w:hideMark/>
          </w:tcPr>
          <w:p w14:paraId="0C1A594A"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1.993</w:t>
            </w:r>
          </w:p>
        </w:tc>
        <w:tc>
          <w:tcPr>
            <w:tcW w:w="352" w:type="dxa"/>
            <w:tcBorders>
              <w:top w:val="nil"/>
              <w:left w:val="nil"/>
              <w:bottom w:val="nil"/>
              <w:right w:val="single" w:sz="8" w:space="0" w:color="auto"/>
            </w:tcBorders>
            <w:shd w:val="clear" w:color="auto" w:fill="auto"/>
            <w:noWrap/>
            <w:vAlign w:val="center"/>
            <w:hideMark/>
          </w:tcPr>
          <w:p w14:paraId="69E0236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r>
      <w:tr w:rsidR="0013260B" w:rsidRPr="0013260B" w14:paraId="11703427"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62726E34"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eastAsia="en-AU"/>
              </w:rPr>
              <w:t>t</w:t>
            </w:r>
          </w:p>
        </w:tc>
        <w:tc>
          <w:tcPr>
            <w:tcW w:w="1256" w:type="dxa"/>
            <w:tcBorders>
              <w:top w:val="nil"/>
              <w:left w:val="nil"/>
              <w:bottom w:val="nil"/>
              <w:right w:val="nil"/>
            </w:tcBorders>
            <w:shd w:val="clear" w:color="auto" w:fill="auto"/>
            <w:noWrap/>
            <w:vAlign w:val="center"/>
            <w:hideMark/>
          </w:tcPr>
          <w:p w14:paraId="5AFAA358"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0.34%</w:t>
            </w:r>
          </w:p>
        </w:tc>
        <w:tc>
          <w:tcPr>
            <w:tcW w:w="767" w:type="dxa"/>
            <w:tcBorders>
              <w:top w:val="nil"/>
              <w:left w:val="nil"/>
              <w:bottom w:val="nil"/>
              <w:right w:val="nil"/>
            </w:tcBorders>
            <w:shd w:val="clear" w:color="auto" w:fill="auto"/>
            <w:noWrap/>
            <w:vAlign w:val="center"/>
            <w:hideMark/>
          </w:tcPr>
          <w:p w14:paraId="5C595ABB"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0.555</w:t>
            </w:r>
          </w:p>
        </w:tc>
        <w:tc>
          <w:tcPr>
            <w:tcW w:w="465" w:type="dxa"/>
            <w:tcBorders>
              <w:top w:val="nil"/>
              <w:left w:val="nil"/>
              <w:bottom w:val="nil"/>
              <w:right w:val="nil"/>
            </w:tcBorders>
            <w:shd w:val="clear" w:color="auto" w:fill="auto"/>
            <w:noWrap/>
            <w:vAlign w:val="center"/>
            <w:hideMark/>
          </w:tcPr>
          <w:p w14:paraId="6AFAAA1F" w14:textId="77777777" w:rsidR="0013260B" w:rsidRPr="00EC086E"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D5D6092"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0.577</w:t>
            </w:r>
          </w:p>
        </w:tc>
        <w:tc>
          <w:tcPr>
            <w:tcW w:w="465" w:type="dxa"/>
            <w:tcBorders>
              <w:top w:val="nil"/>
              <w:left w:val="nil"/>
              <w:bottom w:val="nil"/>
              <w:right w:val="nil"/>
            </w:tcBorders>
            <w:shd w:val="clear" w:color="auto" w:fill="auto"/>
            <w:noWrap/>
            <w:vAlign w:val="center"/>
            <w:hideMark/>
          </w:tcPr>
          <w:p w14:paraId="724E9DD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4D0B763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0.67%</w:t>
            </w:r>
          </w:p>
        </w:tc>
        <w:tc>
          <w:tcPr>
            <w:tcW w:w="767" w:type="dxa"/>
            <w:tcBorders>
              <w:top w:val="nil"/>
              <w:left w:val="nil"/>
              <w:bottom w:val="nil"/>
              <w:right w:val="nil"/>
            </w:tcBorders>
            <w:shd w:val="clear" w:color="auto" w:fill="auto"/>
            <w:noWrap/>
            <w:vAlign w:val="center"/>
            <w:hideMark/>
          </w:tcPr>
          <w:p w14:paraId="4BC3D04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1.357</w:t>
            </w:r>
          </w:p>
        </w:tc>
        <w:tc>
          <w:tcPr>
            <w:tcW w:w="465" w:type="dxa"/>
            <w:tcBorders>
              <w:top w:val="nil"/>
              <w:left w:val="nil"/>
              <w:bottom w:val="nil"/>
              <w:right w:val="nil"/>
            </w:tcBorders>
            <w:shd w:val="clear" w:color="auto" w:fill="auto"/>
            <w:noWrap/>
            <w:vAlign w:val="center"/>
            <w:hideMark/>
          </w:tcPr>
          <w:p w14:paraId="321B51D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5D1FC1E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1.448</w:t>
            </w:r>
          </w:p>
        </w:tc>
        <w:tc>
          <w:tcPr>
            <w:tcW w:w="465" w:type="dxa"/>
            <w:tcBorders>
              <w:top w:val="nil"/>
              <w:left w:val="nil"/>
              <w:bottom w:val="nil"/>
              <w:right w:val="nil"/>
            </w:tcBorders>
            <w:shd w:val="clear" w:color="auto" w:fill="auto"/>
            <w:noWrap/>
            <w:vAlign w:val="center"/>
            <w:hideMark/>
          </w:tcPr>
          <w:p w14:paraId="265FA7F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3EBBAD23"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0.80%</w:t>
            </w:r>
          </w:p>
        </w:tc>
        <w:tc>
          <w:tcPr>
            <w:tcW w:w="830" w:type="dxa"/>
            <w:tcBorders>
              <w:top w:val="nil"/>
              <w:left w:val="nil"/>
              <w:bottom w:val="nil"/>
              <w:right w:val="nil"/>
            </w:tcBorders>
            <w:shd w:val="clear" w:color="auto" w:fill="auto"/>
            <w:noWrap/>
            <w:vAlign w:val="center"/>
            <w:hideMark/>
          </w:tcPr>
          <w:p w14:paraId="40EDDB9A"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1.715</w:t>
            </w:r>
          </w:p>
        </w:tc>
        <w:tc>
          <w:tcPr>
            <w:tcW w:w="352" w:type="dxa"/>
            <w:tcBorders>
              <w:top w:val="nil"/>
              <w:left w:val="nil"/>
              <w:bottom w:val="nil"/>
              <w:right w:val="nil"/>
            </w:tcBorders>
            <w:shd w:val="clear" w:color="auto" w:fill="auto"/>
            <w:noWrap/>
            <w:vAlign w:val="center"/>
            <w:hideMark/>
          </w:tcPr>
          <w:p w14:paraId="000E6C2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830" w:type="dxa"/>
            <w:tcBorders>
              <w:top w:val="nil"/>
              <w:left w:val="nil"/>
              <w:bottom w:val="nil"/>
              <w:right w:val="nil"/>
            </w:tcBorders>
            <w:shd w:val="clear" w:color="auto" w:fill="auto"/>
            <w:noWrap/>
            <w:vAlign w:val="center"/>
            <w:hideMark/>
          </w:tcPr>
          <w:p w14:paraId="4457D967"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1.811</w:t>
            </w:r>
          </w:p>
        </w:tc>
        <w:tc>
          <w:tcPr>
            <w:tcW w:w="352" w:type="dxa"/>
            <w:tcBorders>
              <w:top w:val="nil"/>
              <w:left w:val="nil"/>
              <w:bottom w:val="nil"/>
              <w:right w:val="single" w:sz="8" w:space="0" w:color="auto"/>
            </w:tcBorders>
            <w:shd w:val="clear" w:color="auto" w:fill="auto"/>
            <w:noWrap/>
            <w:vAlign w:val="center"/>
            <w:hideMark/>
          </w:tcPr>
          <w:p w14:paraId="793C17F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r>
      <w:tr w:rsidR="0013260B" w:rsidRPr="0013260B" w14:paraId="23EEF0A9"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188D7258"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w:t>
            </w:r>
          </w:p>
        </w:tc>
        <w:tc>
          <w:tcPr>
            <w:tcW w:w="1256" w:type="dxa"/>
            <w:tcBorders>
              <w:top w:val="nil"/>
              <w:left w:val="nil"/>
              <w:bottom w:val="nil"/>
              <w:right w:val="nil"/>
            </w:tcBorders>
            <w:shd w:val="clear" w:color="auto" w:fill="auto"/>
            <w:noWrap/>
            <w:vAlign w:val="center"/>
            <w:hideMark/>
          </w:tcPr>
          <w:p w14:paraId="056859F6"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0.78%</w:t>
            </w:r>
          </w:p>
        </w:tc>
        <w:tc>
          <w:tcPr>
            <w:tcW w:w="767" w:type="dxa"/>
            <w:tcBorders>
              <w:top w:val="nil"/>
              <w:left w:val="nil"/>
              <w:bottom w:val="nil"/>
              <w:right w:val="nil"/>
            </w:tcBorders>
            <w:shd w:val="clear" w:color="auto" w:fill="auto"/>
            <w:noWrap/>
            <w:vAlign w:val="center"/>
            <w:hideMark/>
          </w:tcPr>
          <w:p w14:paraId="0F4FEA7E"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1.766</w:t>
            </w:r>
          </w:p>
        </w:tc>
        <w:tc>
          <w:tcPr>
            <w:tcW w:w="465" w:type="dxa"/>
            <w:tcBorders>
              <w:top w:val="nil"/>
              <w:left w:val="nil"/>
              <w:bottom w:val="nil"/>
              <w:right w:val="nil"/>
            </w:tcBorders>
            <w:shd w:val="clear" w:color="auto" w:fill="auto"/>
            <w:noWrap/>
            <w:vAlign w:val="center"/>
            <w:hideMark/>
          </w:tcPr>
          <w:p w14:paraId="07E39920" w14:textId="77777777" w:rsidR="0013260B" w:rsidRPr="00EC086E" w:rsidRDefault="0013260B" w:rsidP="0013260B">
            <w:pPr>
              <w:spacing w:after="0" w:line="240" w:lineRule="auto"/>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417620B0" w14:textId="77777777" w:rsidR="0013260B" w:rsidRPr="00EC086E"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EC086E">
              <w:rPr>
                <w:rFonts w:ascii="Times New Roman" w:eastAsia="Times New Roman" w:hAnsi="Times New Roman" w:cs="Times New Roman"/>
                <w:color w:val="000000"/>
                <w:sz w:val="20"/>
                <w:szCs w:val="20"/>
                <w:lang w:eastAsia="en-AU"/>
              </w:rPr>
              <w:t>1.119</w:t>
            </w:r>
          </w:p>
        </w:tc>
        <w:tc>
          <w:tcPr>
            <w:tcW w:w="465" w:type="dxa"/>
            <w:tcBorders>
              <w:top w:val="nil"/>
              <w:left w:val="nil"/>
              <w:bottom w:val="nil"/>
              <w:right w:val="nil"/>
            </w:tcBorders>
            <w:shd w:val="clear" w:color="auto" w:fill="auto"/>
            <w:noWrap/>
            <w:vAlign w:val="center"/>
            <w:hideMark/>
          </w:tcPr>
          <w:p w14:paraId="6BD0E56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47FD04EB"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1.04%</w:t>
            </w:r>
          </w:p>
        </w:tc>
        <w:tc>
          <w:tcPr>
            <w:tcW w:w="767" w:type="dxa"/>
            <w:tcBorders>
              <w:top w:val="nil"/>
              <w:left w:val="nil"/>
              <w:bottom w:val="nil"/>
              <w:right w:val="nil"/>
            </w:tcBorders>
            <w:shd w:val="clear" w:color="auto" w:fill="auto"/>
            <w:noWrap/>
            <w:vAlign w:val="center"/>
            <w:hideMark/>
          </w:tcPr>
          <w:p w14:paraId="50B2923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2.381</w:t>
            </w:r>
          </w:p>
        </w:tc>
        <w:tc>
          <w:tcPr>
            <w:tcW w:w="465" w:type="dxa"/>
            <w:tcBorders>
              <w:top w:val="nil"/>
              <w:left w:val="nil"/>
              <w:bottom w:val="nil"/>
              <w:right w:val="nil"/>
            </w:tcBorders>
            <w:shd w:val="clear" w:color="auto" w:fill="auto"/>
            <w:noWrap/>
            <w:vAlign w:val="center"/>
            <w:hideMark/>
          </w:tcPr>
          <w:p w14:paraId="6DA163C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637DFB3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2.556</w:t>
            </w:r>
          </w:p>
        </w:tc>
        <w:tc>
          <w:tcPr>
            <w:tcW w:w="465" w:type="dxa"/>
            <w:tcBorders>
              <w:top w:val="nil"/>
              <w:left w:val="nil"/>
              <w:bottom w:val="nil"/>
              <w:right w:val="nil"/>
            </w:tcBorders>
            <w:shd w:val="clear" w:color="auto" w:fill="auto"/>
            <w:noWrap/>
            <w:vAlign w:val="center"/>
            <w:hideMark/>
          </w:tcPr>
          <w:p w14:paraId="731C890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356" w:type="dxa"/>
            <w:tcBorders>
              <w:top w:val="nil"/>
              <w:left w:val="single" w:sz="8" w:space="0" w:color="auto"/>
              <w:bottom w:val="nil"/>
              <w:right w:val="nil"/>
            </w:tcBorders>
            <w:shd w:val="clear" w:color="auto" w:fill="auto"/>
            <w:noWrap/>
            <w:vAlign w:val="center"/>
            <w:hideMark/>
          </w:tcPr>
          <w:p w14:paraId="28C10BDD"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0.46%</w:t>
            </w:r>
          </w:p>
        </w:tc>
        <w:tc>
          <w:tcPr>
            <w:tcW w:w="830" w:type="dxa"/>
            <w:tcBorders>
              <w:top w:val="nil"/>
              <w:left w:val="nil"/>
              <w:bottom w:val="nil"/>
              <w:right w:val="nil"/>
            </w:tcBorders>
            <w:shd w:val="clear" w:color="auto" w:fill="auto"/>
            <w:noWrap/>
            <w:vAlign w:val="center"/>
            <w:hideMark/>
          </w:tcPr>
          <w:p w14:paraId="10F0D3C3"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1.109</w:t>
            </w:r>
          </w:p>
        </w:tc>
        <w:tc>
          <w:tcPr>
            <w:tcW w:w="352" w:type="dxa"/>
            <w:tcBorders>
              <w:top w:val="nil"/>
              <w:left w:val="nil"/>
              <w:bottom w:val="nil"/>
              <w:right w:val="nil"/>
            </w:tcBorders>
            <w:shd w:val="clear" w:color="auto" w:fill="auto"/>
            <w:noWrap/>
            <w:vAlign w:val="center"/>
            <w:hideMark/>
          </w:tcPr>
          <w:p w14:paraId="01F8955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3885F89B"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1.548</w:t>
            </w:r>
          </w:p>
        </w:tc>
        <w:tc>
          <w:tcPr>
            <w:tcW w:w="352" w:type="dxa"/>
            <w:tcBorders>
              <w:top w:val="nil"/>
              <w:left w:val="nil"/>
              <w:bottom w:val="nil"/>
              <w:right w:val="single" w:sz="8" w:space="0" w:color="auto"/>
            </w:tcBorders>
            <w:shd w:val="clear" w:color="auto" w:fill="auto"/>
            <w:noWrap/>
            <w:vAlign w:val="center"/>
            <w:hideMark/>
          </w:tcPr>
          <w:p w14:paraId="069F2F8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3FB56837"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20935A17"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w:t>
            </w:r>
          </w:p>
        </w:tc>
        <w:tc>
          <w:tcPr>
            <w:tcW w:w="1256" w:type="dxa"/>
            <w:tcBorders>
              <w:top w:val="nil"/>
              <w:left w:val="nil"/>
              <w:bottom w:val="nil"/>
              <w:right w:val="nil"/>
            </w:tcBorders>
            <w:shd w:val="clear" w:color="auto" w:fill="auto"/>
            <w:noWrap/>
            <w:vAlign w:val="center"/>
            <w:hideMark/>
          </w:tcPr>
          <w:p w14:paraId="4FF3DDE6"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0.02%</w:t>
            </w:r>
          </w:p>
        </w:tc>
        <w:tc>
          <w:tcPr>
            <w:tcW w:w="767" w:type="dxa"/>
            <w:tcBorders>
              <w:top w:val="nil"/>
              <w:left w:val="nil"/>
              <w:bottom w:val="nil"/>
              <w:right w:val="nil"/>
            </w:tcBorders>
            <w:shd w:val="clear" w:color="auto" w:fill="auto"/>
            <w:noWrap/>
            <w:vAlign w:val="center"/>
            <w:hideMark/>
          </w:tcPr>
          <w:p w14:paraId="5994AD93"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0.028</w:t>
            </w:r>
          </w:p>
        </w:tc>
        <w:tc>
          <w:tcPr>
            <w:tcW w:w="465" w:type="dxa"/>
            <w:tcBorders>
              <w:top w:val="nil"/>
              <w:left w:val="nil"/>
              <w:bottom w:val="nil"/>
              <w:right w:val="nil"/>
            </w:tcBorders>
            <w:shd w:val="clear" w:color="auto" w:fill="auto"/>
            <w:noWrap/>
            <w:vAlign w:val="center"/>
            <w:hideMark/>
          </w:tcPr>
          <w:p w14:paraId="37D3C542" w14:textId="77777777" w:rsidR="0013260B" w:rsidRPr="0077441D"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52433B2F"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0.613</w:t>
            </w:r>
          </w:p>
        </w:tc>
        <w:tc>
          <w:tcPr>
            <w:tcW w:w="465" w:type="dxa"/>
            <w:tcBorders>
              <w:top w:val="nil"/>
              <w:left w:val="nil"/>
              <w:bottom w:val="nil"/>
              <w:right w:val="nil"/>
            </w:tcBorders>
            <w:shd w:val="clear" w:color="auto" w:fill="auto"/>
            <w:noWrap/>
            <w:vAlign w:val="center"/>
            <w:hideMark/>
          </w:tcPr>
          <w:p w14:paraId="78425B7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24BC5C9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0.78%</w:t>
            </w:r>
          </w:p>
        </w:tc>
        <w:tc>
          <w:tcPr>
            <w:tcW w:w="767" w:type="dxa"/>
            <w:tcBorders>
              <w:top w:val="nil"/>
              <w:left w:val="nil"/>
              <w:bottom w:val="nil"/>
              <w:right w:val="nil"/>
            </w:tcBorders>
            <w:shd w:val="clear" w:color="auto" w:fill="auto"/>
            <w:noWrap/>
            <w:vAlign w:val="center"/>
            <w:hideMark/>
          </w:tcPr>
          <w:p w14:paraId="6939F8A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1.520</w:t>
            </w:r>
          </w:p>
        </w:tc>
        <w:tc>
          <w:tcPr>
            <w:tcW w:w="465" w:type="dxa"/>
            <w:tcBorders>
              <w:top w:val="nil"/>
              <w:left w:val="nil"/>
              <w:bottom w:val="nil"/>
              <w:right w:val="nil"/>
            </w:tcBorders>
            <w:shd w:val="clear" w:color="auto" w:fill="auto"/>
            <w:noWrap/>
            <w:vAlign w:val="center"/>
            <w:hideMark/>
          </w:tcPr>
          <w:p w14:paraId="7004338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6C3958E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1.045</w:t>
            </w:r>
          </w:p>
        </w:tc>
        <w:tc>
          <w:tcPr>
            <w:tcW w:w="465" w:type="dxa"/>
            <w:tcBorders>
              <w:top w:val="nil"/>
              <w:left w:val="nil"/>
              <w:bottom w:val="nil"/>
              <w:right w:val="nil"/>
            </w:tcBorders>
            <w:shd w:val="clear" w:color="auto" w:fill="auto"/>
            <w:noWrap/>
            <w:vAlign w:val="center"/>
            <w:hideMark/>
          </w:tcPr>
          <w:p w14:paraId="6F14327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74E0E102"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0.71%</w:t>
            </w:r>
          </w:p>
        </w:tc>
        <w:tc>
          <w:tcPr>
            <w:tcW w:w="830" w:type="dxa"/>
            <w:tcBorders>
              <w:top w:val="nil"/>
              <w:left w:val="nil"/>
              <w:bottom w:val="nil"/>
              <w:right w:val="nil"/>
            </w:tcBorders>
            <w:shd w:val="clear" w:color="auto" w:fill="auto"/>
            <w:noWrap/>
            <w:vAlign w:val="center"/>
            <w:hideMark/>
          </w:tcPr>
          <w:p w14:paraId="72250B93"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1.592</w:t>
            </w:r>
          </w:p>
        </w:tc>
        <w:tc>
          <w:tcPr>
            <w:tcW w:w="352" w:type="dxa"/>
            <w:tcBorders>
              <w:top w:val="nil"/>
              <w:left w:val="nil"/>
              <w:bottom w:val="nil"/>
              <w:right w:val="nil"/>
            </w:tcBorders>
            <w:shd w:val="clear" w:color="auto" w:fill="auto"/>
            <w:noWrap/>
            <w:vAlign w:val="center"/>
            <w:hideMark/>
          </w:tcPr>
          <w:p w14:paraId="1239FE5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55E00848"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1.459</w:t>
            </w:r>
          </w:p>
        </w:tc>
        <w:tc>
          <w:tcPr>
            <w:tcW w:w="352" w:type="dxa"/>
            <w:tcBorders>
              <w:top w:val="nil"/>
              <w:left w:val="nil"/>
              <w:bottom w:val="nil"/>
              <w:right w:val="single" w:sz="8" w:space="0" w:color="auto"/>
            </w:tcBorders>
            <w:shd w:val="clear" w:color="auto" w:fill="auto"/>
            <w:noWrap/>
            <w:vAlign w:val="center"/>
            <w:hideMark/>
          </w:tcPr>
          <w:p w14:paraId="0EAA8B7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4B5EC85A"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2D6BD5DB"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t+3</w:t>
            </w:r>
          </w:p>
        </w:tc>
        <w:tc>
          <w:tcPr>
            <w:tcW w:w="1256" w:type="dxa"/>
            <w:tcBorders>
              <w:top w:val="nil"/>
              <w:left w:val="nil"/>
              <w:bottom w:val="nil"/>
              <w:right w:val="nil"/>
            </w:tcBorders>
            <w:shd w:val="clear" w:color="auto" w:fill="auto"/>
            <w:noWrap/>
            <w:vAlign w:val="center"/>
            <w:hideMark/>
          </w:tcPr>
          <w:p w14:paraId="1CF7FE2A"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0.39%</w:t>
            </w:r>
          </w:p>
        </w:tc>
        <w:tc>
          <w:tcPr>
            <w:tcW w:w="767" w:type="dxa"/>
            <w:tcBorders>
              <w:top w:val="nil"/>
              <w:left w:val="nil"/>
              <w:bottom w:val="nil"/>
              <w:right w:val="nil"/>
            </w:tcBorders>
            <w:shd w:val="clear" w:color="auto" w:fill="auto"/>
            <w:noWrap/>
            <w:vAlign w:val="center"/>
            <w:hideMark/>
          </w:tcPr>
          <w:p w14:paraId="70DE4F4C"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0.359</w:t>
            </w:r>
          </w:p>
        </w:tc>
        <w:tc>
          <w:tcPr>
            <w:tcW w:w="465" w:type="dxa"/>
            <w:tcBorders>
              <w:top w:val="nil"/>
              <w:left w:val="nil"/>
              <w:bottom w:val="nil"/>
              <w:right w:val="nil"/>
            </w:tcBorders>
            <w:shd w:val="clear" w:color="auto" w:fill="auto"/>
            <w:noWrap/>
            <w:vAlign w:val="center"/>
            <w:hideMark/>
          </w:tcPr>
          <w:p w14:paraId="1B94FFBC" w14:textId="77777777" w:rsidR="0013260B" w:rsidRPr="0077441D"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3E23A324"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1.155</w:t>
            </w:r>
          </w:p>
        </w:tc>
        <w:tc>
          <w:tcPr>
            <w:tcW w:w="465" w:type="dxa"/>
            <w:tcBorders>
              <w:top w:val="nil"/>
              <w:left w:val="nil"/>
              <w:bottom w:val="nil"/>
              <w:right w:val="nil"/>
            </w:tcBorders>
            <w:shd w:val="clear" w:color="auto" w:fill="auto"/>
            <w:noWrap/>
            <w:vAlign w:val="center"/>
            <w:hideMark/>
          </w:tcPr>
          <w:p w14:paraId="78367FB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5DCF191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0.26%</w:t>
            </w:r>
          </w:p>
        </w:tc>
        <w:tc>
          <w:tcPr>
            <w:tcW w:w="767" w:type="dxa"/>
            <w:tcBorders>
              <w:top w:val="nil"/>
              <w:left w:val="nil"/>
              <w:bottom w:val="nil"/>
              <w:right w:val="nil"/>
            </w:tcBorders>
            <w:shd w:val="clear" w:color="auto" w:fill="auto"/>
            <w:noWrap/>
            <w:vAlign w:val="center"/>
            <w:hideMark/>
          </w:tcPr>
          <w:p w14:paraId="6D02D12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0.386</w:t>
            </w:r>
          </w:p>
        </w:tc>
        <w:tc>
          <w:tcPr>
            <w:tcW w:w="465" w:type="dxa"/>
            <w:tcBorders>
              <w:top w:val="nil"/>
              <w:left w:val="nil"/>
              <w:bottom w:val="nil"/>
              <w:right w:val="nil"/>
            </w:tcBorders>
            <w:shd w:val="clear" w:color="auto" w:fill="auto"/>
            <w:noWrap/>
            <w:vAlign w:val="center"/>
            <w:hideMark/>
          </w:tcPr>
          <w:p w14:paraId="201E0BA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3BB0BFC8"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1.425</w:t>
            </w:r>
          </w:p>
        </w:tc>
        <w:tc>
          <w:tcPr>
            <w:tcW w:w="465" w:type="dxa"/>
            <w:tcBorders>
              <w:top w:val="nil"/>
              <w:left w:val="nil"/>
              <w:bottom w:val="nil"/>
              <w:right w:val="nil"/>
            </w:tcBorders>
            <w:shd w:val="clear" w:color="auto" w:fill="auto"/>
            <w:noWrap/>
            <w:vAlign w:val="center"/>
            <w:hideMark/>
          </w:tcPr>
          <w:p w14:paraId="06BA408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3249A7CC"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0.46%</w:t>
            </w:r>
          </w:p>
        </w:tc>
        <w:tc>
          <w:tcPr>
            <w:tcW w:w="830" w:type="dxa"/>
            <w:tcBorders>
              <w:top w:val="nil"/>
              <w:left w:val="nil"/>
              <w:bottom w:val="nil"/>
              <w:right w:val="nil"/>
            </w:tcBorders>
            <w:shd w:val="clear" w:color="auto" w:fill="auto"/>
            <w:noWrap/>
            <w:vAlign w:val="center"/>
            <w:hideMark/>
          </w:tcPr>
          <w:p w14:paraId="4EB71E84"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0.739</w:t>
            </w:r>
          </w:p>
        </w:tc>
        <w:tc>
          <w:tcPr>
            <w:tcW w:w="352" w:type="dxa"/>
            <w:tcBorders>
              <w:top w:val="nil"/>
              <w:left w:val="nil"/>
              <w:bottom w:val="nil"/>
              <w:right w:val="nil"/>
            </w:tcBorders>
            <w:shd w:val="clear" w:color="auto" w:fill="auto"/>
            <w:noWrap/>
            <w:vAlign w:val="center"/>
            <w:hideMark/>
          </w:tcPr>
          <w:p w14:paraId="621A8CE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2F9BBFA0"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0.454</w:t>
            </w:r>
          </w:p>
        </w:tc>
        <w:tc>
          <w:tcPr>
            <w:tcW w:w="352" w:type="dxa"/>
            <w:tcBorders>
              <w:top w:val="nil"/>
              <w:left w:val="nil"/>
              <w:bottom w:val="nil"/>
              <w:right w:val="single" w:sz="8" w:space="0" w:color="auto"/>
            </w:tcBorders>
            <w:shd w:val="clear" w:color="auto" w:fill="auto"/>
            <w:noWrap/>
            <w:vAlign w:val="center"/>
            <w:hideMark/>
          </w:tcPr>
          <w:p w14:paraId="05132AD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0527317A" w14:textId="77777777" w:rsidTr="0013260B">
        <w:trPr>
          <w:trHeight w:val="255"/>
        </w:trPr>
        <w:tc>
          <w:tcPr>
            <w:tcW w:w="1251" w:type="dxa"/>
            <w:tcBorders>
              <w:top w:val="single" w:sz="8" w:space="0" w:color="auto"/>
              <w:left w:val="single" w:sz="8" w:space="0" w:color="auto"/>
              <w:bottom w:val="nil"/>
              <w:right w:val="single" w:sz="8" w:space="0" w:color="auto"/>
            </w:tcBorders>
            <w:shd w:val="clear" w:color="auto" w:fill="auto"/>
            <w:noWrap/>
            <w:vAlign w:val="center"/>
            <w:hideMark/>
          </w:tcPr>
          <w:p w14:paraId="0E390D86"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 to t+1</w:t>
            </w:r>
          </w:p>
        </w:tc>
        <w:tc>
          <w:tcPr>
            <w:tcW w:w="1256" w:type="dxa"/>
            <w:tcBorders>
              <w:top w:val="single" w:sz="8" w:space="0" w:color="auto"/>
              <w:left w:val="nil"/>
              <w:bottom w:val="nil"/>
              <w:right w:val="nil"/>
            </w:tcBorders>
            <w:shd w:val="clear" w:color="auto" w:fill="auto"/>
            <w:noWrap/>
            <w:vAlign w:val="center"/>
            <w:hideMark/>
          </w:tcPr>
          <w:p w14:paraId="3DC88594"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0.58%</w:t>
            </w:r>
          </w:p>
        </w:tc>
        <w:tc>
          <w:tcPr>
            <w:tcW w:w="767" w:type="dxa"/>
            <w:tcBorders>
              <w:top w:val="single" w:sz="8" w:space="0" w:color="auto"/>
              <w:left w:val="nil"/>
              <w:bottom w:val="nil"/>
              <w:right w:val="nil"/>
            </w:tcBorders>
            <w:shd w:val="clear" w:color="auto" w:fill="auto"/>
            <w:noWrap/>
            <w:vAlign w:val="center"/>
            <w:hideMark/>
          </w:tcPr>
          <w:p w14:paraId="50B94592"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0.677</w:t>
            </w:r>
          </w:p>
        </w:tc>
        <w:tc>
          <w:tcPr>
            <w:tcW w:w="465" w:type="dxa"/>
            <w:tcBorders>
              <w:top w:val="single" w:sz="8" w:space="0" w:color="auto"/>
              <w:left w:val="nil"/>
              <w:bottom w:val="nil"/>
              <w:right w:val="nil"/>
            </w:tcBorders>
            <w:shd w:val="clear" w:color="auto" w:fill="auto"/>
            <w:noWrap/>
            <w:vAlign w:val="center"/>
            <w:hideMark/>
          </w:tcPr>
          <w:p w14:paraId="6EAEE4D4" w14:textId="77777777" w:rsidR="0013260B" w:rsidRPr="0077441D" w:rsidRDefault="0013260B" w:rsidP="0013260B">
            <w:pPr>
              <w:spacing w:after="0" w:line="240" w:lineRule="auto"/>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 </w:t>
            </w:r>
          </w:p>
        </w:tc>
        <w:tc>
          <w:tcPr>
            <w:tcW w:w="767" w:type="dxa"/>
            <w:tcBorders>
              <w:top w:val="single" w:sz="8" w:space="0" w:color="auto"/>
              <w:left w:val="nil"/>
              <w:bottom w:val="nil"/>
              <w:right w:val="nil"/>
            </w:tcBorders>
            <w:shd w:val="clear" w:color="auto" w:fill="auto"/>
            <w:noWrap/>
            <w:vAlign w:val="center"/>
            <w:hideMark/>
          </w:tcPr>
          <w:p w14:paraId="468D7D58" w14:textId="77777777" w:rsidR="0013260B" w:rsidRPr="0077441D"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0.433</w:t>
            </w:r>
          </w:p>
        </w:tc>
        <w:tc>
          <w:tcPr>
            <w:tcW w:w="465" w:type="dxa"/>
            <w:tcBorders>
              <w:top w:val="single" w:sz="8" w:space="0" w:color="auto"/>
              <w:left w:val="nil"/>
              <w:bottom w:val="nil"/>
              <w:right w:val="nil"/>
            </w:tcBorders>
            <w:shd w:val="clear" w:color="auto" w:fill="auto"/>
            <w:noWrap/>
            <w:vAlign w:val="center"/>
            <w:hideMark/>
          </w:tcPr>
          <w:p w14:paraId="3D0E7B3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56" w:type="dxa"/>
            <w:tcBorders>
              <w:top w:val="single" w:sz="8" w:space="0" w:color="auto"/>
              <w:left w:val="single" w:sz="8" w:space="0" w:color="auto"/>
              <w:bottom w:val="nil"/>
              <w:right w:val="nil"/>
            </w:tcBorders>
            <w:shd w:val="clear" w:color="auto" w:fill="auto"/>
            <w:noWrap/>
            <w:vAlign w:val="center"/>
            <w:hideMark/>
          </w:tcPr>
          <w:p w14:paraId="6F99326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1.19%</w:t>
            </w:r>
          </w:p>
        </w:tc>
        <w:tc>
          <w:tcPr>
            <w:tcW w:w="767" w:type="dxa"/>
            <w:tcBorders>
              <w:top w:val="single" w:sz="8" w:space="0" w:color="auto"/>
              <w:left w:val="nil"/>
              <w:bottom w:val="nil"/>
              <w:right w:val="nil"/>
            </w:tcBorders>
            <w:shd w:val="clear" w:color="auto" w:fill="auto"/>
            <w:noWrap/>
            <w:vAlign w:val="center"/>
            <w:hideMark/>
          </w:tcPr>
          <w:p w14:paraId="632ED82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1.563</w:t>
            </w:r>
          </w:p>
        </w:tc>
        <w:tc>
          <w:tcPr>
            <w:tcW w:w="465" w:type="dxa"/>
            <w:tcBorders>
              <w:top w:val="single" w:sz="8" w:space="0" w:color="auto"/>
              <w:left w:val="nil"/>
              <w:bottom w:val="nil"/>
              <w:right w:val="nil"/>
            </w:tcBorders>
            <w:shd w:val="clear" w:color="auto" w:fill="auto"/>
            <w:noWrap/>
            <w:vAlign w:val="center"/>
            <w:hideMark/>
          </w:tcPr>
          <w:p w14:paraId="1727486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single" w:sz="8" w:space="0" w:color="auto"/>
              <w:left w:val="nil"/>
              <w:bottom w:val="nil"/>
              <w:right w:val="nil"/>
            </w:tcBorders>
            <w:shd w:val="clear" w:color="auto" w:fill="auto"/>
            <w:noWrap/>
            <w:vAlign w:val="center"/>
            <w:hideMark/>
          </w:tcPr>
          <w:p w14:paraId="59126BE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1.117</w:t>
            </w:r>
          </w:p>
        </w:tc>
        <w:tc>
          <w:tcPr>
            <w:tcW w:w="465" w:type="dxa"/>
            <w:tcBorders>
              <w:top w:val="single" w:sz="8" w:space="0" w:color="auto"/>
              <w:left w:val="nil"/>
              <w:bottom w:val="nil"/>
              <w:right w:val="nil"/>
            </w:tcBorders>
            <w:shd w:val="clear" w:color="auto" w:fill="auto"/>
            <w:noWrap/>
            <w:vAlign w:val="center"/>
            <w:hideMark/>
          </w:tcPr>
          <w:p w14:paraId="32C1F20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356" w:type="dxa"/>
            <w:tcBorders>
              <w:top w:val="single" w:sz="8" w:space="0" w:color="auto"/>
              <w:left w:val="single" w:sz="8" w:space="0" w:color="auto"/>
              <w:bottom w:val="nil"/>
              <w:right w:val="nil"/>
            </w:tcBorders>
            <w:shd w:val="clear" w:color="auto" w:fill="auto"/>
            <w:noWrap/>
            <w:vAlign w:val="center"/>
            <w:hideMark/>
          </w:tcPr>
          <w:p w14:paraId="556FCFF6"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1.41%</w:t>
            </w:r>
          </w:p>
        </w:tc>
        <w:tc>
          <w:tcPr>
            <w:tcW w:w="830" w:type="dxa"/>
            <w:tcBorders>
              <w:top w:val="single" w:sz="8" w:space="0" w:color="auto"/>
              <w:left w:val="nil"/>
              <w:bottom w:val="nil"/>
              <w:right w:val="nil"/>
            </w:tcBorders>
            <w:shd w:val="clear" w:color="auto" w:fill="auto"/>
            <w:noWrap/>
            <w:vAlign w:val="center"/>
            <w:hideMark/>
          </w:tcPr>
          <w:p w14:paraId="3D89F825"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2.180</w:t>
            </w:r>
          </w:p>
        </w:tc>
        <w:tc>
          <w:tcPr>
            <w:tcW w:w="352" w:type="dxa"/>
            <w:tcBorders>
              <w:top w:val="single" w:sz="8" w:space="0" w:color="auto"/>
              <w:left w:val="nil"/>
              <w:bottom w:val="nil"/>
              <w:right w:val="nil"/>
            </w:tcBorders>
            <w:shd w:val="clear" w:color="auto" w:fill="auto"/>
            <w:noWrap/>
            <w:vAlign w:val="center"/>
            <w:hideMark/>
          </w:tcPr>
          <w:p w14:paraId="71016CD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830" w:type="dxa"/>
            <w:tcBorders>
              <w:top w:val="single" w:sz="8" w:space="0" w:color="auto"/>
              <w:left w:val="nil"/>
              <w:bottom w:val="nil"/>
              <w:right w:val="nil"/>
            </w:tcBorders>
            <w:shd w:val="clear" w:color="auto" w:fill="auto"/>
            <w:noWrap/>
            <w:vAlign w:val="center"/>
            <w:hideMark/>
          </w:tcPr>
          <w:p w14:paraId="5EBA8126"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1.388</w:t>
            </w:r>
          </w:p>
        </w:tc>
        <w:tc>
          <w:tcPr>
            <w:tcW w:w="352" w:type="dxa"/>
            <w:tcBorders>
              <w:top w:val="single" w:sz="8" w:space="0" w:color="auto"/>
              <w:left w:val="nil"/>
              <w:bottom w:val="nil"/>
              <w:right w:val="single" w:sz="8" w:space="0" w:color="auto"/>
            </w:tcBorders>
            <w:shd w:val="clear" w:color="auto" w:fill="auto"/>
            <w:noWrap/>
            <w:vAlign w:val="center"/>
            <w:hideMark/>
          </w:tcPr>
          <w:p w14:paraId="33F97C6D"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1CEE114D" w14:textId="77777777" w:rsidTr="0013260B">
        <w:trPr>
          <w:trHeight w:val="255"/>
        </w:trPr>
        <w:tc>
          <w:tcPr>
            <w:tcW w:w="1251" w:type="dxa"/>
            <w:tcBorders>
              <w:top w:val="nil"/>
              <w:left w:val="single" w:sz="8" w:space="0" w:color="auto"/>
              <w:bottom w:val="nil"/>
              <w:right w:val="single" w:sz="8" w:space="0" w:color="auto"/>
            </w:tcBorders>
            <w:shd w:val="clear" w:color="auto" w:fill="auto"/>
            <w:noWrap/>
            <w:vAlign w:val="center"/>
            <w:hideMark/>
          </w:tcPr>
          <w:p w14:paraId="4BA1BA8F"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 -10 to t+10</w:t>
            </w:r>
          </w:p>
        </w:tc>
        <w:tc>
          <w:tcPr>
            <w:tcW w:w="1256" w:type="dxa"/>
            <w:tcBorders>
              <w:top w:val="nil"/>
              <w:left w:val="nil"/>
              <w:bottom w:val="nil"/>
              <w:right w:val="nil"/>
            </w:tcBorders>
            <w:shd w:val="clear" w:color="auto" w:fill="auto"/>
            <w:noWrap/>
            <w:vAlign w:val="center"/>
            <w:hideMark/>
          </w:tcPr>
          <w:p w14:paraId="167EE45B"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4.44%</w:t>
            </w:r>
          </w:p>
        </w:tc>
        <w:tc>
          <w:tcPr>
            <w:tcW w:w="767" w:type="dxa"/>
            <w:tcBorders>
              <w:top w:val="nil"/>
              <w:left w:val="nil"/>
              <w:bottom w:val="nil"/>
              <w:right w:val="nil"/>
            </w:tcBorders>
            <w:shd w:val="clear" w:color="auto" w:fill="auto"/>
            <w:noWrap/>
            <w:vAlign w:val="center"/>
            <w:hideMark/>
          </w:tcPr>
          <w:p w14:paraId="1D0B39D2"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1.615</w:t>
            </w:r>
          </w:p>
        </w:tc>
        <w:tc>
          <w:tcPr>
            <w:tcW w:w="465" w:type="dxa"/>
            <w:tcBorders>
              <w:top w:val="nil"/>
              <w:left w:val="nil"/>
              <w:bottom w:val="nil"/>
              <w:right w:val="nil"/>
            </w:tcBorders>
            <w:shd w:val="clear" w:color="auto" w:fill="auto"/>
            <w:noWrap/>
            <w:vAlign w:val="center"/>
            <w:hideMark/>
          </w:tcPr>
          <w:p w14:paraId="52B6010F" w14:textId="77777777" w:rsidR="0013260B" w:rsidRPr="0077441D"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B537923"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1.620</w:t>
            </w:r>
          </w:p>
        </w:tc>
        <w:tc>
          <w:tcPr>
            <w:tcW w:w="465" w:type="dxa"/>
            <w:tcBorders>
              <w:top w:val="nil"/>
              <w:left w:val="nil"/>
              <w:bottom w:val="nil"/>
              <w:right w:val="nil"/>
            </w:tcBorders>
            <w:shd w:val="clear" w:color="auto" w:fill="auto"/>
            <w:noWrap/>
            <w:vAlign w:val="center"/>
            <w:hideMark/>
          </w:tcPr>
          <w:p w14:paraId="3C5B01A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0A5AC6D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4.02%</w:t>
            </w:r>
          </w:p>
        </w:tc>
        <w:tc>
          <w:tcPr>
            <w:tcW w:w="767" w:type="dxa"/>
            <w:tcBorders>
              <w:top w:val="nil"/>
              <w:left w:val="nil"/>
              <w:bottom w:val="nil"/>
              <w:right w:val="nil"/>
            </w:tcBorders>
            <w:shd w:val="clear" w:color="auto" w:fill="auto"/>
            <w:noWrap/>
            <w:vAlign w:val="center"/>
            <w:hideMark/>
          </w:tcPr>
          <w:p w14:paraId="578A42C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1.793</w:t>
            </w:r>
          </w:p>
        </w:tc>
        <w:tc>
          <w:tcPr>
            <w:tcW w:w="465" w:type="dxa"/>
            <w:tcBorders>
              <w:top w:val="nil"/>
              <w:left w:val="nil"/>
              <w:bottom w:val="nil"/>
              <w:right w:val="nil"/>
            </w:tcBorders>
            <w:shd w:val="clear" w:color="auto" w:fill="auto"/>
            <w:noWrap/>
            <w:vAlign w:val="center"/>
            <w:hideMark/>
          </w:tcPr>
          <w:p w14:paraId="6E2F9F2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33F8BDF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2.661</w:t>
            </w:r>
          </w:p>
        </w:tc>
        <w:tc>
          <w:tcPr>
            <w:tcW w:w="465" w:type="dxa"/>
            <w:tcBorders>
              <w:top w:val="nil"/>
              <w:left w:val="nil"/>
              <w:bottom w:val="nil"/>
              <w:right w:val="nil"/>
            </w:tcBorders>
            <w:shd w:val="clear" w:color="auto" w:fill="auto"/>
            <w:noWrap/>
            <w:vAlign w:val="center"/>
            <w:hideMark/>
          </w:tcPr>
          <w:p w14:paraId="689C3B5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356" w:type="dxa"/>
            <w:tcBorders>
              <w:top w:val="nil"/>
              <w:left w:val="single" w:sz="8" w:space="0" w:color="auto"/>
              <w:bottom w:val="nil"/>
              <w:right w:val="nil"/>
            </w:tcBorders>
            <w:shd w:val="clear" w:color="auto" w:fill="auto"/>
            <w:noWrap/>
            <w:vAlign w:val="center"/>
            <w:hideMark/>
          </w:tcPr>
          <w:p w14:paraId="4C9D628E"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0.94%</w:t>
            </w:r>
          </w:p>
        </w:tc>
        <w:tc>
          <w:tcPr>
            <w:tcW w:w="830" w:type="dxa"/>
            <w:tcBorders>
              <w:top w:val="nil"/>
              <w:left w:val="nil"/>
              <w:bottom w:val="nil"/>
              <w:right w:val="nil"/>
            </w:tcBorders>
            <w:shd w:val="clear" w:color="auto" w:fill="auto"/>
            <w:noWrap/>
            <w:vAlign w:val="center"/>
            <w:hideMark/>
          </w:tcPr>
          <w:p w14:paraId="4CDAB548"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0.440</w:t>
            </w:r>
          </w:p>
        </w:tc>
        <w:tc>
          <w:tcPr>
            <w:tcW w:w="352" w:type="dxa"/>
            <w:tcBorders>
              <w:top w:val="nil"/>
              <w:left w:val="nil"/>
              <w:bottom w:val="nil"/>
              <w:right w:val="nil"/>
            </w:tcBorders>
            <w:shd w:val="clear" w:color="auto" w:fill="auto"/>
            <w:noWrap/>
            <w:vAlign w:val="center"/>
            <w:hideMark/>
          </w:tcPr>
          <w:p w14:paraId="7D6960D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4EB6436C"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1.261</w:t>
            </w:r>
          </w:p>
        </w:tc>
        <w:tc>
          <w:tcPr>
            <w:tcW w:w="352" w:type="dxa"/>
            <w:tcBorders>
              <w:top w:val="nil"/>
              <w:left w:val="nil"/>
              <w:bottom w:val="nil"/>
              <w:right w:val="single" w:sz="8" w:space="0" w:color="auto"/>
            </w:tcBorders>
            <w:shd w:val="clear" w:color="auto" w:fill="auto"/>
            <w:noWrap/>
            <w:vAlign w:val="center"/>
            <w:hideMark/>
          </w:tcPr>
          <w:p w14:paraId="41455C2D"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2172563B" w14:textId="77777777" w:rsidTr="0013260B">
        <w:trPr>
          <w:trHeight w:val="255"/>
        </w:trPr>
        <w:tc>
          <w:tcPr>
            <w:tcW w:w="1251" w:type="dxa"/>
            <w:tcBorders>
              <w:top w:val="nil"/>
              <w:left w:val="single" w:sz="8" w:space="0" w:color="auto"/>
              <w:bottom w:val="nil"/>
              <w:right w:val="single" w:sz="8" w:space="0" w:color="auto"/>
            </w:tcBorders>
            <w:shd w:val="clear" w:color="auto" w:fill="auto"/>
            <w:noWrap/>
            <w:vAlign w:val="center"/>
            <w:hideMark/>
          </w:tcPr>
          <w:p w14:paraId="741A8079"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t-10 to t-2</w:t>
            </w:r>
          </w:p>
        </w:tc>
        <w:tc>
          <w:tcPr>
            <w:tcW w:w="1256" w:type="dxa"/>
            <w:tcBorders>
              <w:top w:val="nil"/>
              <w:left w:val="nil"/>
              <w:bottom w:val="nil"/>
              <w:right w:val="nil"/>
            </w:tcBorders>
            <w:shd w:val="clear" w:color="auto" w:fill="auto"/>
            <w:noWrap/>
            <w:vAlign w:val="center"/>
            <w:hideMark/>
          </w:tcPr>
          <w:p w14:paraId="37BFA96E"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4.41%</w:t>
            </w:r>
          </w:p>
        </w:tc>
        <w:tc>
          <w:tcPr>
            <w:tcW w:w="767" w:type="dxa"/>
            <w:tcBorders>
              <w:top w:val="nil"/>
              <w:left w:val="nil"/>
              <w:bottom w:val="nil"/>
              <w:right w:val="nil"/>
            </w:tcBorders>
            <w:shd w:val="clear" w:color="auto" w:fill="auto"/>
            <w:noWrap/>
            <w:vAlign w:val="center"/>
            <w:hideMark/>
          </w:tcPr>
          <w:p w14:paraId="4ED3A405"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3.291</w:t>
            </w:r>
          </w:p>
        </w:tc>
        <w:tc>
          <w:tcPr>
            <w:tcW w:w="465" w:type="dxa"/>
            <w:tcBorders>
              <w:top w:val="nil"/>
              <w:left w:val="nil"/>
              <w:bottom w:val="nil"/>
              <w:right w:val="nil"/>
            </w:tcBorders>
            <w:shd w:val="clear" w:color="auto" w:fill="auto"/>
            <w:noWrap/>
            <w:vAlign w:val="center"/>
            <w:hideMark/>
          </w:tcPr>
          <w:p w14:paraId="28484376" w14:textId="77777777" w:rsidR="0013260B" w:rsidRPr="0077441D" w:rsidRDefault="0013260B" w:rsidP="0013260B">
            <w:pPr>
              <w:spacing w:after="0" w:line="240" w:lineRule="auto"/>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p>
        </w:tc>
        <w:tc>
          <w:tcPr>
            <w:tcW w:w="767" w:type="dxa"/>
            <w:tcBorders>
              <w:top w:val="nil"/>
              <w:left w:val="nil"/>
              <w:bottom w:val="nil"/>
              <w:right w:val="nil"/>
            </w:tcBorders>
            <w:shd w:val="clear" w:color="auto" w:fill="auto"/>
            <w:noWrap/>
            <w:vAlign w:val="center"/>
            <w:hideMark/>
          </w:tcPr>
          <w:p w14:paraId="7750D211" w14:textId="77777777" w:rsidR="0013260B" w:rsidRPr="0077441D" w:rsidRDefault="0077441D" w:rsidP="0013260B">
            <w:pPr>
              <w:spacing w:after="0" w:line="240" w:lineRule="auto"/>
              <w:jc w:val="right"/>
              <w:rPr>
                <w:rFonts w:ascii="Times New Roman" w:eastAsia="Times New Roman" w:hAnsi="Times New Roman" w:cs="Times New Roman"/>
                <w:color w:val="000000"/>
                <w:sz w:val="20"/>
                <w:szCs w:val="20"/>
                <w:lang w:eastAsia="en-AU"/>
              </w:rPr>
            </w:pPr>
            <w:r w:rsidRPr="0077441D">
              <w:rPr>
                <w:rFonts w:ascii="Times New Roman" w:eastAsia="Times New Roman" w:hAnsi="Times New Roman" w:cs="Times New Roman"/>
                <w:color w:val="000000"/>
                <w:sz w:val="20"/>
                <w:szCs w:val="20"/>
                <w:lang w:eastAsia="en-AU"/>
              </w:rPr>
              <w:t>-</w:t>
            </w:r>
            <w:r w:rsidR="0013260B" w:rsidRPr="0077441D">
              <w:rPr>
                <w:rFonts w:ascii="Times New Roman" w:eastAsia="Times New Roman" w:hAnsi="Times New Roman" w:cs="Times New Roman"/>
                <w:color w:val="000000"/>
                <w:sz w:val="20"/>
                <w:szCs w:val="20"/>
                <w:lang w:eastAsia="en-AU"/>
              </w:rPr>
              <w:t>3.031</w:t>
            </w:r>
          </w:p>
        </w:tc>
        <w:tc>
          <w:tcPr>
            <w:tcW w:w="465" w:type="dxa"/>
            <w:tcBorders>
              <w:top w:val="nil"/>
              <w:left w:val="nil"/>
              <w:bottom w:val="nil"/>
              <w:right w:val="nil"/>
            </w:tcBorders>
            <w:shd w:val="clear" w:color="auto" w:fill="auto"/>
            <w:noWrap/>
            <w:vAlign w:val="center"/>
            <w:hideMark/>
          </w:tcPr>
          <w:p w14:paraId="7297CBF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256" w:type="dxa"/>
            <w:tcBorders>
              <w:top w:val="nil"/>
              <w:left w:val="single" w:sz="8" w:space="0" w:color="auto"/>
              <w:bottom w:val="nil"/>
              <w:right w:val="nil"/>
            </w:tcBorders>
            <w:shd w:val="clear" w:color="auto" w:fill="auto"/>
            <w:noWrap/>
            <w:vAlign w:val="center"/>
            <w:hideMark/>
          </w:tcPr>
          <w:p w14:paraId="44788AE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1.48%</w:t>
            </w:r>
          </w:p>
        </w:tc>
        <w:tc>
          <w:tcPr>
            <w:tcW w:w="767" w:type="dxa"/>
            <w:tcBorders>
              <w:top w:val="nil"/>
              <w:left w:val="nil"/>
              <w:bottom w:val="nil"/>
              <w:right w:val="nil"/>
            </w:tcBorders>
            <w:shd w:val="clear" w:color="auto" w:fill="auto"/>
            <w:noWrap/>
            <w:vAlign w:val="center"/>
            <w:hideMark/>
          </w:tcPr>
          <w:p w14:paraId="5F74FD4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1.054</w:t>
            </w:r>
          </w:p>
        </w:tc>
        <w:tc>
          <w:tcPr>
            <w:tcW w:w="465" w:type="dxa"/>
            <w:tcBorders>
              <w:top w:val="nil"/>
              <w:left w:val="nil"/>
              <w:bottom w:val="nil"/>
              <w:right w:val="nil"/>
            </w:tcBorders>
            <w:shd w:val="clear" w:color="auto" w:fill="auto"/>
            <w:noWrap/>
            <w:vAlign w:val="center"/>
            <w:hideMark/>
          </w:tcPr>
          <w:p w14:paraId="2626872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F1CD47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0.708</w:t>
            </w:r>
          </w:p>
        </w:tc>
        <w:tc>
          <w:tcPr>
            <w:tcW w:w="465" w:type="dxa"/>
            <w:tcBorders>
              <w:top w:val="nil"/>
              <w:left w:val="nil"/>
              <w:bottom w:val="nil"/>
              <w:right w:val="nil"/>
            </w:tcBorders>
            <w:shd w:val="clear" w:color="auto" w:fill="auto"/>
            <w:noWrap/>
            <w:vAlign w:val="center"/>
            <w:hideMark/>
          </w:tcPr>
          <w:p w14:paraId="0010A50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1997499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1.31%</w:t>
            </w:r>
          </w:p>
        </w:tc>
        <w:tc>
          <w:tcPr>
            <w:tcW w:w="830" w:type="dxa"/>
            <w:tcBorders>
              <w:top w:val="nil"/>
              <w:left w:val="nil"/>
              <w:bottom w:val="nil"/>
              <w:right w:val="nil"/>
            </w:tcBorders>
            <w:shd w:val="clear" w:color="auto" w:fill="auto"/>
            <w:noWrap/>
            <w:vAlign w:val="center"/>
            <w:hideMark/>
          </w:tcPr>
          <w:p w14:paraId="5BF010F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0.989</w:t>
            </w:r>
          </w:p>
        </w:tc>
        <w:tc>
          <w:tcPr>
            <w:tcW w:w="352" w:type="dxa"/>
            <w:tcBorders>
              <w:top w:val="nil"/>
              <w:left w:val="nil"/>
              <w:bottom w:val="nil"/>
              <w:right w:val="nil"/>
            </w:tcBorders>
            <w:shd w:val="clear" w:color="auto" w:fill="auto"/>
            <w:noWrap/>
            <w:vAlign w:val="center"/>
            <w:hideMark/>
          </w:tcPr>
          <w:p w14:paraId="23C7775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363A214B"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1.669</w:t>
            </w:r>
          </w:p>
        </w:tc>
        <w:tc>
          <w:tcPr>
            <w:tcW w:w="352" w:type="dxa"/>
            <w:tcBorders>
              <w:top w:val="nil"/>
              <w:left w:val="nil"/>
              <w:bottom w:val="nil"/>
              <w:right w:val="single" w:sz="8" w:space="0" w:color="auto"/>
            </w:tcBorders>
            <w:shd w:val="clear" w:color="auto" w:fill="auto"/>
            <w:noWrap/>
            <w:vAlign w:val="center"/>
            <w:hideMark/>
          </w:tcPr>
          <w:p w14:paraId="6F1C082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r>
      <w:tr w:rsidR="0013260B" w:rsidRPr="0013260B" w14:paraId="63D909BE" w14:textId="77777777" w:rsidTr="0013260B">
        <w:trPr>
          <w:trHeight w:val="255"/>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A62CB9B"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 to t+10</w:t>
            </w:r>
          </w:p>
        </w:tc>
        <w:tc>
          <w:tcPr>
            <w:tcW w:w="1256" w:type="dxa"/>
            <w:tcBorders>
              <w:top w:val="nil"/>
              <w:left w:val="nil"/>
              <w:bottom w:val="single" w:sz="8" w:space="0" w:color="auto"/>
              <w:right w:val="nil"/>
            </w:tcBorders>
            <w:shd w:val="clear" w:color="auto" w:fill="auto"/>
            <w:noWrap/>
            <w:vAlign w:val="center"/>
            <w:hideMark/>
          </w:tcPr>
          <w:p w14:paraId="7B29DFA8"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2.82%</w:t>
            </w:r>
          </w:p>
        </w:tc>
        <w:tc>
          <w:tcPr>
            <w:tcW w:w="767" w:type="dxa"/>
            <w:tcBorders>
              <w:top w:val="nil"/>
              <w:left w:val="nil"/>
              <w:bottom w:val="single" w:sz="8" w:space="0" w:color="auto"/>
              <w:right w:val="nil"/>
            </w:tcBorders>
            <w:shd w:val="clear" w:color="auto" w:fill="auto"/>
            <w:noWrap/>
            <w:vAlign w:val="center"/>
            <w:hideMark/>
          </w:tcPr>
          <w:p w14:paraId="107634E2"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1.608</w:t>
            </w:r>
          </w:p>
        </w:tc>
        <w:tc>
          <w:tcPr>
            <w:tcW w:w="465" w:type="dxa"/>
            <w:tcBorders>
              <w:top w:val="nil"/>
              <w:left w:val="nil"/>
              <w:bottom w:val="single" w:sz="8" w:space="0" w:color="auto"/>
              <w:right w:val="nil"/>
            </w:tcBorders>
            <w:shd w:val="clear" w:color="auto" w:fill="auto"/>
            <w:noWrap/>
            <w:vAlign w:val="center"/>
            <w:hideMark/>
          </w:tcPr>
          <w:p w14:paraId="21D7778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single" w:sz="8" w:space="0" w:color="auto"/>
              <w:right w:val="nil"/>
            </w:tcBorders>
            <w:shd w:val="clear" w:color="auto" w:fill="auto"/>
            <w:noWrap/>
            <w:vAlign w:val="center"/>
            <w:hideMark/>
          </w:tcPr>
          <w:p w14:paraId="62113D13" w14:textId="77777777" w:rsidR="0013260B" w:rsidRPr="0013260B" w:rsidRDefault="0077441D" w:rsidP="0013260B">
            <w:pPr>
              <w:spacing w:after="0" w:line="240" w:lineRule="auto"/>
              <w:jc w:val="right"/>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w:t>
            </w:r>
            <w:r w:rsidR="0013260B" w:rsidRPr="0013260B">
              <w:rPr>
                <w:rFonts w:ascii="Times New Roman" w:eastAsia="Times New Roman" w:hAnsi="Times New Roman" w:cs="Times New Roman"/>
                <w:color w:val="000000"/>
                <w:sz w:val="20"/>
                <w:szCs w:val="20"/>
                <w:lang w:eastAsia="en-AU"/>
              </w:rPr>
              <w:t>1.471</w:t>
            </w:r>
          </w:p>
        </w:tc>
        <w:tc>
          <w:tcPr>
            <w:tcW w:w="465" w:type="dxa"/>
            <w:tcBorders>
              <w:top w:val="nil"/>
              <w:left w:val="nil"/>
              <w:bottom w:val="single" w:sz="8" w:space="0" w:color="auto"/>
              <w:right w:val="nil"/>
            </w:tcBorders>
            <w:shd w:val="clear" w:color="auto" w:fill="auto"/>
            <w:noWrap/>
            <w:vAlign w:val="center"/>
            <w:hideMark/>
          </w:tcPr>
          <w:p w14:paraId="4A60E33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56" w:type="dxa"/>
            <w:tcBorders>
              <w:top w:val="nil"/>
              <w:left w:val="single" w:sz="8" w:space="0" w:color="auto"/>
              <w:bottom w:val="single" w:sz="8" w:space="0" w:color="auto"/>
              <w:right w:val="nil"/>
            </w:tcBorders>
            <w:shd w:val="clear" w:color="auto" w:fill="auto"/>
            <w:noWrap/>
            <w:vAlign w:val="center"/>
            <w:hideMark/>
          </w:tcPr>
          <w:p w14:paraId="01FA4CC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1.80%</w:t>
            </w:r>
          </w:p>
        </w:tc>
        <w:tc>
          <w:tcPr>
            <w:tcW w:w="767" w:type="dxa"/>
            <w:tcBorders>
              <w:top w:val="nil"/>
              <w:left w:val="nil"/>
              <w:bottom w:val="single" w:sz="8" w:space="0" w:color="auto"/>
              <w:right w:val="nil"/>
            </w:tcBorders>
            <w:shd w:val="clear" w:color="auto" w:fill="auto"/>
            <w:noWrap/>
            <w:vAlign w:val="center"/>
            <w:hideMark/>
          </w:tcPr>
          <w:p w14:paraId="7A5FB81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1.249</w:t>
            </w:r>
          </w:p>
        </w:tc>
        <w:tc>
          <w:tcPr>
            <w:tcW w:w="465" w:type="dxa"/>
            <w:tcBorders>
              <w:top w:val="nil"/>
              <w:left w:val="nil"/>
              <w:bottom w:val="single" w:sz="8" w:space="0" w:color="auto"/>
              <w:right w:val="nil"/>
            </w:tcBorders>
            <w:shd w:val="clear" w:color="auto" w:fill="auto"/>
            <w:noWrap/>
            <w:vAlign w:val="center"/>
            <w:hideMark/>
          </w:tcPr>
          <w:p w14:paraId="45274A9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single" w:sz="8" w:space="0" w:color="auto"/>
              <w:right w:val="nil"/>
            </w:tcBorders>
            <w:shd w:val="clear" w:color="auto" w:fill="auto"/>
            <w:noWrap/>
            <w:vAlign w:val="center"/>
            <w:hideMark/>
          </w:tcPr>
          <w:p w14:paraId="0F655EC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1.635</w:t>
            </w:r>
          </w:p>
        </w:tc>
        <w:tc>
          <w:tcPr>
            <w:tcW w:w="465" w:type="dxa"/>
            <w:tcBorders>
              <w:top w:val="nil"/>
              <w:left w:val="nil"/>
              <w:bottom w:val="single" w:sz="8" w:space="0" w:color="auto"/>
              <w:right w:val="nil"/>
            </w:tcBorders>
            <w:shd w:val="clear" w:color="auto" w:fill="auto"/>
            <w:noWrap/>
            <w:vAlign w:val="center"/>
            <w:hideMark/>
          </w:tcPr>
          <w:p w14:paraId="3EF266B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356" w:type="dxa"/>
            <w:tcBorders>
              <w:top w:val="nil"/>
              <w:left w:val="single" w:sz="8" w:space="0" w:color="auto"/>
              <w:bottom w:val="single" w:sz="8" w:space="0" w:color="auto"/>
              <w:right w:val="nil"/>
            </w:tcBorders>
            <w:shd w:val="clear" w:color="auto" w:fill="auto"/>
            <w:noWrap/>
            <w:vAlign w:val="center"/>
            <w:hideMark/>
          </w:tcPr>
          <w:p w14:paraId="745B539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0.08%</w:t>
            </w:r>
          </w:p>
        </w:tc>
        <w:tc>
          <w:tcPr>
            <w:tcW w:w="830" w:type="dxa"/>
            <w:tcBorders>
              <w:top w:val="nil"/>
              <w:left w:val="nil"/>
              <w:bottom w:val="single" w:sz="8" w:space="0" w:color="auto"/>
              <w:right w:val="nil"/>
            </w:tcBorders>
            <w:shd w:val="clear" w:color="auto" w:fill="auto"/>
            <w:noWrap/>
            <w:vAlign w:val="center"/>
            <w:hideMark/>
          </w:tcPr>
          <w:p w14:paraId="6EA1E0C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0.057</w:t>
            </w:r>
          </w:p>
        </w:tc>
        <w:tc>
          <w:tcPr>
            <w:tcW w:w="352" w:type="dxa"/>
            <w:tcBorders>
              <w:top w:val="nil"/>
              <w:left w:val="nil"/>
              <w:bottom w:val="single" w:sz="8" w:space="0" w:color="auto"/>
              <w:right w:val="nil"/>
            </w:tcBorders>
            <w:shd w:val="clear" w:color="auto" w:fill="auto"/>
            <w:noWrap/>
            <w:vAlign w:val="center"/>
            <w:hideMark/>
          </w:tcPr>
          <w:p w14:paraId="5338285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830" w:type="dxa"/>
            <w:tcBorders>
              <w:top w:val="nil"/>
              <w:left w:val="nil"/>
              <w:bottom w:val="single" w:sz="8" w:space="0" w:color="auto"/>
              <w:right w:val="nil"/>
            </w:tcBorders>
            <w:shd w:val="clear" w:color="auto" w:fill="auto"/>
            <w:noWrap/>
            <w:vAlign w:val="center"/>
            <w:hideMark/>
          </w:tcPr>
          <w:p w14:paraId="2C70CF4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0.408</w:t>
            </w:r>
          </w:p>
        </w:tc>
        <w:tc>
          <w:tcPr>
            <w:tcW w:w="352" w:type="dxa"/>
            <w:tcBorders>
              <w:top w:val="nil"/>
              <w:left w:val="nil"/>
              <w:bottom w:val="single" w:sz="8" w:space="0" w:color="auto"/>
              <w:right w:val="single" w:sz="8" w:space="0" w:color="auto"/>
            </w:tcBorders>
            <w:shd w:val="clear" w:color="auto" w:fill="auto"/>
            <w:noWrap/>
            <w:vAlign w:val="center"/>
            <w:hideMark/>
          </w:tcPr>
          <w:p w14:paraId="7ECB99D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3F84A092" w14:textId="77777777" w:rsidTr="0013260B">
        <w:trPr>
          <w:trHeight w:val="255"/>
        </w:trPr>
        <w:tc>
          <w:tcPr>
            <w:tcW w:w="1251" w:type="dxa"/>
            <w:tcBorders>
              <w:top w:val="nil"/>
              <w:left w:val="single" w:sz="8" w:space="0" w:color="auto"/>
              <w:bottom w:val="single" w:sz="8" w:space="0" w:color="000000"/>
              <w:right w:val="single" w:sz="8" w:space="0" w:color="auto"/>
            </w:tcBorders>
            <w:shd w:val="clear" w:color="auto" w:fill="auto"/>
            <w:noWrap/>
            <w:vAlign w:val="center"/>
            <w:hideMark/>
          </w:tcPr>
          <w:p w14:paraId="1857B2FD" w14:textId="77777777" w:rsidR="0013260B" w:rsidRPr="00A36EFB" w:rsidRDefault="0013260B" w:rsidP="0013260B">
            <w:pPr>
              <w:spacing w:after="0" w:line="240" w:lineRule="auto"/>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 </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77A5C23"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D: Signed return</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C2DAED1"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E: Signed return</w:t>
            </w:r>
          </w:p>
        </w:tc>
        <w:tc>
          <w:tcPr>
            <w:tcW w:w="372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F984464" w14:textId="77777777" w:rsidR="0013260B" w:rsidRPr="00A36EFB" w:rsidRDefault="0013260B" w:rsidP="0013260B">
            <w:pPr>
              <w:spacing w:after="0" w:line="240" w:lineRule="auto"/>
              <w:jc w:val="center"/>
              <w:rPr>
                <w:rFonts w:ascii="Times New Roman" w:eastAsia="Times New Roman" w:hAnsi="Times New Roman" w:cs="Times New Roman"/>
                <w:b/>
                <w:bCs/>
                <w:color w:val="000000"/>
                <w:sz w:val="24"/>
                <w:szCs w:val="24"/>
                <w:lang w:eastAsia="en-AU"/>
              </w:rPr>
            </w:pPr>
            <w:r w:rsidRPr="00A36EFB">
              <w:rPr>
                <w:rFonts w:ascii="Times New Roman" w:eastAsia="Times New Roman" w:hAnsi="Times New Roman" w:cs="Times New Roman"/>
                <w:b/>
                <w:bCs/>
                <w:color w:val="000000"/>
                <w:sz w:val="24"/>
                <w:szCs w:val="24"/>
                <w:lang w:val="en-US" w:eastAsia="en-AU"/>
              </w:rPr>
              <w:t>Panel F: Signed return</w:t>
            </w:r>
          </w:p>
        </w:tc>
      </w:tr>
      <w:tr w:rsidR="0013260B" w:rsidRPr="0013260B" w14:paraId="71734693" w14:textId="77777777" w:rsidTr="0013260B">
        <w:trPr>
          <w:trHeight w:val="255"/>
        </w:trPr>
        <w:tc>
          <w:tcPr>
            <w:tcW w:w="12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10DEC6" w14:textId="77777777" w:rsidR="0013260B" w:rsidRPr="0013260B" w:rsidRDefault="0013260B" w:rsidP="0013260B">
            <w:pPr>
              <w:spacing w:after="0" w:line="240" w:lineRule="auto"/>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Event window</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483F34AF"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Purchased analyst research = 1</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3BD506D9"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Investor presentations = 1</w:t>
            </w:r>
          </w:p>
        </w:tc>
        <w:tc>
          <w:tcPr>
            <w:tcW w:w="3720" w:type="dxa"/>
            <w:gridSpan w:val="5"/>
            <w:tcBorders>
              <w:top w:val="single" w:sz="8" w:space="0" w:color="auto"/>
              <w:left w:val="nil"/>
              <w:bottom w:val="nil"/>
              <w:right w:val="single" w:sz="8" w:space="0" w:color="000000"/>
            </w:tcBorders>
            <w:shd w:val="clear" w:color="auto" w:fill="auto"/>
            <w:noWrap/>
            <w:vAlign w:val="center"/>
            <w:hideMark/>
          </w:tcPr>
          <w:p w14:paraId="76749489" w14:textId="77777777" w:rsidR="0013260B" w:rsidRPr="0013260B" w:rsidRDefault="0013260B" w:rsidP="0013260B">
            <w:pPr>
              <w:spacing w:after="0" w:line="240" w:lineRule="auto"/>
              <w:jc w:val="center"/>
              <w:rPr>
                <w:rFonts w:ascii="Times New Roman" w:eastAsia="Times New Roman" w:hAnsi="Times New Roman" w:cs="Times New Roman"/>
                <w:b/>
                <w:bCs/>
                <w:color w:val="000000"/>
                <w:sz w:val="20"/>
                <w:szCs w:val="20"/>
                <w:lang w:eastAsia="en-AU"/>
              </w:rPr>
            </w:pPr>
            <w:r w:rsidRPr="0013260B">
              <w:rPr>
                <w:rFonts w:ascii="Times New Roman" w:eastAsia="Times New Roman" w:hAnsi="Times New Roman" w:cs="Times New Roman"/>
                <w:b/>
                <w:bCs/>
                <w:color w:val="000000"/>
                <w:sz w:val="20"/>
                <w:szCs w:val="20"/>
                <w:lang w:val="en-US" w:eastAsia="en-AU"/>
              </w:rPr>
              <w:t>Open Briefings = 1</w:t>
            </w:r>
          </w:p>
        </w:tc>
      </w:tr>
      <w:tr w:rsidR="0013260B" w:rsidRPr="0013260B" w14:paraId="4853D327" w14:textId="77777777" w:rsidTr="0013260B">
        <w:trPr>
          <w:trHeight w:val="255"/>
        </w:trPr>
        <w:tc>
          <w:tcPr>
            <w:tcW w:w="1251" w:type="dxa"/>
            <w:vMerge/>
            <w:tcBorders>
              <w:top w:val="nil"/>
              <w:left w:val="single" w:sz="8" w:space="0" w:color="auto"/>
              <w:bottom w:val="single" w:sz="8" w:space="0" w:color="000000"/>
              <w:right w:val="single" w:sz="8" w:space="0" w:color="auto"/>
            </w:tcBorders>
            <w:vAlign w:val="center"/>
            <w:hideMark/>
          </w:tcPr>
          <w:p w14:paraId="6E676A83" w14:textId="77777777" w:rsidR="0013260B" w:rsidRPr="0013260B" w:rsidRDefault="0013260B" w:rsidP="0013260B">
            <w:pPr>
              <w:spacing w:after="0" w:line="240" w:lineRule="auto"/>
              <w:rPr>
                <w:rFonts w:ascii="Times New Roman" w:eastAsia="Times New Roman" w:hAnsi="Times New Roman" w:cs="Times New Roman"/>
                <w:b/>
                <w:bCs/>
                <w:color w:val="000000"/>
                <w:sz w:val="20"/>
                <w:szCs w:val="20"/>
                <w:lang w:eastAsia="en-AU"/>
              </w:rPr>
            </w:pPr>
          </w:p>
        </w:tc>
        <w:tc>
          <w:tcPr>
            <w:tcW w:w="1256" w:type="dxa"/>
            <w:tcBorders>
              <w:top w:val="nil"/>
              <w:left w:val="nil"/>
              <w:bottom w:val="single" w:sz="8" w:space="0" w:color="auto"/>
              <w:right w:val="nil"/>
            </w:tcBorders>
            <w:shd w:val="clear" w:color="auto" w:fill="auto"/>
            <w:noWrap/>
            <w:vAlign w:val="center"/>
            <w:hideMark/>
          </w:tcPr>
          <w:p w14:paraId="106E2033"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767" w:type="dxa"/>
            <w:tcBorders>
              <w:top w:val="nil"/>
              <w:left w:val="nil"/>
              <w:bottom w:val="single" w:sz="8" w:space="0" w:color="auto"/>
              <w:right w:val="nil"/>
            </w:tcBorders>
            <w:shd w:val="clear" w:color="auto" w:fill="auto"/>
            <w:noWrap/>
            <w:vAlign w:val="center"/>
            <w:hideMark/>
          </w:tcPr>
          <w:p w14:paraId="6BD5FAB3"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465" w:type="dxa"/>
            <w:tcBorders>
              <w:top w:val="nil"/>
              <w:left w:val="nil"/>
              <w:bottom w:val="single" w:sz="8" w:space="0" w:color="auto"/>
              <w:right w:val="nil"/>
            </w:tcBorders>
            <w:shd w:val="clear" w:color="auto" w:fill="auto"/>
            <w:noWrap/>
            <w:vAlign w:val="center"/>
            <w:hideMark/>
          </w:tcPr>
          <w:p w14:paraId="0AFF8B6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32" w:type="dxa"/>
            <w:gridSpan w:val="2"/>
            <w:tcBorders>
              <w:top w:val="nil"/>
              <w:left w:val="nil"/>
              <w:bottom w:val="single" w:sz="8" w:space="0" w:color="auto"/>
              <w:right w:val="single" w:sz="8" w:space="0" w:color="000000"/>
            </w:tcBorders>
            <w:shd w:val="clear" w:color="auto" w:fill="auto"/>
            <w:noWrap/>
            <w:vAlign w:val="center"/>
            <w:hideMark/>
          </w:tcPr>
          <w:p w14:paraId="0892E6E0"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c>
          <w:tcPr>
            <w:tcW w:w="1256" w:type="dxa"/>
            <w:tcBorders>
              <w:top w:val="nil"/>
              <w:left w:val="nil"/>
              <w:bottom w:val="single" w:sz="8" w:space="0" w:color="auto"/>
              <w:right w:val="nil"/>
            </w:tcBorders>
            <w:shd w:val="clear" w:color="auto" w:fill="auto"/>
            <w:noWrap/>
            <w:vAlign w:val="center"/>
            <w:hideMark/>
          </w:tcPr>
          <w:p w14:paraId="06AFE2AA"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767" w:type="dxa"/>
            <w:tcBorders>
              <w:top w:val="nil"/>
              <w:left w:val="nil"/>
              <w:bottom w:val="single" w:sz="8" w:space="0" w:color="auto"/>
              <w:right w:val="nil"/>
            </w:tcBorders>
            <w:shd w:val="clear" w:color="auto" w:fill="auto"/>
            <w:noWrap/>
            <w:vAlign w:val="center"/>
            <w:hideMark/>
          </w:tcPr>
          <w:p w14:paraId="24974B95"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465" w:type="dxa"/>
            <w:tcBorders>
              <w:top w:val="nil"/>
              <w:left w:val="nil"/>
              <w:bottom w:val="single" w:sz="8" w:space="0" w:color="auto"/>
              <w:right w:val="nil"/>
            </w:tcBorders>
            <w:shd w:val="clear" w:color="auto" w:fill="auto"/>
            <w:noWrap/>
            <w:vAlign w:val="center"/>
            <w:hideMark/>
          </w:tcPr>
          <w:p w14:paraId="5B3B52F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32" w:type="dxa"/>
            <w:gridSpan w:val="2"/>
            <w:tcBorders>
              <w:top w:val="nil"/>
              <w:left w:val="nil"/>
              <w:bottom w:val="single" w:sz="8" w:space="0" w:color="auto"/>
              <w:right w:val="single" w:sz="8" w:space="0" w:color="000000"/>
            </w:tcBorders>
            <w:shd w:val="clear" w:color="auto" w:fill="auto"/>
            <w:noWrap/>
            <w:vAlign w:val="center"/>
            <w:hideMark/>
          </w:tcPr>
          <w:p w14:paraId="0DEAC4A5"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c>
          <w:tcPr>
            <w:tcW w:w="1356" w:type="dxa"/>
            <w:tcBorders>
              <w:top w:val="nil"/>
              <w:left w:val="nil"/>
              <w:bottom w:val="single" w:sz="8" w:space="0" w:color="auto"/>
              <w:right w:val="nil"/>
            </w:tcBorders>
            <w:shd w:val="clear" w:color="auto" w:fill="auto"/>
            <w:noWrap/>
            <w:vAlign w:val="center"/>
            <w:hideMark/>
          </w:tcPr>
          <w:p w14:paraId="0286AB89"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Mean diff.</w:t>
            </w:r>
          </w:p>
        </w:tc>
        <w:tc>
          <w:tcPr>
            <w:tcW w:w="830" w:type="dxa"/>
            <w:tcBorders>
              <w:top w:val="nil"/>
              <w:left w:val="nil"/>
              <w:bottom w:val="single" w:sz="8" w:space="0" w:color="auto"/>
              <w:right w:val="nil"/>
            </w:tcBorders>
            <w:shd w:val="clear" w:color="auto" w:fill="auto"/>
            <w:noWrap/>
            <w:vAlign w:val="center"/>
            <w:hideMark/>
          </w:tcPr>
          <w:p w14:paraId="036F6617"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t-stat</w:t>
            </w:r>
          </w:p>
        </w:tc>
        <w:tc>
          <w:tcPr>
            <w:tcW w:w="352" w:type="dxa"/>
            <w:tcBorders>
              <w:top w:val="nil"/>
              <w:left w:val="nil"/>
              <w:bottom w:val="single" w:sz="8" w:space="0" w:color="auto"/>
              <w:right w:val="nil"/>
            </w:tcBorders>
            <w:shd w:val="clear" w:color="auto" w:fill="auto"/>
            <w:noWrap/>
            <w:vAlign w:val="center"/>
            <w:hideMark/>
          </w:tcPr>
          <w:p w14:paraId="63AC202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182" w:type="dxa"/>
            <w:gridSpan w:val="2"/>
            <w:tcBorders>
              <w:top w:val="nil"/>
              <w:left w:val="nil"/>
              <w:bottom w:val="single" w:sz="8" w:space="0" w:color="auto"/>
              <w:right w:val="single" w:sz="8" w:space="0" w:color="000000"/>
            </w:tcBorders>
            <w:shd w:val="clear" w:color="auto" w:fill="auto"/>
            <w:noWrap/>
            <w:vAlign w:val="center"/>
            <w:hideMark/>
          </w:tcPr>
          <w:p w14:paraId="5D595D0E" w14:textId="77777777" w:rsidR="0013260B" w:rsidRPr="0013260B" w:rsidRDefault="0013260B" w:rsidP="0013260B">
            <w:pPr>
              <w:spacing w:after="0" w:line="240" w:lineRule="auto"/>
              <w:jc w:val="center"/>
              <w:rPr>
                <w:rFonts w:ascii="Times New Roman" w:eastAsia="Times New Roman" w:hAnsi="Times New Roman" w:cs="Times New Roman"/>
                <w:b/>
                <w:bCs/>
                <w:i/>
                <w:iCs/>
                <w:color w:val="000000"/>
                <w:sz w:val="20"/>
                <w:szCs w:val="20"/>
                <w:lang w:eastAsia="en-AU"/>
              </w:rPr>
            </w:pPr>
            <w:r w:rsidRPr="0013260B">
              <w:rPr>
                <w:rFonts w:ascii="Times New Roman" w:eastAsia="Times New Roman" w:hAnsi="Times New Roman" w:cs="Times New Roman"/>
                <w:b/>
                <w:bCs/>
                <w:i/>
                <w:iCs/>
                <w:color w:val="000000"/>
                <w:sz w:val="20"/>
                <w:szCs w:val="20"/>
                <w:lang w:val="en-US" w:eastAsia="en-AU"/>
              </w:rPr>
              <w:t>z-score</w:t>
            </w:r>
          </w:p>
        </w:tc>
      </w:tr>
      <w:tr w:rsidR="0013260B" w:rsidRPr="0013260B" w14:paraId="31D155EA"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52D85CAD"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t-3</w:t>
            </w:r>
          </w:p>
        </w:tc>
        <w:tc>
          <w:tcPr>
            <w:tcW w:w="1256" w:type="dxa"/>
            <w:tcBorders>
              <w:top w:val="nil"/>
              <w:left w:val="nil"/>
              <w:bottom w:val="nil"/>
              <w:right w:val="nil"/>
            </w:tcBorders>
            <w:shd w:val="clear" w:color="auto" w:fill="auto"/>
            <w:noWrap/>
            <w:vAlign w:val="center"/>
            <w:hideMark/>
          </w:tcPr>
          <w:p w14:paraId="51684D1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0.63%</w:t>
            </w:r>
          </w:p>
        </w:tc>
        <w:tc>
          <w:tcPr>
            <w:tcW w:w="767" w:type="dxa"/>
            <w:tcBorders>
              <w:top w:val="nil"/>
              <w:left w:val="nil"/>
              <w:bottom w:val="nil"/>
              <w:right w:val="nil"/>
            </w:tcBorders>
            <w:shd w:val="clear" w:color="auto" w:fill="auto"/>
            <w:noWrap/>
            <w:vAlign w:val="center"/>
            <w:hideMark/>
          </w:tcPr>
          <w:p w14:paraId="29612E1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0.724</w:t>
            </w:r>
          </w:p>
        </w:tc>
        <w:tc>
          <w:tcPr>
            <w:tcW w:w="465" w:type="dxa"/>
            <w:tcBorders>
              <w:top w:val="nil"/>
              <w:left w:val="nil"/>
              <w:bottom w:val="nil"/>
              <w:right w:val="nil"/>
            </w:tcBorders>
            <w:shd w:val="clear" w:color="auto" w:fill="auto"/>
            <w:noWrap/>
            <w:vAlign w:val="center"/>
            <w:hideMark/>
          </w:tcPr>
          <w:p w14:paraId="1031E29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nil"/>
              <w:right w:val="nil"/>
            </w:tcBorders>
            <w:shd w:val="clear" w:color="auto" w:fill="auto"/>
            <w:noWrap/>
            <w:vAlign w:val="center"/>
            <w:hideMark/>
          </w:tcPr>
          <w:p w14:paraId="64CE006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0.946</w:t>
            </w:r>
          </w:p>
        </w:tc>
        <w:tc>
          <w:tcPr>
            <w:tcW w:w="465" w:type="dxa"/>
            <w:tcBorders>
              <w:top w:val="nil"/>
              <w:left w:val="nil"/>
              <w:bottom w:val="nil"/>
              <w:right w:val="nil"/>
            </w:tcBorders>
            <w:shd w:val="clear" w:color="auto" w:fill="auto"/>
            <w:noWrap/>
            <w:vAlign w:val="center"/>
            <w:hideMark/>
          </w:tcPr>
          <w:p w14:paraId="4DF2A24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56" w:type="dxa"/>
            <w:tcBorders>
              <w:top w:val="nil"/>
              <w:left w:val="single" w:sz="8" w:space="0" w:color="auto"/>
              <w:bottom w:val="nil"/>
              <w:right w:val="nil"/>
            </w:tcBorders>
            <w:shd w:val="clear" w:color="auto" w:fill="auto"/>
            <w:noWrap/>
            <w:vAlign w:val="center"/>
            <w:hideMark/>
          </w:tcPr>
          <w:p w14:paraId="7048210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0.21%</w:t>
            </w:r>
          </w:p>
        </w:tc>
        <w:tc>
          <w:tcPr>
            <w:tcW w:w="767" w:type="dxa"/>
            <w:tcBorders>
              <w:top w:val="nil"/>
              <w:left w:val="nil"/>
              <w:bottom w:val="nil"/>
              <w:right w:val="nil"/>
            </w:tcBorders>
            <w:shd w:val="clear" w:color="auto" w:fill="auto"/>
            <w:noWrap/>
            <w:vAlign w:val="center"/>
            <w:hideMark/>
          </w:tcPr>
          <w:p w14:paraId="1A2731C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0.265</w:t>
            </w:r>
          </w:p>
        </w:tc>
        <w:tc>
          <w:tcPr>
            <w:tcW w:w="465" w:type="dxa"/>
            <w:tcBorders>
              <w:top w:val="nil"/>
              <w:left w:val="nil"/>
              <w:bottom w:val="nil"/>
              <w:right w:val="nil"/>
            </w:tcBorders>
            <w:shd w:val="clear" w:color="auto" w:fill="auto"/>
            <w:noWrap/>
            <w:vAlign w:val="center"/>
            <w:hideMark/>
          </w:tcPr>
          <w:p w14:paraId="6CAE6AD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nil"/>
              <w:right w:val="nil"/>
            </w:tcBorders>
            <w:shd w:val="clear" w:color="auto" w:fill="auto"/>
            <w:noWrap/>
            <w:vAlign w:val="center"/>
            <w:hideMark/>
          </w:tcPr>
          <w:p w14:paraId="7A45FDD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0.206</w:t>
            </w:r>
          </w:p>
        </w:tc>
        <w:tc>
          <w:tcPr>
            <w:tcW w:w="465" w:type="dxa"/>
            <w:tcBorders>
              <w:top w:val="nil"/>
              <w:left w:val="nil"/>
              <w:bottom w:val="nil"/>
              <w:right w:val="nil"/>
            </w:tcBorders>
            <w:shd w:val="clear" w:color="auto" w:fill="auto"/>
            <w:noWrap/>
            <w:vAlign w:val="center"/>
            <w:hideMark/>
          </w:tcPr>
          <w:p w14:paraId="6A2725D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356" w:type="dxa"/>
            <w:tcBorders>
              <w:top w:val="nil"/>
              <w:left w:val="single" w:sz="8" w:space="0" w:color="auto"/>
              <w:bottom w:val="nil"/>
              <w:right w:val="nil"/>
            </w:tcBorders>
            <w:shd w:val="clear" w:color="auto" w:fill="auto"/>
            <w:noWrap/>
            <w:vAlign w:val="center"/>
            <w:hideMark/>
          </w:tcPr>
          <w:p w14:paraId="7AE3D776"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-0.56%</w:t>
            </w:r>
          </w:p>
        </w:tc>
        <w:tc>
          <w:tcPr>
            <w:tcW w:w="830" w:type="dxa"/>
            <w:tcBorders>
              <w:top w:val="nil"/>
              <w:left w:val="nil"/>
              <w:bottom w:val="nil"/>
              <w:right w:val="nil"/>
            </w:tcBorders>
            <w:shd w:val="clear" w:color="auto" w:fill="auto"/>
            <w:noWrap/>
            <w:vAlign w:val="center"/>
            <w:hideMark/>
          </w:tcPr>
          <w:p w14:paraId="11CDBDB6"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-0.841</w:t>
            </w:r>
          </w:p>
        </w:tc>
        <w:tc>
          <w:tcPr>
            <w:tcW w:w="352" w:type="dxa"/>
            <w:tcBorders>
              <w:top w:val="nil"/>
              <w:left w:val="nil"/>
              <w:bottom w:val="nil"/>
              <w:right w:val="nil"/>
            </w:tcBorders>
            <w:shd w:val="clear" w:color="auto" w:fill="auto"/>
            <w:noWrap/>
            <w:vAlign w:val="center"/>
            <w:hideMark/>
          </w:tcPr>
          <w:p w14:paraId="1CF39BB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830" w:type="dxa"/>
            <w:tcBorders>
              <w:top w:val="nil"/>
              <w:left w:val="nil"/>
              <w:bottom w:val="nil"/>
              <w:right w:val="nil"/>
            </w:tcBorders>
            <w:shd w:val="clear" w:color="auto" w:fill="auto"/>
            <w:noWrap/>
            <w:vAlign w:val="center"/>
            <w:hideMark/>
          </w:tcPr>
          <w:p w14:paraId="48A8FEC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-0.924</w:t>
            </w:r>
          </w:p>
        </w:tc>
        <w:tc>
          <w:tcPr>
            <w:tcW w:w="352" w:type="dxa"/>
            <w:tcBorders>
              <w:top w:val="nil"/>
              <w:left w:val="nil"/>
              <w:bottom w:val="nil"/>
              <w:right w:val="single" w:sz="8" w:space="0" w:color="auto"/>
            </w:tcBorders>
            <w:shd w:val="clear" w:color="auto" w:fill="auto"/>
            <w:noWrap/>
            <w:vAlign w:val="center"/>
            <w:hideMark/>
          </w:tcPr>
          <w:p w14:paraId="1643604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54F4EE82"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46D9CED8"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w:t>
            </w:r>
          </w:p>
        </w:tc>
        <w:tc>
          <w:tcPr>
            <w:tcW w:w="1256" w:type="dxa"/>
            <w:tcBorders>
              <w:top w:val="nil"/>
              <w:left w:val="nil"/>
              <w:bottom w:val="nil"/>
              <w:right w:val="nil"/>
            </w:tcBorders>
            <w:shd w:val="clear" w:color="auto" w:fill="auto"/>
            <w:noWrap/>
            <w:vAlign w:val="center"/>
            <w:hideMark/>
          </w:tcPr>
          <w:p w14:paraId="2CE1105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-0.26%</w:t>
            </w:r>
          </w:p>
        </w:tc>
        <w:tc>
          <w:tcPr>
            <w:tcW w:w="767" w:type="dxa"/>
            <w:tcBorders>
              <w:top w:val="nil"/>
              <w:left w:val="nil"/>
              <w:bottom w:val="nil"/>
              <w:right w:val="nil"/>
            </w:tcBorders>
            <w:shd w:val="clear" w:color="auto" w:fill="auto"/>
            <w:noWrap/>
            <w:vAlign w:val="center"/>
            <w:hideMark/>
          </w:tcPr>
          <w:p w14:paraId="513C5AE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-0.292</w:t>
            </w:r>
          </w:p>
        </w:tc>
        <w:tc>
          <w:tcPr>
            <w:tcW w:w="465" w:type="dxa"/>
            <w:tcBorders>
              <w:top w:val="nil"/>
              <w:left w:val="nil"/>
              <w:bottom w:val="nil"/>
              <w:right w:val="nil"/>
            </w:tcBorders>
            <w:shd w:val="clear" w:color="auto" w:fill="auto"/>
            <w:noWrap/>
            <w:vAlign w:val="center"/>
            <w:hideMark/>
          </w:tcPr>
          <w:p w14:paraId="137746F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61E9B09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0.136</w:t>
            </w:r>
          </w:p>
        </w:tc>
        <w:tc>
          <w:tcPr>
            <w:tcW w:w="465" w:type="dxa"/>
            <w:tcBorders>
              <w:top w:val="nil"/>
              <w:left w:val="nil"/>
              <w:bottom w:val="nil"/>
              <w:right w:val="nil"/>
            </w:tcBorders>
            <w:shd w:val="clear" w:color="auto" w:fill="auto"/>
            <w:noWrap/>
            <w:vAlign w:val="center"/>
            <w:hideMark/>
          </w:tcPr>
          <w:p w14:paraId="5D297D2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1BB3469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0.11%</w:t>
            </w:r>
          </w:p>
        </w:tc>
        <w:tc>
          <w:tcPr>
            <w:tcW w:w="767" w:type="dxa"/>
            <w:tcBorders>
              <w:top w:val="nil"/>
              <w:left w:val="nil"/>
              <w:bottom w:val="nil"/>
              <w:right w:val="nil"/>
            </w:tcBorders>
            <w:shd w:val="clear" w:color="auto" w:fill="auto"/>
            <w:noWrap/>
            <w:vAlign w:val="center"/>
            <w:hideMark/>
          </w:tcPr>
          <w:p w14:paraId="47A8E22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0.154</w:t>
            </w:r>
          </w:p>
        </w:tc>
        <w:tc>
          <w:tcPr>
            <w:tcW w:w="465" w:type="dxa"/>
            <w:tcBorders>
              <w:top w:val="nil"/>
              <w:left w:val="nil"/>
              <w:bottom w:val="nil"/>
              <w:right w:val="nil"/>
            </w:tcBorders>
            <w:shd w:val="clear" w:color="auto" w:fill="auto"/>
            <w:noWrap/>
            <w:vAlign w:val="center"/>
            <w:hideMark/>
          </w:tcPr>
          <w:p w14:paraId="34F7F7D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7EAA8A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0.072</w:t>
            </w:r>
          </w:p>
        </w:tc>
        <w:tc>
          <w:tcPr>
            <w:tcW w:w="465" w:type="dxa"/>
            <w:tcBorders>
              <w:top w:val="nil"/>
              <w:left w:val="nil"/>
              <w:bottom w:val="nil"/>
              <w:right w:val="nil"/>
            </w:tcBorders>
            <w:shd w:val="clear" w:color="auto" w:fill="auto"/>
            <w:noWrap/>
            <w:vAlign w:val="center"/>
            <w:hideMark/>
          </w:tcPr>
          <w:p w14:paraId="7054CA1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7FD9896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0.05%</w:t>
            </w:r>
          </w:p>
        </w:tc>
        <w:tc>
          <w:tcPr>
            <w:tcW w:w="830" w:type="dxa"/>
            <w:tcBorders>
              <w:top w:val="nil"/>
              <w:left w:val="nil"/>
              <w:bottom w:val="nil"/>
              <w:right w:val="nil"/>
            </w:tcBorders>
            <w:shd w:val="clear" w:color="auto" w:fill="auto"/>
            <w:noWrap/>
            <w:vAlign w:val="center"/>
            <w:hideMark/>
          </w:tcPr>
          <w:p w14:paraId="5779255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0.079</w:t>
            </w:r>
          </w:p>
        </w:tc>
        <w:tc>
          <w:tcPr>
            <w:tcW w:w="352" w:type="dxa"/>
            <w:tcBorders>
              <w:top w:val="nil"/>
              <w:left w:val="nil"/>
              <w:bottom w:val="nil"/>
              <w:right w:val="nil"/>
            </w:tcBorders>
            <w:shd w:val="clear" w:color="auto" w:fill="auto"/>
            <w:noWrap/>
            <w:vAlign w:val="center"/>
            <w:hideMark/>
          </w:tcPr>
          <w:p w14:paraId="5D9A23E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7D5FBEE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-0.173</w:t>
            </w:r>
          </w:p>
        </w:tc>
        <w:tc>
          <w:tcPr>
            <w:tcW w:w="352" w:type="dxa"/>
            <w:tcBorders>
              <w:top w:val="nil"/>
              <w:left w:val="nil"/>
              <w:bottom w:val="nil"/>
              <w:right w:val="single" w:sz="8" w:space="0" w:color="auto"/>
            </w:tcBorders>
            <w:shd w:val="clear" w:color="auto" w:fill="auto"/>
            <w:noWrap/>
            <w:vAlign w:val="center"/>
            <w:hideMark/>
          </w:tcPr>
          <w:p w14:paraId="5D2AFB3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2971A6B3"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536ED687"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w:t>
            </w:r>
          </w:p>
        </w:tc>
        <w:tc>
          <w:tcPr>
            <w:tcW w:w="1256" w:type="dxa"/>
            <w:tcBorders>
              <w:top w:val="nil"/>
              <w:left w:val="nil"/>
              <w:bottom w:val="nil"/>
              <w:right w:val="nil"/>
            </w:tcBorders>
            <w:shd w:val="clear" w:color="auto" w:fill="auto"/>
            <w:noWrap/>
            <w:vAlign w:val="center"/>
            <w:hideMark/>
          </w:tcPr>
          <w:p w14:paraId="5E28E90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1.13%</w:t>
            </w:r>
          </w:p>
        </w:tc>
        <w:tc>
          <w:tcPr>
            <w:tcW w:w="767" w:type="dxa"/>
            <w:tcBorders>
              <w:top w:val="nil"/>
              <w:left w:val="nil"/>
              <w:bottom w:val="nil"/>
              <w:right w:val="nil"/>
            </w:tcBorders>
            <w:shd w:val="clear" w:color="auto" w:fill="auto"/>
            <w:noWrap/>
            <w:vAlign w:val="center"/>
            <w:hideMark/>
          </w:tcPr>
          <w:p w14:paraId="6281D37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1.186</w:t>
            </w:r>
          </w:p>
        </w:tc>
        <w:tc>
          <w:tcPr>
            <w:tcW w:w="465" w:type="dxa"/>
            <w:tcBorders>
              <w:top w:val="nil"/>
              <w:left w:val="nil"/>
              <w:bottom w:val="nil"/>
              <w:right w:val="nil"/>
            </w:tcBorders>
            <w:shd w:val="clear" w:color="auto" w:fill="auto"/>
            <w:noWrap/>
            <w:vAlign w:val="center"/>
            <w:hideMark/>
          </w:tcPr>
          <w:p w14:paraId="299B69F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4A3CA608"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0.850</w:t>
            </w:r>
          </w:p>
        </w:tc>
        <w:tc>
          <w:tcPr>
            <w:tcW w:w="465" w:type="dxa"/>
            <w:tcBorders>
              <w:top w:val="nil"/>
              <w:left w:val="nil"/>
              <w:bottom w:val="nil"/>
              <w:right w:val="nil"/>
            </w:tcBorders>
            <w:shd w:val="clear" w:color="auto" w:fill="auto"/>
            <w:noWrap/>
            <w:vAlign w:val="center"/>
            <w:hideMark/>
          </w:tcPr>
          <w:p w14:paraId="13BA6C6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71DE848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-0.50%</w:t>
            </w:r>
          </w:p>
        </w:tc>
        <w:tc>
          <w:tcPr>
            <w:tcW w:w="767" w:type="dxa"/>
            <w:tcBorders>
              <w:top w:val="nil"/>
              <w:left w:val="nil"/>
              <w:bottom w:val="nil"/>
              <w:right w:val="nil"/>
            </w:tcBorders>
            <w:shd w:val="clear" w:color="auto" w:fill="auto"/>
            <w:noWrap/>
            <w:vAlign w:val="center"/>
            <w:hideMark/>
          </w:tcPr>
          <w:p w14:paraId="008F6E0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-0.585</w:t>
            </w:r>
          </w:p>
        </w:tc>
        <w:tc>
          <w:tcPr>
            <w:tcW w:w="465" w:type="dxa"/>
            <w:tcBorders>
              <w:top w:val="nil"/>
              <w:left w:val="nil"/>
              <w:bottom w:val="nil"/>
              <w:right w:val="nil"/>
            </w:tcBorders>
            <w:shd w:val="clear" w:color="auto" w:fill="auto"/>
            <w:noWrap/>
            <w:vAlign w:val="center"/>
            <w:hideMark/>
          </w:tcPr>
          <w:p w14:paraId="197D294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71A4A89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-0.347</w:t>
            </w:r>
          </w:p>
        </w:tc>
        <w:tc>
          <w:tcPr>
            <w:tcW w:w="465" w:type="dxa"/>
            <w:tcBorders>
              <w:top w:val="nil"/>
              <w:left w:val="nil"/>
              <w:bottom w:val="nil"/>
              <w:right w:val="nil"/>
            </w:tcBorders>
            <w:shd w:val="clear" w:color="auto" w:fill="auto"/>
            <w:noWrap/>
            <w:vAlign w:val="center"/>
            <w:hideMark/>
          </w:tcPr>
          <w:p w14:paraId="54E45F2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5822C5D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-0.23%</w:t>
            </w:r>
          </w:p>
        </w:tc>
        <w:tc>
          <w:tcPr>
            <w:tcW w:w="830" w:type="dxa"/>
            <w:tcBorders>
              <w:top w:val="nil"/>
              <w:left w:val="nil"/>
              <w:bottom w:val="nil"/>
              <w:right w:val="nil"/>
            </w:tcBorders>
            <w:shd w:val="clear" w:color="auto" w:fill="auto"/>
            <w:noWrap/>
            <w:vAlign w:val="center"/>
            <w:hideMark/>
          </w:tcPr>
          <w:p w14:paraId="490B9F5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-0.305</w:t>
            </w:r>
          </w:p>
        </w:tc>
        <w:tc>
          <w:tcPr>
            <w:tcW w:w="352" w:type="dxa"/>
            <w:tcBorders>
              <w:top w:val="nil"/>
              <w:left w:val="nil"/>
              <w:bottom w:val="nil"/>
              <w:right w:val="nil"/>
            </w:tcBorders>
            <w:shd w:val="clear" w:color="auto" w:fill="auto"/>
            <w:noWrap/>
            <w:vAlign w:val="center"/>
            <w:hideMark/>
          </w:tcPr>
          <w:p w14:paraId="5DEBCFB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3A8BE7B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-0.328</w:t>
            </w:r>
          </w:p>
        </w:tc>
        <w:tc>
          <w:tcPr>
            <w:tcW w:w="352" w:type="dxa"/>
            <w:tcBorders>
              <w:top w:val="nil"/>
              <w:left w:val="nil"/>
              <w:bottom w:val="nil"/>
              <w:right w:val="single" w:sz="8" w:space="0" w:color="auto"/>
            </w:tcBorders>
            <w:shd w:val="clear" w:color="auto" w:fill="auto"/>
            <w:noWrap/>
            <w:vAlign w:val="center"/>
            <w:hideMark/>
          </w:tcPr>
          <w:p w14:paraId="2445EBB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17C45639"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0814F03B"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eastAsia="en-AU"/>
              </w:rPr>
              <w:t>t</w:t>
            </w:r>
          </w:p>
        </w:tc>
        <w:tc>
          <w:tcPr>
            <w:tcW w:w="1256" w:type="dxa"/>
            <w:tcBorders>
              <w:top w:val="nil"/>
              <w:left w:val="nil"/>
              <w:bottom w:val="nil"/>
              <w:right w:val="nil"/>
            </w:tcBorders>
            <w:shd w:val="clear" w:color="auto" w:fill="auto"/>
            <w:noWrap/>
            <w:vAlign w:val="center"/>
            <w:hideMark/>
          </w:tcPr>
          <w:p w14:paraId="2650BAB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1.24%</w:t>
            </w:r>
          </w:p>
        </w:tc>
        <w:tc>
          <w:tcPr>
            <w:tcW w:w="767" w:type="dxa"/>
            <w:tcBorders>
              <w:top w:val="nil"/>
              <w:left w:val="nil"/>
              <w:bottom w:val="nil"/>
              <w:right w:val="nil"/>
            </w:tcBorders>
            <w:shd w:val="clear" w:color="auto" w:fill="auto"/>
            <w:noWrap/>
            <w:vAlign w:val="center"/>
            <w:hideMark/>
          </w:tcPr>
          <w:p w14:paraId="0216AEB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1.401</w:t>
            </w:r>
          </w:p>
        </w:tc>
        <w:tc>
          <w:tcPr>
            <w:tcW w:w="465" w:type="dxa"/>
            <w:tcBorders>
              <w:top w:val="nil"/>
              <w:left w:val="nil"/>
              <w:bottom w:val="nil"/>
              <w:right w:val="nil"/>
            </w:tcBorders>
            <w:shd w:val="clear" w:color="auto" w:fill="auto"/>
            <w:noWrap/>
            <w:vAlign w:val="center"/>
            <w:hideMark/>
          </w:tcPr>
          <w:p w14:paraId="3B39152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17ECF98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1.504</w:t>
            </w:r>
          </w:p>
        </w:tc>
        <w:tc>
          <w:tcPr>
            <w:tcW w:w="465" w:type="dxa"/>
            <w:tcBorders>
              <w:top w:val="nil"/>
              <w:left w:val="nil"/>
              <w:bottom w:val="nil"/>
              <w:right w:val="nil"/>
            </w:tcBorders>
            <w:shd w:val="clear" w:color="auto" w:fill="auto"/>
            <w:noWrap/>
            <w:vAlign w:val="center"/>
            <w:hideMark/>
          </w:tcPr>
          <w:p w14:paraId="792E36D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7CF9CA4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0.05%</w:t>
            </w:r>
          </w:p>
        </w:tc>
        <w:tc>
          <w:tcPr>
            <w:tcW w:w="767" w:type="dxa"/>
            <w:tcBorders>
              <w:top w:val="nil"/>
              <w:left w:val="nil"/>
              <w:bottom w:val="nil"/>
              <w:right w:val="nil"/>
            </w:tcBorders>
            <w:shd w:val="clear" w:color="auto" w:fill="auto"/>
            <w:noWrap/>
            <w:vAlign w:val="center"/>
            <w:hideMark/>
          </w:tcPr>
          <w:p w14:paraId="15D2551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0.064</w:t>
            </w:r>
          </w:p>
        </w:tc>
        <w:tc>
          <w:tcPr>
            <w:tcW w:w="465" w:type="dxa"/>
            <w:tcBorders>
              <w:top w:val="nil"/>
              <w:left w:val="nil"/>
              <w:bottom w:val="nil"/>
              <w:right w:val="nil"/>
            </w:tcBorders>
            <w:shd w:val="clear" w:color="auto" w:fill="auto"/>
            <w:noWrap/>
            <w:vAlign w:val="center"/>
            <w:hideMark/>
          </w:tcPr>
          <w:p w14:paraId="411850D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5CE1318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-0.318</w:t>
            </w:r>
          </w:p>
        </w:tc>
        <w:tc>
          <w:tcPr>
            <w:tcW w:w="465" w:type="dxa"/>
            <w:tcBorders>
              <w:top w:val="nil"/>
              <w:left w:val="nil"/>
              <w:bottom w:val="nil"/>
              <w:right w:val="nil"/>
            </w:tcBorders>
            <w:shd w:val="clear" w:color="auto" w:fill="auto"/>
            <w:noWrap/>
            <w:vAlign w:val="center"/>
            <w:hideMark/>
          </w:tcPr>
          <w:p w14:paraId="4634D19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735982B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-0.78%</w:t>
            </w:r>
          </w:p>
        </w:tc>
        <w:tc>
          <w:tcPr>
            <w:tcW w:w="830" w:type="dxa"/>
            <w:tcBorders>
              <w:top w:val="nil"/>
              <w:left w:val="nil"/>
              <w:bottom w:val="nil"/>
              <w:right w:val="nil"/>
            </w:tcBorders>
            <w:shd w:val="clear" w:color="auto" w:fill="auto"/>
            <w:noWrap/>
            <w:vAlign w:val="center"/>
            <w:hideMark/>
          </w:tcPr>
          <w:p w14:paraId="4BF99AA6"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-1.142</w:t>
            </w:r>
          </w:p>
        </w:tc>
        <w:tc>
          <w:tcPr>
            <w:tcW w:w="352" w:type="dxa"/>
            <w:tcBorders>
              <w:top w:val="nil"/>
              <w:left w:val="nil"/>
              <w:bottom w:val="nil"/>
              <w:right w:val="nil"/>
            </w:tcBorders>
            <w:shd w:val="clear" w:color="auto" w:fill="auto"/>
            <w:noWrap/>
            <w:vAlign w:val="center"/>
            <w:hideMark/>
          </w:tcPr>
          <w:p w14:paraId="41AEB43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66454B2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-0.859</w:t>
            </w:r>
          </w:p>
        </w:tc>
        <w:tc>
          <w:tcPr>
            <w:tcW w:w="352" w:type="dxa"/>
            <w:tcBorders>
              <w:top w:val="nil"/>
              <w:left w:val="nil"/>
              <w:bottom w:val="nil"/>
              <w:right w:val="single" w:sz="8" w:space="0" w:color="auto"/>
            </w:tcBorders>
            <w:shd w:val="clear" w:color="auto" w:fill="auto"/>
            <w:noWrap/>
            <w:vAlign w:val="center"/>
            <w:hideMark/>
          </w:tcPr>
          <w:p w14:paraId="0B60B31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4287D28D"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622C97C1"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w:t>
            </w:r>
          </w:p>
        </w:tc>
        <w:tc>
          <w:tcPr>
            <w:tcW w:w="1256" w:type="dxa"/>
            <w:tcBorders>
              <w:top w:val="nil"/>
              <w:left w:val="nil"/>
              <w:bottom w:val="nil"/>
              <w:right w:val="nil"/>
            </w:tcBorders>
            <w:shd w:val="clear" w:color="auto" w:fill="auto"/>
            <w:noWrap/>
            <w:vAlign w:val="center"/>
            <w:hideMark/>
          </w:tcPr>
          <w:p w14:paraId="63C6B92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0.02%</w:t>
            </w:r>
          </w:p>
        </w:tc>
        <w:tc>
          <w:tcPr>
            <w:tcW w:w="767" w:type="dxa"/>
            <w:tcBorders>
              <w:top w:val="nil"/>
              <w:left w:val="nil"/>
              <w:bottom w:val="nil"/>
              <w:right w:val="nil"/>
            </w:tcBorders>
            <w:shd w:val="clear" w:color="auto" w:fill="auto"/>
            <w:noWrap/>
            <w:vAlign w:val="center"/>
            <w:hideMark/>
          </w:tcPr>
          <w:p w14:paraId="59B9F88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0.019</w:t>
            </w:r>
          </w:p>
        </w:tc>
        <w:tc>
          <w:tcPr>
            <w:tcW w:w="465" w:type="dxa"/>
            <w:tcBorders>
              <w:top w:val="nil"/>
              <w:left w:val="nil"/>
              <w:bottom w:val="nil"/>
              <w:right w:val="nil"/>
            </w:tcBorders>
            <w:shd w:val="clear" w:color="auto" w:fill="auto"/>
            <w:noWrap/>
            <w:vAlign w:val="center"/>
            <w:hideMark/>
          </w:tcPr>
          <w:p w14:paraId="4E80AB2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393231D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-0.116</w:t>
            </w:r>
          </w:p>
        </w:tc>
        <w:tc>
          <w:tcPr>
            <w:tcW w:w="465" w:type="dxa"/>
            <w:tcBorders>
              <w:top w:val="nil"/>
              <w:left w:val="nil"/>
              <w:bottom w:val="nil"/>
              <w:right w:val="nil"/>
            </w:tcBorders>
            <w:shd w:val="clear" w:color="auto" w:fill="auto"/>
            <w:noWrap/>
            <w:vAlign w:val="center"/>
            <w:hideMark/>
          </w:tcPr>
          <w:p w14:paraId="55AF9E1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4D5091A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-0.33%</w:t>
            </w:r>
          </w:p>
        </w:tc>
        <w:tc>
          <w:tcPr>
            <w:tcW w:w="767" w:type="dxa"/>
            <w:tcBorders>
              <w:top w:val="nil"/>
              <w:left w:val="nil"/>
              <w:bottom w:val="nil"/>
              <w:right w:val="nil"/>
            </w:tcBorders>
            <w:shd w:val="clear" w:color="auto" w:fill="auto"/>
            <w:noWrap/>
            <w:vAlign w:val="center"/>
            <w:hideMark/>
          </w:tcPr>
          <w:p w14:paraId="26F171F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-0.445</w:t>
            </w:r>
          </w:p>
        </w:tc>
        <w:tc>
          <w:tcPr>
            <w:tcW w:w="465" w:type="dxa"/>
            <w:tcBorders>
              <w:top w:val="nil"/>
              <w:left w:val="nil"/>
              <w:bottom w:val="nil"/>
              <w:right w:val="nil"/>
            </w:tcBorders>
            <w:shd w:val="clear" w:color="auto" w:fill="auto"/>
            <w:noWrap/>
            <w:vAlign w:val="center"/>
            <w:hideMark/>
          </w:tcPr>
          <w:p w14:paraId="17ADDB9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03CDCE9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-0.144</w:t>
            </w:r>
          </w:p>
        </w:tc>
        <w:tc>
          <w:tcPr>
            <w:tcW w:w="465" w:type="dxa"/>
            <w:tcBorders>
              <w:top w:val="nil"/>
              <w:left w:val="nil"/>
              <w:bottom w:val="nil"/>
              <w:right w:val="nil"/>
            </w:tcBorders>
            <w:shd w:val="clear" w:color="auto" w:fill="auto"/>
            <w:noWrap/>
            <w:vAlign w:val="center"/>
            <w:hideMark/>
          </w:tcPr>
          <w:p w14:paraId="097AC96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468C37E6"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0.28%</w:t>
            </w:r>
          </w:p>
        </w:tc>
        <w:tc>
          <w:tcPr>
            <w:tcW w:w="830" w:type="dxa"/>
            <w:tcBorders>
              <w:top w:val="nil"/>
              <w:left w:val="nil"/>
              <w:bottom w:val="nil"/>
              <w:right w:val="nil"/>
            </w:tcBorders>
            <w:shd w:val="clear" w:color="auto" w:fill="auto"/>
            <w:noWrap/>
            <w:vAlign w:val="center"/>
            <w:hideMark/>
          </w:tcPr>
          <w:p w14:paraId="0C494C1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0.440</w:t>
            </w:r>
          </w:p>
        </w:tc>
        <w:tc>
          <w:tcPr>
            <w:tcW w:w="352" w:type="dxa"/>
            <w:tcBorders>
              <w:top w:val="nil"/>
              <w:left w:val="nil"/>
              <w:bottom w:val="nil"/>
              <w:right w:val="nil"/>
            </w:tcBorders>
            <w:shd w:val="clear" w:color="auto" w:fill="auto"/>
            <w:noWrap/>
            <w:vAlign w:val="center"/>
            <w:hideMark/>
          </w:tcPr>
          <w:p w14:paraId="72F910E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5809719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0.226</w:t>
            </w:r>
          </w:p>
        </w:tc>
        <w:tc>
          <w:tcPr>
            <w:tcW w:w="352" w:type="dxa"/>
            <w:tcBorders>
              <w:top w:val="nil"/>
              <w:left w:val="nil"/>
              <w:bottom w:val="nil"/>
              <w:right w:val="single" w:sz="8" w:space="0" w:color="auto"/>
            </w:tcBorders>
            <w:shd w:val="clear" w:color="auto" w:fill="auto"/>
            <w:noWrap/>
            <w:vAlign w:val="center"/>
            <w:hideMark/>
          </w:tcPr>
          <w:p w14:paraId="7D5860D5"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251A04D3"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6FA538C5"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w:t>
            </w:r>
          </w:p>
        </w:tc>
        <w:tc>
          <w:tcPr>
            <w:tcW w:w="1256" w:type="dxa"/>
            <w:tcBorders>
              <w:top w:val="nil"/>
              <w:left w:val="nil"/>
              <w:bottom w:val="nil"/>
              <w:right w:val="nil"/>
            </w:tcBorders>
            <w:shd w:val="clear" w:color="auto" w:fill="auto"/>
            <w:noWrap/>
            <w:vAlign w:val="center"/>
            <w:hideMark/>
          </w:tcPr>
          <w:p w14:paraId="307FDDB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-0.32%</w:t>
            </w:r>
          </w:p>
        </w:tc>
        <w:tc>
          <w:tcPr>
            <w:tcW w:w="767" w:type="dxa"/>
            <w:tcBorders>
              <w:top w:val="nil"/>
              <w:left w:val="nil"/>
              <w:bottom w:val="nil"/>
              <w:right w:val="nil"/>
            </w:tcBorders>
            <w:shd w:val="clear" w:color="auto" w:fill="auto"/>
            <w:noWrap/>
            <w:vAlign w:val="center"/>
            <w:hideMark/>
          </w:tcPr>
          <w:p w14:paraId="3468C08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-0.371</w:t>
            </w:r>
          </w:p>
        </w:tc>
        <w:tc>
          <w:tcPr>
            <w:tcW w:w="465" w:type="dxa"/>
            <w:tcBorders>
              <w:top w:val="nil"/>
              <w:left w:val="nil"/>
              <w:bottom w:val="nil"/>
              <w:right w:val="nil"/>
            </w:tcBorders>
            <w:shd w:val="clear" w:color="auto" w:fill="auto"/>
            <w:noWrap/>
            <w:vAlign w:val="center"/>
            <w:hideMark/>
          </w:tcPr>
          <w:p w14:paraId="31AE736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0C8DFC08"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-0.064</w:t>
            </w:r>
          </w:p>
        </w:tc>
        <w:tc>
          <w:tcPr>
            <w:tcW w:w="465" w:type="dxa"/>
            <w:tcBorders>
              <w:top w:val="nil"/>
              <w:left w:val="nil"/>
              <w:bottom w:val="nil"/>
              <w:right w:val="nil"/>
            </w:tcBorders>
            <w:shd w:val="clear" w:color="auto" w:fill="auto"/>
            <w:noWrap/>
            <w:vAlign w:val="center"/>
            <w:hideMark/>
          </w:tcPr>
          <w:p w14:paraId="3E0A689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305A5C3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0.02%</w:t>
            </w:r>
          </w:p>
        </w:tc>
        <w:tc>
          <w:tcPr>
            <w:tcW w:w="767" w:type="dxa"/>
            <w:tcBorders>
              <w:top w:val="nil"/>
              <w:left w:val="nil"/>
              <w:bottom w:val="nil"/>
              <w:right w:val="nil"/>
            </w:tcBorders>
            <w:shd w:val="clear" w:color="auto" w:fill="auto"/>
            <w:noWrap/>
            <w:vAlign w:val="center"/>
            <w:hideMark/>
          </w:tcPr>
          <w:p w14:paraId="1590862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0.032</w:t>
            </w:r>
          </w:p>
        </w:tc>
        <w:tc>
          <w:tcPr>
            <w:tcW w:w="465" w:type="dxa"/>
            <w:tcBorders>
              <w:top w:val="nil"/>
              <w:left w:val="nil"/>
              <w:bottom w:val="nil"/>
              <w:right w:val="nil"/>
            </w:tcBorders>
            <w:shd w:val="clear" w:color="auto" w:fill="auto"/>
            <w:noWrap/>
            <w:vAlign w:val="center"/>
            <w:hideMark/>
          </w:tcPr>
          <w:p w14:paraId="6476FCF3"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43D2E95E"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-0.393</w:t>
            </w:r>
          </w:p>
        </w:tc>
        <w:tc>
          <w:tcPr>
            <w:tcW w:w="465" w:type="dxa"/>
            <w:tcBorders>
              <w:top w:val="nil"/>
              <w:left w:val="nil"/>
              <w:bottom w:val="nil"/>
              <w:right w:val="nil"/>
            </w:tcBorders>
            <w:shd w:val="clear" w:color="auto" w:fill="auto"/>
            <w:noWrap/>
            <w:vAlign w:val="center"/>
            <w:hideMark/>
          </w:tcPr>
          <w:p w14:paraId="0D4F94F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41137F9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0.17%</w:t>
            </w:r>
          </w:p>
        </w:tc>
        <w:tc>
          <w:tcPr>
            <w:tcW w:w="830" w:type="dxa"/>
            <w:tcBorders>
              <w:top w:val="nil"/>
              <w:left w:val="nil"/>
              <w:bottom w:val="nil"/>
              <w:right w:val="nil"/>
            </w:tcBorders>
            <w:shd w:val="clear" w:color="auto" w:fill="auto"/>
            <w:noWrap/>
            <w:vAlign w:val="center"/>
            <w:hideMark/>
          </w:tcPr>
          <w:p w14:paraId="2412508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0.256</w:t>
            </w:r>
          </w:p>
        </w:tc>
        <w:tc>
          <w:tcPr>
            <w:tcW w:w="352" w:type="dxa"/>
            <w:tcBorders>
              <w:top w:val="nil"/>
              <w:left w:val="nil"/>
              <w:bottom w:val="nil"/>
              <w:right w:val="nil"/>
            </w:tcBorders>
            <w:shd w:val="clear" w:color="auto" w:fill="auto"/>
            <w:noWrap/>
            <w:vAlign w:val="center"/>
            <w:hideMark/>
          </w:tcPr>
          <w:p w14:paraId="6DA7CC8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595EBC3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0.420</w:t>
            </w:r>
          </w:p>
        </w:tc>
        <w:tc>
          <w:tcPr>
            <w:tcW w:w="352" w:type="dxa"/>
            <w:tcBorders>
              <w:top w:val="nil"/>
              <w:left w:val="nil"/>
              <w:bottom w:val="nil"/>
              <w:right w:val="single" w:sz="8" w:space="0" w:color="auto"/>
            </w:tcBorders>
            <w:shd w:val="clear" w:color="auto" w:fill="auto"/>
            <w:noWrap/>
            <w:vAlign w:val="center"/>
            <w:hideMark/>
          </w:tcPr>
          <w:p w14:paraId="2268AF4E"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58F5EA94" w14:textId="77777777" w:rsidTr="0013260B">
        <w:trPr>
          <w:trHeight w:val="255"/>
        </w:trPr>
        <w:tc>
          <w:tcPr>
            <w:tcW w:w="1251" w:type="dxa"/>
            <w:tcBorders>
              <w:top w:val="nil"/>
              <w:left w:val="single" w:sz="8" w:space="0" w:color="auto"/>
              <w:bottom w:val="nil"/>
              <w:right w:val="single" w:sz="8" w:space="0" w:color="auto"/>
            </w:tcBorders>
            <w:shd w:val="clear" w:color="auto" w:fill="auto"/>
            <w:vAlign w:val="center"/>
            <w:hideMark/>
          </w:tcPr>
          <w:p w14:paraId="7237E30C"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t+3</w:t>
            </w:r>
          </w:p>
        </w:tc>
        <w:tc>
          <w:tcPr>
            <w:tcW w:w="1256" w:type="dxa"/>
            <w:tcBorders>
              <w:top w:val="nil"/>
              <w:left w:val="nil"/>
              <w:bottom w:val="nil"/>
              <w:right w:val="nil"/>
            </w:tcBorders>
            <w:shd w:val="clear" w:color="auto" w:fill="auto"/>
            <w:noWrap/>
            <w:vAlign w:val="center"/>
            <w:hideMark/>
          </w:tcPr>
          <w:p w14:paraId="650E3FB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1.20%</w:t>
            </w:r>
          </w:p>
        </w:tc>
        <w:tc>
          <w:tcPr>
            <w:tcW w:w="767" w:type="dxa"/>
            <w:tcBorders>
              <w:top w:val="nil"/>
              <w:left w:val="nil"/>
              <w:bottom w:val="nil"/>
              <w:right w:val="nil"/>
            </w:tcBorders>
            <w:shd w:val="clear" w:color="auto" w:fill="auto"/>
            <w:noWrap/>
            <w:vAlign w:val="center"/>
            <w:hideMark/>
          </w:tcPr>
          <w:p w14:paraId="6EB0239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1.085</w:t>
            </w:r>
          </w:p>
        </w:tc>
        <w:tc>
          <w:tcPr>
            <w:tcW w:w="465" w:type="dxa"/>
            <w:tcBorders>
              <w:top w:val="nil"/>
              <w:left w:val="nil"/>
              <w:bottom w:val="nil"/>
              <w:right w:val="nil"/>
            </w:tcBorders>
            <w:shd w:val="clear" w:color="auto" w:fill="auto"/>
            <w:noWrap/>
            <w:vAlign w:val="center"/>
            <w:hideMark/>
          </w:tcPr>
          <w:p w14:paraId="7651D08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3BB9133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-0.096</w:t>
            </w:r>
          </w:p>
        </w:tc>
        <w:tc>
          <w:tcPr>
            <w:tcW w:w="465" w:type="dxa"/>
            <w:tcBorders>
              <w:top w:val="nil"/>
              <w:left w:val="nil"/>
              <w:bottom w:val="nil"/>
              <w:right w:val="nil"/>
            </w:tcBorders>
            <w:shd w:val="clear" w:color="auto" w:fill="auto"/>
            <w:noWrap/>
            <w:vAlign w:val="center"/>
            <w:hideMark/>
          </w:tcPr>
          <w:p w14:paraId="46233F4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513EA0B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-0.43%</w:t>
            </w:r>
          </w:p>
        </w:tc>
        <w:tc>
          <w:tcPr>
            <w:tcW w:w="767" w:type="dxa"/>
            <w:tcBorders>
              <w:top w:val="nil"/>
              <w:left w:val="nil"/>
              <w:bottom w:val="nil"/>
              <w:right w:val="nil"/>
            </w:tcBorders>
            <w:shd w:val="clear" w:color="auto" w:fill="auto"/>
            <w:noWrap/>
            <w:vAlign w:val="center"/>
            <w:hideMark/>
          </w:tcPr>
          <w:p w14:paraId="6AA963B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-0.473</w:t>
            </w:r>
          </w:p>
        </w:tc>
        <w:tc>
          <w:tcPr>
            <w:tcW w:w="465" w:type="dxa"/>
            <w:tcBorders>
              <w:top w:val="nil"/>
              <w:left w:val="nil"/>
              <w:bottom w:val="nil"/>
              <w:right w:val="nil"/>
            </w:tcBorders>
            <w:shd w:val="clear" w:color="auto" w:fill="auto"/>
            <w:noWrap/>
            <w:vAlign w:val="center"/>
            <w:hideMark/>
          </w:tcPr>
          <w:p w14:paraId="7F63B41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F00577B"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0.321</w:t>
            </w:r>
          </w:p>
        </w:tc>
        <w:tc>
          <w:tcPr>
            <w:tcW w:w="465" w:type="dxa"/>
            <w:tcBorders>
              <w:top w:val="nil"/>
              <w:left w:val="nil"/>
              <w:bottom w:val="nil"/>
              <w:right w:val="nil"/>
            </w:tcBorders>
            <w:shd w:val="clear" w:color="auto" w:fill="auto"/>
            <w:noWrap/>
            <w:vAlign w:val="center"/>
            <w:hideMark/>
          </w:tcPr>
          <w:p w14:paraId="3B28D90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291AEF7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-0.33%</w:t>
            </w:r>
          </w:p>
        </w:tc>
        <w:tc>
          <w:tcPr>
            <w:tcW w:w="830" w:type="dxa"/>
            <w:tcBorders>
              <w:top w:val="nil"/>
              <w:left w:val="nil"/>
              <w:bottom w:val="nil"/>
              <w:right w:val="nil"/>
            </w:tcBorders>
            <w:shd w:val="clear" w:color="auto" w:fill="auto"/>
            <w:noWrap/>
            <w:vAlign w:val="center"/>
            <w:hideMark/>
          </w:tcPr>
          <w:p w14:paraId="0961366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-0.388</w:t>
            </w:r>
          </w:p>
        </w:tc>
        <w:tc>
          <w:tcPr>
            <w:tcW w:w="352" w:type="dxa"/>
            <w:tcBorders>
              <w:top w:val="nil"/>
              <w:left w:val="nil"/>
              <w:bottom w:val="nil"/>
              <w:right w:val="nil"/>
            </w:tcBorders>
            <w:shd w:val="clear" w:color="auto" w:fill="auto"/>
            <w:noWrap/>
            <w:vAlign w:val="center"/>
            <w:hideMark/>
          </w:tcPr>
          <w:p w14:paraId="717080D4"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040B317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-0.229</w:t>
            </w:r>
          </w:p>
        </w:tc>
        <w:tc>
          <w:tcPr>
            <w:tcW w:w="352" w:type="dxa"/>
            <w:tcBorders>
              <w:top w:val="nil"/>
              <w:left w:val="nil"/>
              <w:bottom w:val="nil"/>
              <w:right w:val="single" w:sz="8" w:space="0" w:color="auto"/>
            </w:tcBorders>
            <w:shd w:val="clear" w:color="auto" w:fill="auto"/>
            <w:noWrap/>
            <w:vAlign w:val="center"/>
            <w:hideMark/>
          </w:tcPr>
          <w:p w14:paraId="3C74693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25A6EED5" w14:textId="77777777" w:rsidTr="0013260B">
        <w:trPr>
          <w:trHeight w:val="255"/>
        </w:trPr>
        <w:tc>
          <w:tcPr>
            <w:tcW w:w="1251" w:type="dxa"/>
            <w:tcBorders>
              <w:top w:val="single" w:sz="8" w:space="0" w:color="auto"/>
              <w:left w:val="single" w:sz="8" w:space="0" w:color="auto"/>
              <w:bottom w:val="nil"/>
              <w:right w:val="single" w:sz="8" w:space="0" w:color="auto"/>
            </w:tcBorders>
            <w:shd w:val="clear" w:color="auto" w:fill="auto"/>
            <w:noWrap/>
            <w:vAlign w:val="center"/>
            <w:hideMark/>
          </w:tcPr>
          <w:p w14:paraId="6D350A0D"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 to t+1</w:t>
            </w:r>
          </w:p>
        </w:tc>
        <w:tc>
          <w:tcPr>
            <w:tcW w:w="1256" w:type="dxa"/>
            <w:tcBorders>
              <w:top w:val="single" w:sz="8" w:space="0" w:color="auto"/>
              <w:left w:val="nil"/>
              <w:bottom w:val="nil"/>
              <w:right w:val="nil"/>
            </w:tcBorders>
            <w:shd w:val="clear" w:color="auto" w:fill="auto"/>
            <w:noWrap/>
            <w:vAlign w:val="center"/>
            <w:hideMark/>
          </w:tcPr>
          <w:p w14:paraId="26CF903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2.39%</w:t>
            </w:r>
          </w:p>
        </w:tc>
        <w:tc>
          <w:tcPr>
            <w:tcW w:w="767" w:type="dxa"/>
            <w:tcBorders>
              <w:top w:val="single" w:sz="8" w:space="0" w:color="auto"/>
              <w:left w:val="nil"/>
              <w:bottom w:val="nil"/>
              <w:right w:val="nil"/>
            </w:tcBorders>
            <w:shd w:val="clear" w:color="auto" w:fill="auto"/>
            <w:noWrap/>
            <w:vAlign w:val="center"/>
            <w:hideMark/>
          </w:tcPr>
          <w:p w14:paraId="03DC01E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1.805</w:t>
            </w:r>
          </w:p>
        </w:tc>
        <w:tc>
          <w:tcPr>
            <w:tcW w:w="465" w:type="dxa"/>
            <w:tcBorders>
              <w:top w:val="single" w:sz="8" w:space="0" w:color="auto"/>
              <w:left w:val="nil"/>
              <w:bottom w:val="nil"/>
              <w:right w:val="nil"/>
            </w:tcBorders>
            <w:shd w:val="clear" w:color="auto" w:fill="auto"/>
            <w:noWrap/>
            <w:vAlign w:val="center"/>
            <w:hideMark/>
          </w:tcPr>
          <w:p w14:paraId="2A4264D9"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767" w:type="dxa"/>
            <w:tcBorders>
              <w:top w:val="single" w:sz="8" w:space="0" w:color="auto"/>
              <w:left w:val="nil"/>
              <w:bottom w:val="nil"/>
              <w:right w:val="nil"/>
            </w:tcBorders>
            <w:shd w:val="clear" w:color="auto" w:fill="auto"/>
            <w:noWrap/>
            <w:vAlign w:val="center"/>
            <w:hideMark/>
          </w:tcPr>
          <w:p w14:paraId="50238F7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1.752</w:t>
            </w:r>
          </w:p>
        </w:tc>
        <w:tc>
          <w:tcPr>
            <w:tcW w:w="465" w:type="dxa"/>
            <w:tcBorders>
              <w:top w:val="single" w:sz="8" w:space="0" w:color="auto"/>
              <w:left w:val="nil"/>
              <w:bottom w:val="nil"/>
              <w:right w:val="nil"/>
            </w:tcBorders>
            <w:shd w:val="clear" w:color="auto" w:fill="auto"/>
            <w:noWrap/>
            <w:vAlign w:val="center"/>
            <w:hideMark/>
          </w:tcPr>
          <w:p w14:paraId="7F433EF0"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256" w:type="dxa"/>
            <w:tcBorders>
              <w:top w:val="single" w:sz="8" w:space="0" w:color="auto"/>
              <w:left w:val="single" w:sz="8" w:space="0" w:color="auto"/>
              <w:bottom w:val="nil"/>
              <w:right w:val="nil"/>
            </w:tcBorders>
            <w:shd w:val="clear" w:color="auto" w:fill="auto"/>
            <w:noWrap/>
            <w:vAlign w:val="center"/>
            <w:hideMark/>
          </w:tcPr>
          <w:p w14:paraId="51D2694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-0.78%</w:t>
            </w:r>
          </w:p>
        </w:tc>
        <w:tc>
          <w:tcPr>
            <w:tcW w:w="767" w:type="dxa"/>
            <w:tcBorders>
              <w:top w:val="single" w:sz="8" w:space="0" w:color="auto"/>
              <w:left w:val="nil"/>
              <w:bottom w:val="nil"/>
              <w:right w:val="nil"/>
            </w:tcBorders>
            <w:shd w:val="clear" w:color="auto" w:fill="auto"/>
            <w:noWrap/>
            <w:vAlign w:val="center"/>
            <w:hideMark/>
          </w:tcPr>
          <w:p w14:paraId="101ED9B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-0.656</w:t>
            </w:r>
          </w:p>
        </w:tc>
        <w:tc>
          <w:tcPr>
            <w:tcW w:w="465" w:type="dxa"/>
            <w:tcBorders>
              <w:top w:val="single" w:sz="8" w:space="0" w:color="auto"/>
              <w:left w:val="nil"/>
              <w:bottom w:val="nil"/>
              <w:right w:val="nil"/>
            </w:tcBorders>
            <w:shd w:val="clear" w:color="auto" w:fill="auto"/>
            <w:noWrap/>
            <w:vAlign w:val="center"/>
            <w:hideMark/>
          </w:tcPr>
          <w:p w14:paraId="0A93D99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single" w:sz="8" w:space="0" w:color="auto"/>
              <w:left w:val="nil"/>
              <w:bottom w:val="nil"/>
              <w:right w:val="nil"/>
            </w:tcBorders>
            <w:shd w:val="clear" w:color="auto" w:fill="auto"/>
            <w:noWrap/>
            <w:vAlign w:val="center"/>
            <w:hideMark/>
          </w:tcPr>
          <w:p w14:paraId="650E421A"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-1.216</w:t>
            </w:r>
          </w:p>
        </w:tc>
        <w:tc>
          <w:tcPr>
            <w:tcW w:w="465" w:type="dxa"/>
            <w:tcBorders>
              <w:top w:val="single" w:sz="8" w:space="0" w:color="auto"/>
              <w:left w:val="nil"/>
              <w:bottom w:val="nil"/>
              <w:right w:val="nil"/>
            </w:tcBorders>
            <w:shd w:val="clear" w:color="auto" w:fill="auto"/>
            <w:noWrap/>
            <w:vAlign w:val="center"/>
            <w:hideMark/>
          </w:tcPr>
          <w:p w14:paraId="6F0AC2A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356" w:type="dxa"/>
            <w:tcBorders>
              <w:top w:val="single" w:sz="8" w:space="0" w:color="auto"/>
              <w:left w:val="single" w:sz="8" w:space="0" w:color="auto"/>
              <w:bottom w:val="nil"/>
              <w:right w:val="nil"/>
            </w:tcBorders>
            <w:shd w:val="clear" w:color="auto" w:fill="auto"/>
            <w:noWrap/>
            <w:vAlign w:val="center"/>
            <w:hideMark/>
          </w:tcPr>
          <w:p w14:paraId="0ADA470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-0.72%</w:t>
            </w:r>
          </w:p>
        </w:tc>
        <w:tc>
          <w:tcPr>
            <w:tcW w:w="830" w:type="dxa"/>
            <w:tcBorders>
              <w:top w:val="single" w:sz="8" w:space="0" w:color="auto"/>
              <w:left w:val="nil"/>
              <w:bottom w:val="nil"/>
              <w:right w:val="nil"/>
            </w:tcBorders>
            <w:shd w:val="clear" w:color="auto" w:fill="auto"/>
            <w:noWrap/>
            <w:vAlign w:val="center"/>
            <w:hideMark/>
          </w:tcPr>
          <w:p w14:paraId="72E3A098"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-0.710</w:t>
            </w:r>
          </w:p>
        </w:tc>
        <w:tc>
          <w:tcPr>
            <w:tcW w:w="352" w:type="dxa"/>
            <w:tcBorders>
              <w:top w:val="single" w:sz="8" w:space="0" w:color="auto"/>
              <w:left w:val="nil"/>
              <w:bottom w:val="nil"/>
              <w:right w:val="nil"/>
            </w:tcBorders>
            <w:shd w:val="clear" w:color="auto" w:fill="auto"/>
            <w:noWrap/>
            <w:vAlign w:val="center"/>
            <w:hideMark/>
          </w:tcPr>
          <w:p w14:paraId="2194EB3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830" w:type="dxa"/>
            <w:tcBorders>
              <w:top w:val="single" w:sz="8" w:space="0" w:color="auto"/>
              <w:left w:val="nil"/>
              <w:bottom w:val="nil"/>
              <w:right w:val="nil"/>
            </w:tcBorders>
            <w:shd w:val="clear" w:color="auto" w:fill="auto"/>
            <w:noWrap/>
            <w:vAlign w:val="center"/>
            <w:hideMark/>
          </w:tcPr>
          <w:p w14:paraId="6911857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-0.204</w:t>
            </w:r>
          </w:p>
        </w:tc>
        <w:tc>
          <w:tcPr>
            <w:tcW w:w="352" w:type="dxa"/>
            <w:tcBorders>
              <w:top w:val="single" w:sz="8" w:space="0" w:color="auto"/>
              <w:left w:val="nil"/>
              <w:bottom w:val="nil"/>
              <w:right w:val="single" w:sz="8" w:space="0" w:color="auto"/>
            </w:tcBorders>
            <w:shd w:val="clear" w:color="auto" w:fill="auto"/>
            <w:noWrap/>
            <w:vAlign w:val="center"/>
            <w:hideMark/>
          </w:tcPr>
          <w:p w14:paraId="6039D4D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604165C6" w14:textId="77777777" w:rsidTr="0013260B">
        <w:trPr>
          <w:trHeight w:val="255"/>
        </w:trPr>
        <w:tc>
          <w:tcPr>
            <w:tcW w:w="1251" w:type="dxa"/>
            <w:tcBorders>
              <w:top w:val="nil"/>
              <w:left w:val="single" w:sz="8" w:space="0" w:color="auto"/>
              <w:bottom w:val="nil"/>
              <w:right w:val="single" w:sz="8" w:space="0" w:color="auto"/>
            </w:tcBorders>
            <w:shd w:val="clear" w:color="auto" w:fill="auto"/>
            <w:noWrap/>
            <w:vAlign w:val="center"/>
            <w:hideMark/>
          </w:tcPr>
          <w:p w14:paraId="10253A19"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 -10 to t+10</w:t>
            </w:r>
          </w:p>
        </w:tc>
        <w:tc>
          <w:tcPr>
            <w:tcW w:w="1256" w:type="dxa"/>
            <w:tcBorders>
              <w:top w:val="nil"/>
              <w:left w:val="nil"/>
              <w:bottom w:val="nil"/>
              <w:right w:val="nil"/>
            </w:tcBorders>
            <w:shd w:val="clear" w:color="auto" w:fill="auto"/>
            <w:noWrap/>
            <w:vAlign w:val="center"/>
            <w:hideMark/>
          </w:tcPr>
          <w:p w14:paraId="7F3286F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4.63%</w:t>
            </w:r>
          </w:p>
        </w:tc>
        <w:tc>
          <w:tcPr>
            <w:tcW w:w="767" w:type="dxa"/>
            <w:tcBorders>
              <w:top w:val="nil"/>
              <w:left w:val="nil"/>
              <w:bottom w:val="nil"/>
              <w:right w:val="nil"/>
            </w:tcBorders>
            <w:shd w:val="clear" w:color="auto" w:fill="auto"/>
            <w:noWrap/>
            <w:vAlign w:val="center"/>
            <w:hideMark/>
          </w:tcPr>
          <w:p w14:paraId="50702F7B"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1.089</w:t>
            </w:r>
          </w:p>
        </w:tc>
        <w:tc>
          <w:tcPr>
            <w:tcW w:w="465" w:type="dxa"/>
            <w:tcBorders>
              <w:top w:val="nil"/>
              <w:left w:val="nil"/>
              <w:bottom w:val="nil"/>
              <w:right w:val="nil"/>
            </w:tcBorders>
            <w:shd w:val="clear" w:color="auto" w:fill="auto"/>
            <w:noWrap/>
            <w:vAlign w:val="center"/>
            <w:hideMark/>
          </w:tcPr>
          <w:p w14:paraId="7ADA70CD"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292650A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1.087</w:t>
            </w:r>
          </w:p>
        </w:tc>
        <w:tc>
          <w:tcPr>
            <w:tcW w:w="465" w:type="dxa"/>
            <w:tcBorders>
              <w:top w:val="nil"/>
              <w:left w:val="nil"/>
              <w:bottom w:val="nil"/>
              <w:right w:val="nil"/>
            </w:tcBorders>
            <w:shd w:val="clear" w:color="auto" w:fill="auto"/>
            <w:noWrap/>
            <w:vAlign w:val="center"/>
            <w:hideMark/>
          </w:tcPr>
          <w:p w14:paraId="3DEFD02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34126E8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2.80%</w:t>
            </w:r>
          </w:p>
        </w:tc>
        <w:tc>
          <w:tcPr>
            <w:tcW w:w="767" w:type="dxa"/>
            <w:tcBorders>
              <w:top w:val="nil"/>
              <w:left w:val="nil"/>
              <w:bottom w:val="nil"/>
              <w:right w:val="nil"/>
            </w:tcBorders>
            <w:shd w:val="clear" w:color="auto" w:fill="auto"/>
            <w:noWrap/>
            <w:vAlign w:val="center"/>
            <w:hideMark/>
          </w:tcPr>
          <w:p w14:paraId="4227B1A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0.805</w:t>
            </w:r>
          </w:p>
        </w:tc>
        <w:tc>
          <w:tcPr>
            <w:tcW w:w="465" w:type="dxa"/>
            <w:tcBorders>
              <w:top w:val="nil"/>
              <w:left w:val="nil"/>
              <w:bottom w:val="nil"/>
              <w:right w:val="nil"/>
            </w:tcBorders>
            <w:shd w:val="clear" w:color="auto" w:fill="auto"/>
            <w:noWrap/>
            <w:vAlign w:val="center"/>
            <w:hideMark/>
          </w:tcPr>
          <w:p w14:paraId="07D7F1E6"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0267B2F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0.577</w:t>
            </w:r>
          </w:p>
        </w:tc>
        <w:tc>
          <w:tcPr>
            <w:tcW w:w="465" w:type="dxa"/>
            <w:tcBorders>
              <w:top w:val="nil"/>
              <w:left w:val="nil"/>
              <w:bottom w:val="nil"/>
              <w:right w:val="nil"/>
            </w:tcBorders>
            <w:shd w:val="clear" w:color="auto" w:fill="auto"/>
            <w:noWrap/>
            <w:vAlign w:val="center"/>
            <w:hideMark/>
          </w:tcPr>
          <w:p w14:paraId="5F48655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356" w:type="dxa"/>
            <w:tcBorders>
              <w:top w:val="nil"/>
              <w:left w:val="single" w:sz="8" w:space="0" w:color="auto"/>
              <w:bottom w:val="nil"/>
              <w:right w:val="nil"/>
            </w:tcBorders>
            <w:shd w:val="clear" w:color="auto" w:fill="auto"/>
            <w:noWrap/>
            <w:vAlign w:val="center"/>
            <w:hideMark/>
          </w:tcPr>
          <w:p w14:paraId="7765D297"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-5.25%</w:t>
            </w:r>
          </w:p>
        </w:tc>
        <w:tc>
          <w:tcPr>
            <w:tcW w:w="830" w:type="dxa"/>
            <w:tcBorders>
              <w:top w:val="nil"/>
              <w:left w:val="nil"/>
              <w:bottom w:val="nil"/>
              <w:right w:val="nil"/>
            </w:tcBorders>
            <w:shd w:val="clear" w:color="auto" w:fill="auto"/>
            <w:noWrap/>
            <w:vAlign w:val="center"/>
            <w:hideMark/>
          </w:tcPr>
          <w:p w14:paraId="184CDCF9"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-1.607</w:t>
            </w:r>
          </w:p>
        </w:tc>
        <w:tc>
          <w:tcPr>
            <w:tcW w:w="352" w:type="dxa"/>
            <w:tcBorders>
              <w:top w:val="nil"/>
              <w:left w:val="nil"/>
              <w:bottom w:val="nil"/>
              <w:right w:val="nil"/>
            </w:tcBorders>
            <w:shd w:val="clear" w:color="auto" w:fill="auto"/>
            <w:noWrap/>
            <w:vAlign w:val="center"/>
            <w:hideMark/>
          </w:tcPr>
          <w:p w14:paraId="57C6088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63414B1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-1.382</w:t>
            </w:r>
          </w:p>
        </w:tc>
        <w:tc>
          <w:tcPr>
            <w:tcW w:w="352" w:type="dxa"/>
            <w:tcBorders>
              <w:top w:val="nil"/>
              <w:left w:val="nil"/>
              <w:bottom w:val="nil"/>
              <w:right w:val="single" w:sz="8" w:space="0" w:color="auto"/>
            </w:tcBorders>
            <w:shd w:val="clear" w:color="auto" w:fill="auto"/>
            <w:noWrap/>
            <w:vAlign w:val="center"/>
            <w:hideMark/>
          </w:tcPr>
          <w:p w14:paraId="5AEA0EA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r w:rsidR="0013260B" w:rsidRPr="0013260B" w14:paraId="38B4002F" w14:textId="77777777" w:rsidTr="0013260B">
        <w:trPr>
          <w:trHeight w:val="255"/>
        </w:trPr>
        <w:tc>
          <w:tcPr>
            <w:tcW w:w="1251" w:type="dxa"/>
            <w:tcBorders>
              <w:top w:val="nil"/>
              <w:left w:val="single" w:sz="8" w:space="0" w:color="auto"/>
              <w:bottom w:val="nil"/>
              <w:right w:val="single" w:sz="8" w:space="0" w:color="auto"/>
            </w:tcBorders>
            <w:shd w:val="clear" w:color="auto" w:fill="auto"/>
            <w:noWrap/>
            <w:vAlign w:val="center"/>
            <w:hideMark/>
          </w:tcPr>
          <w:p w14:paraId="47EA4AD9"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t-10 to t-2</w:t>
            </w:r>
          </w:p>
        </w:tc>
        <w:tc>
          <w:tcPr>
            <w:tcW w:w="1256" w:type="dxa"/>
            <w:tcBorders>
              <w:top w:val="nil"/>
              <w:left w:val="nil"/>
              <w:bottom w:val="nil"/>
              <w:right w:val="nil"/>
            </w:tcBorders>
            <w:shd w:val="clear" w:color="auto" w:fill="auto"/>
            <w:noWrap/>
            <w:vAlign w:val="center"/>
            <w:hideMark/>
          </w:tcPr>
          <w:p w14:paraId="0246529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-0.27%</w:t>
            </w:r>
          </w:p>
        </w:tc>
        <w:tc>
          <w:tcPr>
            <w:tcW w:w="767" w:type="dxa"/>
            <w:tcBorders>
              <w:top w:val="nil"/>
              <w:left w:val="nil"/>
              <w:bottom w:val="nil"/>
              <w:right w:val="nil"/>
            </w:tcBorders>
            <w:shd w:val="clear" w:color="auto" w:fill="auto"/>
            <w:noWrap/>
            <w:vAlign w:val="center"/>
            <w:hideMark/>
          </w:tcPr>
          <w:p w14:paraId="5EDAD93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-0.106</w:t>
            </w:r>
          </w:p>
        </w:tc>
        <w:tc>
          <w:tcPr>
            <w:tcW w:w="465" w:type="dxa"/>
            <w:tcBorders>
              <w:top w:val="nil"/>
              <w:left w:val="nil"/>
              <w:bottom w:val="nil"/>
              <w:right w:val="nil"/>
            </w:tcBorders>
            <w:shd w:val="clear" w:color="auto" w:fill="auto"/>
            <w:noWrap/>
            <w:vAlign w:val="center"/>
            <w:hideMark/>
          </w:tcPr>
          <w:p w14:paraId="0CCD2BC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3615D66D"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0.225</w:t>
            </w:r>
          </w:p>
        </w:tc>
        <w:tc>
          <w:tcPr>
            <w:tcW w:w="465" w:type="dxa"/>
            <w:tcBorders>
              <w:top w:val="nil"/>
              <w:left w:val="nil"/>
              <w:bottom w:val="nil"/>
              <w:right w:val="nil"/>
            </w:tcBorders>
            <w:shd w:val="clear" w:color="auto" w:fill="auto"/>
            <w:noWrap/>
            <w:vAlign w:val="center"/>
            <w:hideMark/>
          </w:tcPr>
          <w:p w14:paraId="7ECFD89A"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1256" w:type="dxa"/>
            <w:tcBorders>
              <w:top w:val="nil"/>
              <w:left w:val="single" w:sz="8" w:space="0" w:color="auto"/>
              <w:bottom w:val="nil"/>
              <w:right w:val="nil"/>
            </w:tcBorders>
            <w:shd w:val="clear" w:color="auto" w:fill="auto"/>
            <w:noWrap/>
            <w:vAlign w:val="center"/>
            <w:hideMark/>
          </w:tcPr>
          <w:p w14:paraId="06B5975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2.74%</w:t>
            </w:r>
          </w:p>
        </w:tc>
        <w:tc>
          <w:tcPr>
            <w:tcW w:w="767" w:type="dxa"/>
            <w:tcBorders>
              <w:top w:val="nil"/>
              <w:left w:val="nil"/>
              <w:bottom w:val="nil"/>
              <w:right w:val="nil"/>
            </w:tcBorders>
            <w:shd w:val="clear" w:color="auto" w:fill="auto"/>
            <w:noWrap/>
            <w:vAlign w:val="center"/>
            <w:hideMark/>
          </w:tcPr>
          <w:p w14:paraId="7F7AAC34"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1.317</w:t>
            </w:r>
          </w:p>
        </w:tc>
        <w:tc>
          <w:tcPr>
            <w:tcW w:w="465" w:type="dxa"/>
            <w:tcBorders>
              <w:top w:val="nil"/>
              <w:left w:val="nil"/>
              <w:bottom w:val="nil"/>
              <w:right w:val="nil"/>
            </w:tcBorders>
            <w:shd w:val="clear" w:color="auto" w:fill="auto"/>
            <w:noWrap/>
            <w:vAlign w:val="center"/>
            <w:hideMark/>
          </w:tcPr>
          <w:p w14:paraId="202D466C"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767" w:type="dxa"/>
            <w:tcBorders>
              <w:top w:val="nil"/>
              <w:left w:val="nil"/>
              <w:bottom w:val="nil"/>
              <w:right w:val="nil"/>
            </w:tcBorders>
            <w:shd w:val="clear" w:color="auto" w:fill="auto"/>
            <w:noWrap/>
            <w:vAlign w:val="center"/>
            <w:hideMark/>
          </w:tcPr>
          <w:p w14:paraId="03F356B5"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1.733</w:t>
            </w:r>
          </w:p>
        </w:tc>
        <w:tc>
          <w:tcPr>
            <w:tcW w:w="465" w:type="dxa"/>
            <w:tcBorders>
              <w:top w:val="nil"/>
              <w:left w:val="nil"/>
              <w:bottom w:val="nil"/>
              <w:right w:val="nil"/>
            </w:tcBorders>
            <w:shd w:val="clear" w:color="auto" w:fill="auto"/>
            <w:noWrap/>
            <w:vAlign w:val="center"/>
            <w:hideMark/>
          </w:tcPr>
          <w:p w14:paraId="29521D72"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c>
          <w:tcPr>
            <w:tcW w:w="1356" w:type="dxa"/>
            <w:tcBorders>
              <w:top w:val="nil"/>
              <w:left w:val="single" w:sz="8" w:space="0" w:color="auto"/>
              <w:bottom w:val="nil"/>
              <w:right w:val="nil"/>
            </w:tcBorders>
            <w:shd w:val="clear" w:color="auto" w:fill="auto"/>
            <w:noWrap/>
            <w:vAlign w:val="center"/>
            <w:hideMark/>
          </w:tcPr>
          <w:p w14:paraId="4E406106"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-2.28%</w:t>
            </w:r>
          </w:p>
        </w:tc>
        <w:tc>
          <w:tcPr>
            <w:tcW w:w="830" w:type="dxa"/>
            <w:tcBorders>
              <w:top w:val="nil"/>
              <w:left w:val="nil"/>
              <w:bottom w:val="nil"/>
              <w:right w:val="nil"/>
            </w:tcBorders>
            <w:shd w:val="clear" w:color="auto" w:fill="auto"/>
            <w:noWrap/>
            <w:vAlign w:val="center"/>
            <w:hideMark/>
          </w:tcPr>
          <w:p w14:paraId="16D70F6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-1.159</w:t>
            </w:r>
          </w:p>
        </w:tc>
        <w:tc>
          <w:tcPr>
            <w:tcW w:w="352" w:type="dxa"/>
            <w:tcBorders>
              <w:top w:val="nil"/>
              <w:left w:val="nil"/>
              <w:bottom w:val="nil"/>
              <w:right w:val="nil"/>
            </w:tcBorders>
            <w:shd w:val="clear" w:color="auto" w:fill="auto"/>
            <w:noWrap/>
            <w:vAlign w:val="center"/>
            <w:hideMark/>
          </w:tcPr>
          <w:p w14:paraId="5375BACD"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p>
        </w:tc>
        <w:tc>
          <w:tcPr>
            <w:tcW w:w="830" w:type="dxa"/>
            <w:tcBorders>
              <w:top w:val="nil"/>
              <w:left w:val="nil"/>
              <w:bottom w:val="nil"/>
              <w:right w:val="nil"/>
            </w:tcBorders>
            <w:shd w:val="clear" w:color="auto" w:fill="auto"/>
            <w:noWrap/>
            <w:vAlign w:val="center"/>
            <w:hideMark/>
          </w:tcPr>
          <w:p w14:paraId="668C3E0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-1.808</w:t>
            </w:r>
          </w:p>
        </w:tc>
        <w:tc>
          <w:tcPr>
            <w:tcW w:w="352" w:type="dxa"/>
            <w:tcBorders>
              <w:top w:val="nil"/>
              <w:left w:val="nil"/>
              <w:bottom w:val="nil"/>
              <w:right w:val="single" w:sz="8" w:space="0" w:color="auto"/>
            </w:tcBorders>
            <w:shd w:val="clear" w:color="auto" w:fill="auto"/>
            <w:noWrap/>
            <w:vAlign w:val="center"/>
            <w:hideMark/>
          </w:tcPr>
          <w:p w14:paraId="2D33D661"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w:t>
            </w:r>
          </w:p>
        </w:tc>
      </w:tr>
      <w:tr w:rsidR="0013260B" w:rsidRPr="0013260B" w14:paraId="18AE1E53" w14:textId="77777777" w:rsidTr="0013260B">
        <w:trPr>
          <w:trHeight w:val="255"/>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C77E6B6" w14:textId="77777777" w:rsidR="0013260B" w:rsidRPr="0013260B" w:rsidRDefault="0013260B" w:rsidP="0013260B">
            <w:pPr>
              <w:spacing w:after="0" w:line="240" w:lineRule="auto"/>
              <w:rPr>
                <w:rFonts w:ascii="Times New Roman" w:eastAsia="Times New Roman" w:hAnsi="Times New Roman" w:cs="Times New Roman"/>
                <w:i/>
                <w:iCs/>
                <w:color w:val="000000"/>
                <w:sz w:val="20"/>
                <w:szCs w:val="20"/>
                <w:lang w:eastAsia="en-AU"/>
              </w:rPr>
            </w:pPr>
            <w:r w:rsidRPr="0013260B">
              <w:rPr>
                <w:rFonts w:ascii="Times New Roman" w:eastAsia="Times New Roman" w:hAnsi="Times New Roman" w:cs="Times New Roman"/>
                <w:i/>
                <w:iCs/>
                <w:color w:val="000000"/>
                <w:sz w:val="20"/>
                <w:szCs w:val="20"/>
                <w:lang w:val="en-US" w:eastAsia="en-AU"/>
              </w:rPr>
              <w:t>t+2 to t+10</w:t>
            </w:r>
          </w:p>
        </w:tc>
        <w:tc>
          <w:tcPr>
            <w:tcW w:w="1256" w:type="dxa"/>
            <w:tcBorders>
              <w:top w:val="nil"/>
              <w:left w:val="nil"/>
              <w:bottom w:val="single" w:sz="8" w:space="0" w:color="auto"/>
              <w:right w:val="nil"/>
            </w:tcBorders>
            <w:shd w:val="clear" w:color="auto" w:fill="auto"/>
            <w:noWrap/>
            <w:vAlign w:val="center"/>
            <w:hideMark/>
          </w:tcPr>
          <w:p w14:paraId="4EDAB39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2.51%</w:t>
            </w:r>
          </w:p>
        </w:tc>
        <w:tc>
          <w:tcPr>
            <w:tcW w:w="767" w:type="dxa"/>
            <w:tcBorders>
              <w:top w:val="nil"/>
              <w:left w:val="nil"/>
              <w:bottom w:val="single" w:sz="8" w:space="0" w:color="auto"/>
              <w:right w:val="nil"/>
            </w:tcBorders>
            <w:shd w:val="clear" w:color="auto" w:fill="auto"/>
            <w:noWrap/>
            <w:vAlign w:val="center"/>
            <w:hideMark/>
          </w:tcPr>
          <w:p w14:paraId="3727F82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0.932</w:t>
            </w:r>
          </w:p>
        </w:tc>
        <w:tc>
          <w:tcPr>
            <w:tcW w:w="465" w:type="dxa"/>
            <w:tcBorders>
              <w:top w:val="nil"/>
              <w:left w:val="nil"/>
              <w:bottom w:val="single" w:sz="8" w:space="0" w:color="auto"/>
              <w:right w:val="nil"/>
            </w:tcBorders>
            <w:shd w:val="clear" w:color="auto" w:fill="auto"/>
            <w:noWrap/>
            <w:vAlign w:val="center"/>
            <w:hideMark/>
          </w:tcPr>
          <w:p w14:paraId="1366C8C8"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single" w:sz="8" w:space="0" w:color="auto"/>
              <w:right w:val="nil"/>
            </w:tcBorders>
            <w:shd w:val="clear" w:color="auto" w:fill="auto"/>
            <w:noWrap/>
            <w:vAlign w:val="center"/>
            <w:hideMark/>
          </w:tcPr>
          <w:p w14:paraId="69315C5F"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0.982</w:t>
            </w:r>
          </w:p>
        </w:tc>
        <w:tc>
          <w:tcPr>
            <w:tcW w:w="465" w:type="dxa"/>
            <w:tcBorders>
              <w:top w:val="nil"/>
              <w:left w:val="nil"/>
              <w:bottom w:val="single" w:sz="8" w:space="0" w:color="auto"/>
              <w:right w:val="nil"/>
            </w:tcBorders>
            <w:shd w:val="clear" w:color="auto" w:fill="auto"/>
            <w:noWrap/>
            <w:vAlign w:val="center"/>
            <w:hideMark/>
          </w:tcPr>
          <w:p w14:paraId="25B19FCD"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256" w:type="dxa"/>
            <w:tcBorders>
              <w:top w:val="nil"/>
              <w:left w:val="single" w:sz="8" w:space="0" w:color="auto"/>
              <w:bottom w:val="single" w:sz="8" w:space="0" w:color="auto"/>
              <w:right w:val="nil"/>
            </w:tcBorders>
            <w:shd w:val="clear" w:color="auto" w:fill="auto"/>
            <w:noWrap/>
            <w:vAlign w:val="center"/>
            <w:hideMark/>
          </w:tcPr>
          <w:p w14:paraId="2A4C358B"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0.85%</w:t>
            </w:r>
          </w:p>
        </w:tc>
        <w:tc>
          <w:tcPr>
            <w:tcW w:w="767" w:type="dxa"/>
            <w:tcBorders>
              <w:top w:val="nil"/>
              <w:left w:val="nil"/>
              <w:bottom w:val="single" w:sz="8" w:space="0" w:color="auto"/>
              <w:right w:val="nil"/>
            </w:tcBorders>
            <w:shd w:val="clear" w:color="auto" w:fill="auto"/>
            <w:noWrap/>
            <w:vAlign w:val="center"/>
            <w:hideMark/>
          </w:tcPr>
          <w:p w14:paraId="48AEE691"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0.383</w:t>
            </w:r>
          </w:p>
        </w:tc>
        <w:tc>
          <w:tcPr>
            <w:tcW w:w="465" w:type="dxa"/>
            <w:tcBorders>
              <w:top w:val="nil"/>
              <w:left w:val="nil"/>
              <w:bottom w:val="single" w:sz="8" w:space="0" w:color="auto"/>
              <w:right w:val="nil"/>
            </w:tcBorders>
            <w:shd w:val="clear" w:color="auto" w:fill="auto"/>
            <w:noWrap/>
            <w:vAlign w:val="center"/>
            <w:hideMark/>
          </w:tcPr>
          <w:p w14:paraId="78D0370B"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767" w:type="dxa"/>
            <w:tcBorders>
              <w:top w:val="nil"/>
              <w:left w:val="nil"/>
              <w:bottom w:val="single" w:sz="8" w:space="0" w:color="auto"/>
              <w:right w:val="nil"/>
            </w:tcBorders>
            <w:shd w:val="clear" w:color="auto" w:fill="auto"/>
            <w:noWrap/>
            <w:vAlign w:val="center"/>
            <w:hideMark/>
          </w:tcPr>
          <w:p w14:paraId="66DC9030"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0.459</w:t>
            </w:r>
          </w:p>
        </w:tc>
        <w:tc>
          <w:tcPr>
            <w:tcW w:w="465" w:type="dxa"/>
            <w:tcBorders>
              <w:top w:val="nil"/>
              <w:left w:val="nil"/>
              <w:bottom w:val="single" w:sz="8" w:space="0" w:color="auto"/>
              <w:right w:val="nil"/>
            </w:tcBorders>
            <w:shd w:val="clear" w:color="auto" w:fill="auto"/>
            <w:noWrap/>
            <w:vAlign w:val="center"/>
            <w:hideMark/>
          </w:tcPr>
          <w:p w14:paraId="3694708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1356" w:type="dxa"/>
            <w:tcBorders>
              <w:top w:val="nil"/>
              <w:left w:val="single" w:sz="8" w:space="0" w:color="auto"/>
              <w:bottom w:val="single" w:sz="8" w:space="0" w:color="auto"/>
              <w:right w:val="nil"/>
            </w:tcBorders>
            <w:shd w:val="clear" w:color="auto" w:fill="auto"/>
            <w:noWrap/>
            <w:vAlign w:val="center"/>
            <w:hideMark/>
          </w:tcPr>
          <w:p w14:paraId="77AEDFBC"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-2.25%</w:t>
            </w:r>
          </w:p>
        </w:tc>
        <w:tc>
          <w:tcPr>
            <w:tcW w:w="830" w:type="dxa"/>
            <w:tcBorders>
              <w:top w:val="nil"/>
              <w:left w:val="nil"/>
              <w:bottom w:val="single" w:sz="8" w:space="0" w:color="auto"/>
              <w:right w:val="nil"/>
            </w:tcBorders>
            <w:shd w:val="clear" w:color="auto" w:fill="auto"/>
            <w:noWrap/>
            <w:vAlign w:val="center"/>
            <w:hideMark/>
          </w:tcPr>
          <w:p w14:paraId="0ACA1B92"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-1.082</w:t>
            </w:r>
          </w:p>
        </w:tc>
        <w:tc>
          <w:tcPr>
            <w:tcW w:w="352" w:type="dxa"/>
            <w:tcBorders>
              <w:top w:val="nil"/>
              <w:left w:val="nil"/>
              <w:bottom w:val="single" w:sz="8" w:space="0" w:color="auto"/>
              <w:right w:val="nil"/>
            </w:tcBorders>
            <w:shd w:val="clear" w:color="auto" w:fill="auto"/>
            <w:noWrap/>
            <w:vAlign w:val="center"/>
            <w:hideMark/>
          </w:tcPr>
          <w:p w14:paraId="069075A7"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c>
          <w:tcPr>
            <w:tcW w:w="830" w:type="dxa"/>
            <w:tcBorders>
              <w:top w:val="nil"/>
              <w:left w:val="nil"/>
              <w:bottom w:val="single" w:sz="8" w:space="0" w:color="auto"/>
              <w:right w:val="nil"/>
            </w:tcBorders>
            <w:shd w:val="clear" w:color="auto" w:fill="auto"/>
            <w:noWrap/>
            <w:vAlign w:val="center"/>
            <w:hideMark/>
          </w:tcPr>
          <w:p w14:paraId="6EFE3153" w14:textId="77777777" w:rsidR="0013260B" w:rsidRPr="0013260B" w:rsidRDefault="0013260B" w:rsidP="0013260B">
            <w:pPr>
              <w:spacing w:after="0" w:line="240" w:lineRule="auto"/>
              <w:jc w:val="right"/>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-1.190</w:t>
            </w:r>
          </w:p>
        </w:tc>
        <w:tc>
          <w:tcPr>
            <w:tcW w:w="352" w:type="dxa"/>
            <w:tcBorders>
              <w:top w:val="nil"/>
              <w:left w:val="nil"/>
              <w:bottom w:val="single" w:sz="8" w:space="0" w:color="auto"/>
              <w:right w:val="single" w:sz="8" w:space="0" w:color="auto"/>
            </w:tcBorders>
            <w:shd w:val="clear" w:color="auto" w:fill="auto"/>
            <w:noWrap/>
            <w:vAlign w:val="center"/>
            <w:hideMark/>
          </w:tcPr>
          <w:p w14:paraId="28B73D0F" w14:textId="77777777" w:rsidR="0013260B" w:rsidRPr="0013260B" w:rsidRDefault="0013260B" w:rsidP="0013260B">
            <w:pPr>
              <w:spacing w:after="0" w:line="240" w:lineRule="auto"/>
              <w:rPr>
                <w:rFonts w:ascii="Times New Roman" w:eastAsia="Times New Roman" w:hAnsi="Times New Roman" w:cs="Times New Roman"/>
                <w:color w:val="000000"/>
                <w:sz w:val="20"/>
                <w:szCs w:val="20"/>
                <w:lang w:eastAsia="en-AU"/>
              </w:rPr>
            </w:pPr>
            <w:r w:rsidRPr="0013260B">
              <w:rPr>
                <w:rFonts w:ascii="Times New Roman" w:eastAsia="Times New Roman" w:hAnsi="Times New Roman" w:cs="Times New Roman"/>
                <w:color w:val="000000"/>
                <w:sz w:val="20"/>
                <w:szCs w:val="20"/>
                <w:lang w:eastAsia="en-AU"/>
              </w:rPr>
              <w:t> </w:t>
            </w:r>
          </w:p>
        </w:tc>
      </w:tr>
    </w:tbl>
    <w:p w14:paraId="7BCD4C5C" w14:textId="7AAAD308" w:rsidR="00BC26A7" w:rsidRDefault="00D92911" w:rsidP="00D4489B">
      <w:pPr>
        <w:spacing w:after="0" w:line="240" w:lineRule="auto"/>
        <w:jc w:val="both"/>
        <w:rPr>
          <w:rFonts w:ascii="Times New Roman" w:eastAsia="MS Mincho" w:hAnsi="Times New Roman" w:cs="Times New Roman"/>
          <w:sz w:val="20"/>
          <w:szCs w:val="20"/>
          <w:lang w:val="en-NZ" w:eastAsia="ja-JP"/>
        </w:rPr>
      </w:pPr>
      <w:r w:rsidRPr="00D92911">
        <w:rPr>
          <w:rFonts w:ascii="Times New Roman" w:hAnsi="Times New Roman"/>
          <w:sz w:val="20"/>
          <w:szCs w:val="20"/>
        </w:rPr>
        <w:t xml:space="preserve">Table </w:t>
      </w:r>
      <w:r w:rsidR="00305B45">
        <w:rPr>
          <w:rFonts w:ascii="Times New Roman" w:hAnsi="Times New Roman"/>
          <w:sz w:val="20"/>
          <w:szCs w:val="20"/>
        </w:rPr>
        <w:t xml:space="preserve">4 </w:t>
      </w:r>
      <w:r w:rsidRPr="00CF0CD6">
        <w:rPr>
          <w:rFonts w:ascii="Times New Roman" w:hAnsi="Times New Roman"/>
          <w:sz w:val="20"/>
          <w:szCs w:val="20"/>
        </w:rPr>
        <w:t xml:space="preserve">presents </w:t>
      </w:r>
      <w:r w:rsidR="00D004D2" w:rsidRPr="00CF0CD6">
        <w:rPr>
          <w:rFonts w:ascii="Times New Roman" w:eastAsia="MS Mincho" w:hAnsi="Times New Roman" w:cs="Times New Roman"/>
          <w:sz w:val="20"/>
          <w:szCs w:val="20"/>
          <w:lang w:val="en-NZ" w:eastAsia="ja-JP"/>
        </w:rPr>
        <w:t>S</w:t>
      </w:r>
      <w:r w:rsidRPr="00CF0CD6">
        <w:rPr>
          <w:rFonts w:ascii="Times New Roman" w:eastAsia="MS Mincho" w:hAnsi="Times New Roman" w:cs="Times New Roman"/>
          <w:sz w:val="20"/>
          <w:szCs w:val="20"/>
          <w:lang w:val="en-NZ" w:eastAsia="ja-JP"/>
        </w:rPr>
        <w:t xml:space="preserve">tudent </w:t>
      </w:r>
      <w:r w:rsidRPr="00CF0CD6">
        <w:rPr>
          <w:rFonts w:ascii="Times New Roman" w:eastAsia="MS Mincho" w:hAnsi="Times New Roman" w:cs="Times New Roman"/>
          <w:i/>
          <w:sz w:val="20"/>
          <w:szCs w:val="20"/>
          <w:lang w:val="en-NZ" w:eastAsia="ja-JP"/>
        </w:rPr>
        <w:t>t</w:t>
      </w:r>
      <w:r w:rsidRPr="00CF0CD6">
        <w:rPr>
          <w:rFonts w:ascii="Times New Roman" w:eastAsia="MS Mincho" w:hAnsi="Times New Roman" w:cs="Times New Roman"/>
          <w:sz w:val="20"/>
          <w:szCs w:val="20"/>
          <w:lang w:val="en-NZ" w:eastAsia="ja-JP"/>
        </w:rPr>
        <w:t xml:space="preserve">-tests and </w:t>
      </w:r>
      <w:r w:rsidR="00E729C2" w:rsidRPr="00CF0CD6">
        <w:rPr>
          <w:rFonts w:ascii="Times New Roman" w:eastAsia="MS Mincho" w:hAnsi="Times New Roman" w:cs="Times New Roman"/>
          <w:sz w:val="20"/>
          <w:szCs w:val="20"/>
          <w:lang w:val="en-NZ" w:eastAsia="ja-JP"/>
        </w:rPr>
        <w:t>Mann-</w:t>
      </w:r>
      <w:r w:rsidRPr="00CF0CD6">
        <w:rPr>
          <w:rFonts w:ascii="Times New Roman" w:eastAsia="MS Mincho" w:hAnsi="Times New Roman" w:cs="Times New Roman"/>
          <w:sz w:val="20"/>
          <w:szCs w:val="20"/>
          <w:lang w:val="en-NZ" w:eastAsia="ja-JP"/>
        </w:rPr>
        <w:t>Whitney</w:t>
      </w:r>
      <w:r w:rsidR="00E729C2" w:rsidRPr="00CF0CD6">
        <w:rPr>
          <w:rFonts w:ascii="Times New Roman" w:eastAsia="MS Mincho" w:hAnsi="Times New Roman" w:cs="Times New Roman"/>
          <w:sz w:val="20"/>
          <w:szCs w:val="20"/>
          <w:lang w:val="en-NZ" w:eastAsia="ja-JP"/>
        </w:rPr>
        <w:t xml:space="preserve"> </w:t>
      </w:r>
      <w:r w:rsidR="00E729C2" w:rsidRPr="00561DAB">
        <w:rPr>
          <w:rFonts w:ascii="Times New Roman" w:eastAsia="MS Mincho" w:hAnsi="Times New Roman" w:cs="Times New Roman"/>
          <w:i/>
          <w:sz w:val="20"/>
          <w:szCs w:val="20"/>
          <w:lang w:val="en-NZ" w:eastAsia="ja-JP"/>
        </w:rPr>
        <w:t>U</w:t>
      </w:r>
      <w:r w:rsidRPr="00CF0CD6">
        <w:rPr>
          <w:rFonts w:ascii="Times New Roman" w:eastAsia="MS Mincho" w:hAnsi="Times New Roman" w:cs="Times New Roman"/>
          <w:sz w:val="20"/>
          <w:szCs w:val="20"/>
          <w:lang w:val="en-NZ" w:eastAsia="ja-JP"/>
        </w:rPr>
        <w:t xml:space="preserve"> rank tests on differences</w:t>
      </w:r>
      <w:r w:rsidR="001A5280">
        <w:rPr>
          <w:rFonts w:ascii="Times New Roman" w:eastAsia="MS Mincho" w:hAnsi="Times New Roman" w:cs="Times New Roman"/>
          <w:sz w:val="20"/>
          <w:szCs w:val="20"/>
          <w:lang w:val="en-NZ" w:eastAsia="ja-JP"/>
        </w:rPr>
        <w:t xml:space="preserve"> in</w:t>
      </w:r>
      <w:r w:rsidRPr="00CF0CD6">
        <w:rPr>
          <w:rFonts w:ascii="Times New Roman" w:eastAsia="MS Mincho" w:hAnsi="Times New Roman" w:cs="Times New Roman"/>
          <w:sz w:val="20"/>
          <w:szCs w:val="20"/>
          <w:lang w:val="en-NZ" w:eastAsia="ja-JP"/>
        </w:rPr>
        <w:t xml:space="preserve"> the</w:t>
      </w:r>
      <w:r w:rsidR="001A5280">
        <w:rPr>
          <w:rFonts w:ascii="Times New Roman" w:eastAsia="MS Mincho" w:hAnsi="Times New Roman" w:cs="Times New Roman"/>
          <w:sz w:val="20"/>
          <w:szCs w:val="20"/>
          <w:lang w:val="en-NZ" w:eastAsia="ja-JP"/>
        </w:rPr>
        <w:t xml:space="preserve"> absolute and signed</w:t>
      </w:r>
      <w:r w:rsidRPr="00CF0CD6">
        <w:rPr>
          <w:rFonts w:ascii="Times New Roman" w:eastAsia="MS Mincho" w:hAnsi="Times New Roman" w:cs="Times New Roman"/>
          <w:sz w:val="20"/>
          <w:szCs w:val="20"/>
          <w:lang w:val="en-NZ" w:eastAsia="ja-JP"/>
        </w:rPr>
        <w:t xml:space="preserve"> </w:t>
      </w:r>
      <w:r w:rsidR="00CF0CD6" w:rsidRPr="00CF0CD6">
        <w:rPr>
          <w:rFonts w:ascii="Times New Roman" w:eastAsia="MS Mincho" w:hAnsi="Times New Roman" w:cs="Times New Roman"/>
          <w:sz w:val="20"/>
          <w:szCs w:val="20"/>
          <w:lang w:val="en-NZ" w:eastAsia="ja-JP"/>
        </w:rPr>
        <w:t>abnormal return</w:t>
      </w:r>
      <w:r w:rsidRPr="00CF0CD6">
        <w:rPr>
          <w:rFonts w:ascii="Times New Roman" w:eastAsia="MS Mincho" w:hAnsi="Times New Roman" w:cs="Times New Roman"/>
          <w:sz w:val="20"/>
          <w:szCs w:val="20"/>
          <w:lang w:val="en-NZ" w:eastAsia="ja-JP"/>
        </w:rPr>
        <w:t xml:space="preserve"> </w:t>
      </w:r>
      <w:r w:rsidR="001A5280" w:rsidRPr="00CF0CD6">
        <w:rPr>
          <w:rFonts w:ascii="Times New Roman" w:eastAsia="MS Mincho" w:hAnsi="Times New Roman" w:cs="Times New Roman"/>
          <w:sz w:val="20"/>
          <w:szCs w:val="20"/>
          <w:lang w:val="en-NZ" w:eastAsia="ja-JP"/>
        </w:rPr>
        <w:t xml:space="preserve">between </w:t>
      </w:r>
      <w:r w:rsidR="00155B9E" w:rsidRPr="00CF0CD6">
        <w:rPr>
          <w:rFonts w:ascii="Times New Roman" w:eastAsia="MS Mincho" w:hAnsi="Times New Roman" w:cs="Times New Roman"/>
          <w:sz w:val="20"/>
          <w:szCs w:val="20"/>
          <w:lang w:val="en-NZ" w:eastAsia="ja-JP"/>
        </w:rPr>
        <w:t>disclosure outlets</w:t>
      </w:r>
      <w:r w:rsidRPr="00CF0CD6">
        <w:rPr>
          <w:rFonts w:ascii="Times New Roman" w:eastAsia="MS Mincho" w:hAnsi="Times New Roman" w:cs="Times New Roman"/>
          <w:sz w:val="20"/>
          <w:szCs w:val="20"/>
          <w:lang w:val="en-NZ" w:eastAsia="ja-JP"/>
        </w:rPr>
        <w:t>. Two-tailed test of significance: *** = less than 0.01, ** = less th</w:t>
      </w:r>
      <w:r w:rsidR="00D4489B">
        <w:rPr>
          <w:rFonts w:ascii="Times New Roman" w:eastAsia="MS Mincho" w:hAnsi="Times New Roman" w:cs="Times New Roman"/>
          <w:sz w:val="20"/>
          <w:szCs w:val="20"/>
          <w:lang w:val="en-NZ" w:eastAsia="ja-JP"/>
        </w:rPr>
        <w:t>an 0 .05 and * = less than 0.1.</w:t>
      </w:r>
    </w:p>
    <w:sectPr w:rsidR="00BC26A7" w:rsidSect="005764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9F27" w14:textId="77777777" w:rsidR="00B25C69" w:rsidRDefault="00B25C69" w:rsidP="00484D27">
      <w:pPr>
        <w:spacing w:after="0" w:line="240" w:lineRule="auto"/>
      </w:pPr>
      <w:r>
        <w:separator/>
      </w:r>
    </w:p>
  </w:endnote>
  <w:endnote w:type="continuationSeparator" w:id="0">
    <w:p w14:paraId="4C0CFA9D" w14:textId="77777777" w:rsidR="00B25C69" w:rsidRDefault="00B25C69" w:rsidP="0048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3.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dvTime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50835352"/>
      <w:docPartObj>
        <w:docPartGallery w:val="Page Numbers (Bottom of Page)"/>
        <w:docPartUnique/>
      </w:docPartObj>
    </w:sdtPr>
    <w:sdtEndPr>
      <w:rPr>
        <w:noProof/>
      </w:rPr>
    </w:sdtEndPr>
    <w:sdtContent>
      <w:p w14:paraId="7FC074B1" w14:textId="77777777" w:rsidR="008D26E4" w:rsidRPr="0029128F" w:rsidRDefault="008D26E4">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p>
    </w:sdtContent>
  </w:sdt>
  <w:p w14:paraId="1549A4F6" w14:textId="77777777" w:rsidR="008D26E4" w:rsidRDefault="008D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60600341"/>
      <w:docPartObj>
        <w:docPartGallery w:val="Page Numbers (Bottom of Page)"/>
        <w:docPartUnique/>
      </w:docPartObj>
    </w:sdtPr>
    <w:sdtEndPr>
      <w:rPr>
        <w:noProof/>
      </w:rPr>
    </w:sdtEndPr>
    <w:sdtContent>
      <w:p w14:paraId="4A73ED1F" w14:textId="77777777" w:rsidR="008D26E4" w:rsidRPr="0029128F" w:rsidRDefault="008D26E4">
        <w:pPr>
          <w:pStyle w:val="Footer"/>
          <w:jc w:val="right"/>
          <w:rPr>
            <w:rFonts w:ascii="Times New Roman" w:hAnsi="Times New Roman" w:cs="Times New Roman"/>
            <w:sz w:val="20"/>
            <w:szCs w:val="20"/>
          </w:rPr>
        </w:pPr>
        <w:r w:rsidRPr="0029128F">
          <w:rPr>
            <w:rFonts w:ascii="Times New Roman" w:hAnsi="Times New Roman" w:cs="Times New Roman"/>
            <w:sz w:val="20"/>
            <w:szCs w:val="20"/>
          </w:rPr>
          <w:fldChar w:fldCharType="begin"/>
        </w:r>
        <w:r w:rsidRPr="0029128F">
          <w:rPr>
            <w:rFonts w:ascii="Times New Roman" w:hAnsi="Times New Roman" w:cs="Times New Roman"/>
            <w:sz w:val="20"/>
            <w:szCs w:val="20"/>
          </w:rPr>
          <w:instrText xml:space="preserve"> PAGE   \* MERGEFORMAT </w:instrText>
        </w:r>
        <w:r w:rsidRPr="0029128F">
          <w:rPr>
            <w:rFonts w:ascii="Times New Roman" w:hAnsi="Times New Roman" w:cs="Times New Roman"/>
            <w:sz w:val="20"/>
            <w:szCs w:val="20"/>
          </w:rPr>
          <w:fldChar w:fldCharType="separate"/>
        </w:r>
        <w:r w:rsidR="00C62455">
          <w:rPr>
            <w:rFonts w:ascii="Times New Roman" w:hAnsi="Times New Roman" w:cs="Times New Roman"/>
            <w:noProof/>
            <w:sz w:val="20"/>
            <w:szCs w:val="20"/>
          </w:rPr>
          <w:t>29</w:t>
        </w:r>
        <w:r w:rsidRPr="0029128F">
          <w:rPr>
            <w:rFonts w:ascii="Times New Roman" w:hAnsi="Times New Roman" w:cs="Times New Roman"/>
            <w:noProof/>
            <w:sz w:val="20"/>
            <w:szCs w:val="20"/>
          </w:rPr>
          <w:fldChar w:fldCharType="end"/>
        </w:r>
      </w:p>
    </w:sdtContent>
  </w:sdt>
  <w:p w14:paraId="5C5C9301" w14:textId="77777777" w:rsidR="008D26E4" w:rsidRDefault="008D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8A68" w14:textId="77777777" w:rsidR="00B25C69" w:rsidRDefault="00B25C69" w:rsidP="00484D27">
      <w:pPr>
        <w:spacing w:after="0" w:line="240" w:lineRule="auto"/>
      </w:pPr>
      <w:r>
        <w:separator/>
      </w:r>
    </w:p>
  </w:footnote>
  <w:footnote w:type="continuationSeparator" w:id="0">
    <w:p w14:paraId="1ADD303D" w14:textId="77777777" w:rsidR="00B25C69" w:rsidRDefault="00B25C69" w:rsidP="00484D27">
      <w:pPr>
        <w:spacing w:after="0" w:line="240" w:lineRule="auto"/>
      </w:pPr>
      <w:r>
        <w:continuationSeparator/>
      </w:r>
    </w:p>
  </w:footnote>
  <w:footnote w:id="1">
    <w:p w14:paraId="2FF93652" w14:textId="77777777" w:rsidR="008D26E4" w:rsidRDefault="008D26E4" w:rsidP="002861C0">
      <w:pPr>
        <w:spacing w:after="0" w:line="240" w:lineRule="auto"/>
        <w:rPr>
          <w:rFonts w:ascii="Times New Roman" w:hAnsi="Times New Roman" w:cs="Times New Roman"/>
          <w:sz w:val="24"/>
          <w:szCs w:val="24"/>
        </w:rPr>
      </w:pPr>
      <w:r w:rsidRPr="00A0102C">
        <w:rPr>
          <w:rStyle w:val="FootnoteReference"/>
          <w:rFonts w:ascii="Times New Roman" w:hAnsi="Times New Roman" w:cs="Times New Roman"/>
          <w:sz w:val="24"/>
          <w:szCs w:val="24"/>
        </w:rPr>
        <w:t>*</w:t>
      </w:r>
      <w:r w:rsidRPr="00A0102C">
        <w:rPr>
          <w:rFonts w:ascii="Times New Roman" w:hAnsi="Times New Roman" w:cs="Times New Roman"/>
          <w:sz w:val="24"/>
          <w:szCs w:val="24"/>
        </w:rPr>
        <w:t xml:space="preserve"> Corresponding Author:</w:t>
      </w:r>
      <w:r>
        <w:rPr>
          <w:rFonts w:ascii="Times New Roman" w:hAnsi="Times New Roman" w:cs="Times New Roman"/>
          <w:sz w:val="24"/>
          <w:szCs w:val="24"/>
        </w:rPr>
        <w:t xml:space="preserve"> Discipline of Accounting, University of Technology, Sydney. PO Box 123, Broadway, NSW 2007. Email: </w:t>
      </w:r>
      <w:hyperlink r:id="rId1" w:history="1">
        <w:r w:rsidRPr="0042484A">
          <w:rPr>
            <w:rStyle w:val="Hyperlink"/>
            <w:rFonts w:ascii="Times New Roman" w:hAnsi="Times New Roman" w:cs="Times New Roman"/>
            <w:sz w:val="24"/>
            <w:szCs w:val="24"/>
          </w:rPr>
          <w:t>Andrew.Ferguson@uts.edu.au</w:t>
        </w:r>
      </w:hyperlink>
      <w:r>
        <w:rPr>
          <w:rFonts w:ascii="Times New Roman" w:hAnsi="Times New Roman" w:cs="Times New Roman"/>
          <w:sz w:val="24"/>
          <w:szCs w:val="24"/>
        </w:rPr>
        <w:t>. Phone: +61 9514 3565.</w:t>
      </w:r>
    </w:p>
    <w:p w14:paraId="06A5BCD6" w14:textId="77777777" w:rsidR="008D26E4" w:rsidRPr="00367B8A" w:rsidRDefault="008D26E4" w:rsidP="002861C0">
      <w:pPr>
        <w:spacing w:after="0" w:line="240" w:lineRule="auto"/>
        <w:rPr>
          <w:rFonts w:ascii="Times New Roman" w:hAnsi="Times New Roman" w:cs="Times New Roman"/>
          <w:sz w:val="24"/>
          <w:szCs w:val="24"/>
        </w:rPr>
      </w:pPr>
    </w:p>
    <w:p w14:paraId="1F4A1770" w14:textId="77777777" w:rsidR="008D26E4" w:rsidRDefault="008D26E4" w:rsidP="002861C0">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An earlier version of this paper was presented at the 2013 Auckland Region Accounting Conference. </w:t>
      </w:r>
      <w:r w:rsidRPr="00367B8A">
        <w:rPr>
          <w:rFonts w:ascii="Times New Roman" w:hAnsi="Times New Roman" w:cs="Times New Roman"/>
          <w:sz w:val="24"/>
          <w:szCs w:val="24"/>
        </w:rPr>
        <w:t xml:space="preserve">For comments on earlier drafts of this paper, we thank </w:t>
      </w:r>
      <w:r>
        <w:rPr>
          <w:rFonts w:ascii="Times New Roman" w:hAnsi="Times New Roman" w:cs="Times New Roman"/>
          <w:sz w:val="24"/>
          <w:szCs w:val="24"/>
        </w:rPr>
        <w:t xml:space="preserve">Michael Bradbury, Victoria Clout, Elisabeth </w:t>
      </w:r>
      <w:proofErr w:type="spellStart"/>
      <w:r>
        <w:rPr>
          <w:rFonts w:ascii="Times New Roman" w:hAnsi="Times New Roman" w:cs="Times New Roman"/>
          <w:sz w:val="24"/>
          <w:szCs w:val="24"/>
        </w:rPr>
        <w:t>Dedman</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Lont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Asheq</w:t>
      </w:r>
      <w:proofErr w:type="spellEnd"/>
      <w:r>
        <w:rPr>
          <w:rFonts w:ascii="Times New Roman" w:hAnsi="Times New Roman" w:cs="Times New Roman"/>
          <w:sz w:val="24"/>
          <w:szCs w:val="24"/>
        </w:rPr>
        <w:t xml:space="preserve"> Rahman</w:t>
      </w:r>
      <w:r w:rsidRPr="00367B8A">
        <w:rPr>
          <w:rFonts w:ascii="Times New Roman" w:hAnsi="Times New Roman" w:cs="Times New Roman"/>
          <w:sz w:val="24"/>
          <w:szCs w:val="24"/>
        </w:rPr>
        <w:t>. All e</w:t>
      </w:r>
      <w:r>
        <w:rPr>
          <w:rFonts w:ascii="Times New Roman" w:hAnsi="Times New Roman" w:cs="Times New Roman"/>
          <w:sz w:val="24"/>
          <w:szCs w:val="24"/>
        </w:rPr>
        <w:t>rrors and omissions are our own</w:t>
      </w:r>
      <w:r w:rsidRPr="00367B8A">
        <w:rPr>
          <w:rFonts w:ascii="Times New Roman" w:hAnsi="Times New Roman" w:cs="Times New Roman"/>
          <w:sz w:val="24"/>
          <w:szCs w:val="24"/>
        </w:rPr>
        <w:t>.</w:t>
      </w:r>
    </w:p>
    <w:p w14:paraId="7871F847" w14:textId="77777777" w:rsidR="008D26E4" w:rsidRDefault="008D26E4" w:rsidP="002861C0">
      <w:pPr>
        <w:pStyle w:val="FootnoteText"/>
        <w:jc w:val="both"/>
        <w:rPr>
          <w:rFonts w:ascii="Times New Roman" w:hAnsi="Times New Roman" w:cs="Times New Roman"/>
          <w:sz w:val="24"/>
          <w:szCs w:val="24"/>
        </w:rPr>
      </w:pPr>
    </w:p>
    <w:p w14:paraId="474EBEC4" w14:textId="77777777" w:rsidR="008D26E4" w:rsidRPr="00985357" w:rsidRDefault="008D26E4" w:rsidP="002861C0">
      <w:pPr>
        <w:pStyle w:val="FootnoteText"/>
        <w:jc w:val="both"/>
        <w:rPr>
          <w:rFonts w:ascii="Times New Roman" w:hAnsi="Times New Roman" w:cs="Times New Roman"/>
          <w:sz w:val="24"/>
          <w:szCs w:val="24"/>
        </w:rPr>
      </w:pPr>
      <w:r w:rsidRPr="00985357">
        <w:rPr>
          <w:rFonts w:ascii="Times New Roman" w:hAnsi="Times New Roman" w:cs="Times New Roman"/>
          <w:sz w:val="24"/>
          <w:szCs w:val="24"/>
        </w:rPr>
        <w:t>We are grateful to Keith Goode for his private record of recommendations and email times</w:t>
      </w:r>
      <w:r>
        <w:rPr>
          <w:rFonts w:ascii="Times New Roman" w:hAnsi="Times New Roman" w:cs="Times New Roman"/>
          <w:sz w:val="24"/>
          <w:szCs w:val="24"/>
        </w:rPr>
        <w:t xml:space="preserve"> and the </w:t>
      </w:r>
      <w:r w:rsidRPr="00985357">
        <w:rPr>
          <w:rFonts w:ascii="Times New Roman" w:hAnsi="Times New Roman" w:cs="Times New Roman"/>
          <w:sz w:val="24"/>
          <w:szCs w:val="24"/>
        </w:rPr>
        <w:t>assistance of resource conferences and mining clubs in creating a list of resource firm investor presentations</w:t>
      </w:r>
      <w:r>
        <w:rPr>
          <w:rFonts w:ascii="Times New Roman" w:hAnsi="Times New Roman" w:cs="Times New Roman"/>
          <w:sz w:val="24"/>
          <w:szCs w:val="24"/>
        </w:rPr>
        <w:t>. In particular we thank</w:t>
      </w:r>
      <w:r w:rsidRPr="00985357">
        <w:rPr>
          <w:rFonts w:ascii="Times New Roman" w:hAnsi="Times New Roman" w:cs="Times New Roman"/>
          <w:sz w:val="24"/>
          <w:szCs w:val="24"/>
        </w:rPr>
        <w:t xml:space="preserve"> Lyn Collins (Melbourne Mining Club), Suzanne Christie (Diggers &amp; Dealers), Tammy Caldwell (</w:t>
      </w:r>
      <w:proofErr w:type="spellStart"/>
      <w:r w:rsidRPr="00985357">
        <w:rPr>
          <w:rFonts w:ascii="Times New Roman" w:hAnsi="Times New Roman" w:cs="Times New Roman"/>
          <w:sz w:val="24"/>
          <w:szCs w:val="24"/>
        </w:rPr>
        <w:t>Paydirt</w:t>
      </w:r>
      <w:proofErr w:type="spellEnd"/>
      <w:r w:rsidRPr="00985357">
        <w:rPr>
          <w:rFonts w:ascii="Times New Roman" w:hAnsi="Times New Roman" w:cs="Times New Roman"/>
          <w:sz w:val="24"/>
          <w:szCs w:val="24"/>
        </w:rPr>
        <w:t xml:space="preserve"> Media), Brad Court (Resourceful Events), Denyse </w:t>
      </w:r>
      <w:proofErr w:type="spellStart"/>
      <w:r w:rsidRPr="00985357">
        <w:rPr>
          <w:rFonts w:ascii="Times New Roman" w:hAnsi="Times New Roman" w:cs="Times New Roman"/>
          <w:sz w:val="24"/>
          <w:szCs w:val="24"/>
        </w:rPr>
        <w:t>McClements</w:t>
      </w:r>
      <w:proofErr w:type="spellEnd"/>
      <w:r w:rsidRPr="00985357">
        <w:rPr>
          <w:rFonts w:ascii="Times New Roman" w:hAnsi="Times New Roman" w:cs="Times New Roman"/>
          <w:sz w:val="24"/>
          <w:szCs w:val="24"/>
        </w:rPr>
        <w:t xml:space="preserve"> (AMEC) and Taryn </w:t>
      </w:r>
      <w:proofErr w:type="spellStart"/>
      <w:r w:rsidRPr="00985357">
        <w:rPr>
          <w:rFonts w:ascii="Times New Roman" w:hAnsi="Times New Roman" w:cs="Times New Roman"/>
          <w:sz w:val="24"/>
          <w:szCs w:val="24"/>
        </w:rPr>
        <w:t>Rodier</w:t>
      </w:r>
      <w:proofErr w:type="spellEnd"/>
      <w:r w:rsidRPr="00985357">
        <w:rPr>
          <w:rFonts w:ascii="Times New Roman" w:hAnsi="Times New Roman" w:cs="Times New Roman"/>
          <w:sz w:val="24"/>
          <w:szCs w:val="24"/>
        </w:rPr>
        <w:t xml:space="preserve"> and Chris Sabin (Sydney Mining Club).</w:t>
      </w:r>
    </w:p>
  </w:footnote>
  <w:footnote w:id="2">
    <w:p w14:paraId="50F86DAE" w14:textId="557C5E14" w:rsidR="008D26E4" w:rsidRPr="00C6730A" w:rsidRDefault="008D26E4" w:rsidP="00717189">
      <w:pPr>
        <w:pStyle w:val="FootnoteText"/>
        <w:jc w:val="both"/>
        <w:rPr>
          <w:rFonts w:ascii="Times New Roman" w:hAnsi="Times New Roman" w:cs="Times New Roman"/>
        </w:rPr>
      </w:pPr>
      <w:r w:rsidRPr="00C6730A">
        <w:rPr>
          <w:rStyle w:val="FootnoteReference"/>
          <w:rFonts w:ascii="Times New Roman" w:hAnsi="Times New Roman" w:cs="Times New Roman"/>
        </w:rPr>
        <w:footnoteRef/>
      </w:r>
      <w:r w:rsidRPr="00C6730A">
        <w:rPr>
          <w:rFonts w:ascii="Times New Roman" w:hAnsi="Times New Roman" w:cs="Times New Roman"/>
        </w:rPr>
        <w:t xml:space="preserve"> An Open Briefing is a purchased (Q&amp;A) document from an investment relations firm that is announced to the Australian S</w:t>
      </w:r>
      <w:r>
        <w:rPr>
          <w:rFonts w:ascii="Times New Roman" w:hAnsi="Times New Roman" w:cs="Times New Roman"/>
        </w:rPr>
        <w:t>ecurities</w:t>
      </w:r>
      <w:r w:rsidRPr="00C6730A">
        <w:rPr>
          <w:rFonts w:ascii="Times New Roman" w:hAnsi="Times New Roman" w:cs="Times New Roman"/>
        </w:rPr>
        <w:t xml:space="preserve"> Exchange</w:t>
      </w:r>
      <w:r>
        <w:rPr>
          <w:rFonts w:ascii="Times New Roman" w:hAnsi="Times New Roman" w:cs="Times New Roman"/>
        </w:rPr>
        <w:t>.</w:t>
      </w:r>
    </w:p>
  </w:footnote>
  <w:footnote w:id="3">
    <w:p w14:paraId="65947D6E" w14:textId="17117004" w:rsidR="008D26E4" w:rsidRPr="00C6730A" w:rsidRDefault="008D26E4" w:rsidP="00717189">
      <w:pPr>
        <w:pStyle w:val="FootnoteText"/>
        <w:jc w:val="both"/>
        <w:rPr>
          <w:rFonts w:ascii="Times New Roman" w:hAnsi="Times New Roman" w:cs="Times New Roman"/>
        </w:rPr>
      </w:pPr>
      <w:r w:rsidRPr="00C6730A">
        <w:rPr>
          <w:rStyle w:val="FootnoteReference"/>
          <w:rFonts w:ascii="Times New Roman" w:hAnsi="Times New Roman" w:cs="Times New Roman"/>
        </w:rPr>
        <w:footnoteRef/>
      </w:r>
      <w:r w:rsidRPr="00C6730A">
        <w:rPr>
          <w:rFonts w:ascii="Times New Roman" w:hAnsi="Times New Roman" w:cs="Times New Roman"/>
        </w:rPr>
        <w:t xml:space="preserve"> Other disclosure outlets such as press coverage may be outside the firm’s control (Solomon and </w:t>
      </w:r>
      <w:proofErr w:type="spellStart"/>
      <w:r w:rsidRPr="00C6730A">
        <w:rPr>
          <w:rFonts w:ascii="Times New Roman" w:hAnsi="Times New Roman" w:cs="Times New Roman"/>
        </w:rPr>
        <w:t>Soltes</w:t>
      </w:r>
      <w:proofErr w:type="spellEnd"/>
      <w:r w:rsidRPr="00C6730A">
        <w:rPr>
          <w:rFonts w:ascii="Times New Roman" w:hAnsi="Times New Roman" w:cs="Times New Roman"/>
        </w:rPr>
        <w:t xml:space="preserve">, 2012), while disclosure via the stock exchange is </w:t>
      </w:r>
      <w:r>
        <w:rPr>
          <w:rFonts w:ascii="Times New Roman" w:hAnsi="Times New Roman" w:cs="Times New Roman"/>
        </w:rPr>
        <w:t>‘</w:t>
      </w:r>
      <w:r w:rsidRPr="00C6730A">
        <w:rPr>
          <w:rFonts w:ascii="Times New Roman" w:hAnsi="Times New Roman" w:cs="Times New Roman"/>
        </w:rPr>
        <w:t>free</w:t>
      </w:r>
      <w:r>
        <w:rPr>
          <w:rFonts w:ascii="Times New Roman" w:hAnsi="Times New Roman" w:cs="Times New Roman"/>
        </w:rPr>
        <w:t xml:space="preserve">’ (beyond any disclosure costs </w:t>
      </w:r>
      <w:r w:rsidRPr="001B2D36">
        <w:rPr>
          <w:rFonts w:ascii="Times New Roman" w:hAnsi="Times New Roman" w:cs="Times New Roman"/>
          <w:i/>
        </w:rPr>
        <w:t>per se</w:t>
      </w:r>
      <w:r>
        <w:rPr>
          <w:rFonts w:ascii="Times New Roman" w:hAnsi="Times New Roman" w:cs="Times New Roman"/>
        </w:rPr>
        <w:t>)</w:t>
      </w:r>
      <w:r w:rsidRPr="00C6730A">
        <w:rPr>
          <w:rFonts w:ascii="Times New Roman" w:hAnsi="Times New Roman" w:cs="Times New Roman"/>
        </w:rPr>
        <w:t xml:space="preserve"> and may be required due to regulation.</w:t>
      </w:r>
    </w:p>
  </w:footnote>
  <w:footnote w:id="4">
    <w:p w14:paraId="49A33799" w14:textId="14F5F574" w:rsidR="008D26E4" w:rsidRDefault="008D26E4">
      <w:pPr>
        <w:pStyle w:val="FootnoteText"/>
      </w:pPr>
      <w:r>
        <w:rPr>
          <w:rStyle w:val="FootnoteReference"/>
        </w:rPr>
        <w:footnoteRef/>
      </w:r>
      <w:r>
        <w:t xml:space="preserve"> </w:t>
      </w:r>
      <w:r w:rsidRPr="008A53F4">
        <w:rPr>
          <w:rFonts w:ascii="Times New Roman" w:hAnsi="Times New Roman" w:cs="Times New Roman"/>
        </w:rPr>
        <w:t>Presentations can also be filmed and posted online.</w:t>
      </w:r>
    </w:p>
  </w:footnote>
  <w:footnote w:id="5">
    <w:p w14:paraId="74A6233D" w14:textId="77777777" w:rsidR="005E5931" w:rsidRPr="00C6730A" w:rsidRDefault="005E5931" w:rsidP="005E5931">
      <w:pPr>
        <w:pStyle w:val="FootnoteText"/>
        <w:jc w:val="both"/>
        <w:rPr>
          <w:rFonts w:ascii="Times New Roman" w:hAnsi="Times New Roman" w:cs="Times New Roman"/>
          <w:lang w:val="en-NZ"/>
        </w:rPr>
      </w:pPr>
      <w:r w:rsidRPr="00C6730A">
        <w:rPr>
          <w:rStyle w:val="FootnoteReference"/>
          <w:rFonts w:ascii="Times New Roman" w:hAnsi="Times New Roman" w:cs="Times New Roman"/>
        </w:rPr>
        <w:footnoteRef/>
      </w:r>
      <w:r w:rsidRPr="00C6730A">
        <w:rPr>
          <w:rFonts w:ascii="Times New Roman" w:hAnsi="Times New Roman" w:cs="Times New Roman"/>
        </w:rPr>
        <w:t xml:space="preserve"> Selective disclosure in the resource sector has become an increasing concern in recent years, with the Australian Securities and Investments Commission commenting that it will pay greater attention to analyst briefings due to concerns over selective disclosures (Ker, 2013).</w:t>
      </w:r>
    </w:p>
  </w:footnote>
  <w:footnote w:id="6">
    <w:p w14:paraId="57BB4EEF" w14:textId="7604DA41" w:rsidR="005E5931" w:rsidRPr="005E5931" w:rsidRDefault="005E5931" w:rsidP="005E5931">
      <w:pPr>
        <w:pStyle w:val="FootnoteText"/>
        <w:jc w:val="both"/>
        <w:rPr>
          <w:rFonts w:ascii="Times New Roman" w:hAnsi="Times New Roman" w:cs="Times New Roman"/>
          <w:lang w:val="en-NZ"/>
        </w:rPr>
      </w:pPr>
      <w:r>
        <w:rPr>
          <w:rStyle w:val="FootnoteReference"/>
        </w:rPr>
        <w:footnoteRef/>
      </w:r>
      <w:r>
        <w:t xml:space="preserve"> </w:t>
      </w:r>
      <w:r w:rsidRPr="00985357">
        <w:rPr>
          <w:rStyle w:val="FootnoteReference"/>
          <w:rFonts w:ascii="Times New Roman" w:hAnsi="Times New Roman" w:cs="Times New Roman"/>
        </w:rPr>
        <w:footnoteRef/>
      </w:r>
      <w:r w:rsidRPr="00985357">
        <w:rPr>
          <w:rFonts w:ascii="Times New Roman" w:hAnsi="Times New Roman" w:cs="Times New Roman"/>
        </w:rPr>
        <w:t xml:space="preserve"> </w:t>
      </w:r>
      <w:r>
        <w:rPr>
          <w:rFonts w:ascii="Times New Roman" w:hAnsi="Times New Roman" w:cs="Times New Roman"/>
        </w:rPr>
        <w:t>For example, see the Forbes story entitled “How a CEO can wreck a brand in one interview” about how the CEO of Abercrombie &amp; Fitch said in an interview that he didn’t want fat people wearing his clothes (Temin, 2013).</w:t>
      </w:r>
    </w:p>
  </w:footnote>
  <w:footnote w:id="7">
    <w:p w14:paraId="44BD59DD" w14:textId="77777777" w:rsidR="008D26E4" w:rsidRPr="009A639B" w:rsidRDefault="008D26E4" w:rsidP="009A639B">
      <w:pPr>
        <w:pStyle w:val="FootnoteText"/>
        <w:jc w:val="both"/>
        <w:rPr>
          <w:rFonts w:ascii="Times New Roman" w:hAnsi="Times New Roman" w:cs="Times New Roman"/>
          <w:lang w:val="en-NZ"/>
        </w:rPr>
      </w:pPr>
      <w:r w:rsidRPr="009A639B">
        <w:rPr>
          <w:rStyle w:val="FootnoteReference"/>
          <w:rFonts w:ascii="Times New Roman" w:hAnsi="Times New Roman" w:cs="Times New Roman"/>
        </w:rPr>
        <w:footnoteRef/>
      </w:r>
      <w:r w:rsidRPr="009A639B">
        <w:rPr>
          <w:rFonts w:ascii="Times New Roman" w:hAnsi="Times New Roman" w:cs="Times New Roman"/>
        </w:rPr>
        <w:t xml:space="preserve"> Goode focuses exclusively on the mining industry and can be considered a ‘star’ analyst as there is greater coverage of his opinion in the Australian business press than other resource analysts (Brown </w:t>
      </w:r>
      <w:r w:rsidRPr="009A639B">
        <w:rPr>
          <w:rFonts w:ascii="Times New Roman" w:hAnsi="Times New Roman" w:cs="Times New Roman"/>
          <w:i/>
        </w:rPr>
        <w:t>et al</w:t>
      </w:r>
      <w:r w:rsidRPr="009A639B">
        <w:rPr>
          <w:rFonts w:ascii="Times New Roman" w:hAnsi="Times New Roman" w:cs="Times New Roman"/>
        </w:rPr>
        <w:t>., 2014). The reports are freely emailed to a proprietary distribution list and disseminated by the firm of interest. Goode issues only buy or speculative buy recommendations.</w:t>
      </w:r>
    </w:p>
  </w:footnote>
  <w:footnote w:id="8">
    <w:p w14:paraId="2F2D487B" w14:textId="77777777" w:rsidR="008D26E4" w:rsidRPr="00E61BA6" w:rsidRDefault="008D26E4" w:rsidP="00E61BA6">
      <w:pPr>
        <w:pStyle w:val="FootnoteText"/>
        <w:jc w:val="both"/>
        <w:rPr>
          <w:rFonts w:ascii="Times New Roman" w:hAnsi="Times New Roman" w:cs="Times New Roman"/>
        </w:rPr>
      </w:pPr>
      <w:r w:rsidRPr="00E61BA6">
        <w:rPr>
          <w:rStyle w:val="FootnoteReference"/>
          <w:rFonts w:ascii="Times New Roman" w:hAnsi="Times New Roman" w:cs="Times New Roman"/>
        </w:rPr>
        <w:footnoteRef/>
      </w:r>
      <w:r w:rsidRPr="00E61BA6">
        <w:rPr>
          <w:rFonts w:ascii="Times New Roman" w:hAnsi="Times New Roman" w:cs="Times New Roman"/>
        </w:rPr>
        <w:t xml:space="preserve"> Our paper is premised on the idea that firms rationally choose the disclosure outlet, which results in the </w:t>
      </w:r>
      <w:r>
        <w:rPr>
          <w:rFonts w:ascii="Times New Roman" w:hAnsi="Times New Roman" w:cs="Times New Roman"/>
        </w:rPr>
        <w:t>independence</w:t>
      </w:r>
      <w:r w:rsidRPr="00E61BA6">
        <w:rPr>
          <w:rFonts w:ascii="Times New Roman" w:hAnsi="Times New Roman" w:cs="Times New Roman"/>
        </w:rPr>
        <w:t xml:space="preserve"> of observations.</w:t>
      </w:r>
    </w:p>
  </w:footnote>
  <w:footnote w:id="9">
    <w:p w14:paraId="77425E50" w14:textId="77777777" w:rsidR="008D26E4" w:rsidRPr="00C6730A" w:rsidRDefault="008D26E4" w:rsidP="00AA3C2E">
      <w:pPr>
        <w:pStyle w:val="FootnoteText"/>
        <w:jc w:val="both"/>
        <w:rPr>
          <w:rFonts w:ascii="Times New Roman" w:hAnsi="Times New Roman" w:cs="Times New Roman"/>
        </w:rPr>
      </w:pPr>
      <w:r w:rsidRPr="00C6730A">
        <w:rPr>
          <w:rStyle w:val="FootnoteReference"/>
          <w:rFonts w:ascii="Times New Roman" w:hAnsi="Times New Roman" w:cs="Times New Roman"/>
        </w:rPr>
        <w:footnoteRef/>
      </w:r>
      <w:r w:rsidRPr="00C6730A">
        <w:rPr>
          <w:rFonts w:ascii="Times New Roman" w:hAnsi="Times New Roman" w:cs="Times New Roman"/>
        </w:rPr>
        <w:t xml:space="preserve"> See ASX Listing Rules, Chapter 3 Continuous Disclosure, 1/1/2003</w:t>
      </w:r>
      <w:r w:rsidRPr="004C14F0">
        <w:rPr>
          <w:rFonts w:ascii="Times New Roman" w:hAnsi="Times New Roman" w:cs="Times New Roman"/>
          <w:i/>
        </w:rPr>
        <w:t xml:space="preserve"> p</w:t>
      </w:r>
      <w:r w:rsidRPr="00C6730A">
        <w:rPr>
          <w:rFonts w:ascii="Times New Roman" w:hAnsi="Times New Roman" w:cs="Times New Roman"/>
        </w:rPr>
        <w:t>. 302.</w:t>
      </w:r>
    </w:p>
  </w:footnote>
  <w:footnote w:id="10">
    <w:p w14:paraId="482915C7" w14:textId="68FF9D37" w:rsidR="008D26E4" w:rsidRPr="00C6730A" w:rsidRDefault="008D26E4" w:rsidP="001B2D36">
      <w:pPr>
        <w:pStyle w:val="FootnoteText"/>
        <w:jc w:val="both"/>
        <w:rPr>
          <w:rFonts w:ascii="Times New Roman" w:hAnsi="Times New Roman" w:cs="Times New Roman"/>
        </w:rPr>
      </w:pPr>
      <w:r w:rsidRPr="00C6730A">
        <w:rPr>
          <w:rStyle w:val="FootnoteReference"/>
          <w:rFonts w:ascii="Times New Roman" w:hAnsi="Times New Roman" w:cs="Times New Roman"/>
        </w:rPr>
        <w:footnoteRef/>
      </w:r>
      <w:r w:rsidRPr="00C6730A">
        <w:rPr>
          <w:rFonts w:ascii="Times New Roman" w:hAnsi="Times New Roman" w:cs="Times New Roman"/>
        </w:rPr>
        <w:t xml:space="preserve"> We compare firm variables that are more appropriate for the resource sector (Ferguson </w:t>
      </w:r>
      <w:r w:rsidRPr="005140D7">
        <w:rPr>
          <w:rFonts w:ascii="Times New Roman" w:hAnsi="Times New Roman" w:cs="Times New Roman"/>
          <w:i/>
        </w:rPr>
        <w:t>et al</w:t>
      </w:r>
      <w:r w:rsidRPr="00BA3C60">
        <w:rPr>
          <w:rFonts w:ascii="Times New Roman" w:hAnsi="Times New Roman" w:cs="Times New Roman"/>
        </w:rPr>
        <w:t>.,</w:t>
      </w:r>
      <w:r w:rsidRPr="00C6730A">
        <w:rPr>
          <w:rFonts w:ascii="Times New Roman" w:hAnsi="Times New Roman" w:cs="Times New Roman"/>
        </w:rPr>
        <w:t xml:space="preserve"> 2011b). For example, we do not compare typical accounting measures of performance such as return-on-assets as many resource firms are still at the exploration stage </w:t>
      </w:r>
      <w:r w:rsidRPr="004C4FF5">
        <w:rPr>
          <w:rFonts w:ascii="Times New Roman" w:hAnsi="Times New Roman" w:cs="Times New Roman"/>
        </w:rPr>
        <w:t xml:space="preserve">without positive cash flows. </w:t>
      </w:r>
      <w:r w:rsidRPr="004C4FF5">
        <w:rPr>
          <w:rFonts w:ascii="Times New Roman" w:hAnsi="Times New Roman"/>
        </w:rPr>
        <w:t xml:space="preserve">We also </w:t>
      </w:r>
      <w:proofErr w:type="spellStart"/>
      <w:r w:rsidRPr="004C4FF5">
        <w:rPr>
          <w:rFonts w:ascii="Times New Roman" w:hAnsi="Times New Roman"/>
        </w:rPr>
        <w:t>winsorize</w:t>
      </w:r>
      <w:proofErr w:type="spellEnd"/>
      <w:r w:rsidRPr="004C4FF5">
        <w:rPr>
          <w:rFonts w:ascii="Times New Roman" w:hAnsi="Times New Roman"/>
        </w:rPr>
        <w:t xml:space="preserve"> the outlying 5% of continuous variables to remove any bias created from outliers</w:t>
      </w:r>
      <w:r>
        <w:rPr>
          <w:rFonts w:ascii="Times New Roman" w:hAnsi="Times New Roman"/>
        </w:rPr>
        <w:t xml:space="preserve">, although results are substantively similar without </w:t>
      </w:r>
      <w:proofErr w:type="spellStart"/>
      <w:r>
        <w:rPr>
          <w:rFonts w:ascii="Times New Roman" w:hAnsi="Times New Roman"/>
        </w:rPr>
        <w:t>winsorising</w:t>
      </w:r>
      <w:proofErr w:type="spellEnd"/>
      <w:r>
        <w:rPr>
          <w:rFonts w:ascii="Times New Roman" w:hAnsi="Times New Roman"/>
        </w:rPr>
        <w:t>.</w:t>
      </w:r>
    </w:p>
  </w:footnote>
  <w:footnote w:id="11">
    <w:p w14:paraId="6B3550BA" w14:textId="77777777" w:rsidR="008D26E4" w:rsidRPr="003D4B45" w:rsidRDefault="008D26E4" w:rsidP="001B2D36">
      <w:pPr>
        <w:pStyle w:val="FootnoteText"/>
        <w:jc w:val="both"/>
        <w:rPr>
          <w:rFonts w:ascii="Times New Roman" w:hAnsi="Times New Roman" w:cs="Times New Roman"/>
        </w:rPr>
      </w:pPr>
      <w:r w:rsidRPr="003D4B45">
        <w:rPr>
          <w:rStyle w:val="FootnoteReference"/>
          <w:rFonts w:ascii="Times New Roman" w:hAnsi="Times New Roman" w:cs="Times New Roman"/>
        </w:rPr>
        <w:footnoteRef/>
      </w:r>
      <w:r w:rsidRPr="003D4B45">
        <w:rPr>
          <w:rFonts w:ascii="Times New Roman" w:hAnsi="Times New Roman" w:cs="Times New Roman"/>
        </w:rPr>
        <w:t xml:space="preserve"> A related variable we considered controlling for is media coverage. However, there is little variation of media coverage by firms in our sample due to media coverage bias to more well-known firms (Carroll and McCombs, 2003)</w:t>
      </w:r>
      <w:r>
        <w:rPr>
          <w:rFonts w:ascii="Times New Roman" w:hAnsi="Times New Roman" w:cs="Times New Roman"/>
        </w:rPr>
        <w:t>.</w:t>
      </w:r>
    </w:p>
  </w:footnote>
  <w:footnote w:id="12">
    <w:p w14:paraId="5BA30AFF" w14:textId="03F425B7" w:rsidR="008D26E4" w:rsidRDefault="008D26E4">
      <w:pPr>
        <w:pStyle w:val="FootnoteText"/>
      </w:pPr>
      <w:r>
        <w:rPr>
          <w:rStyle w:val="FootnoteReference"/>
        </w:rPr>
        <w:footnoteRef/>
      </w:r>
      <w:r>
        <w:t xml:space="preserve"> </w:t>
      </w:r>
      <w:r w:rsidRPr="008E094B">
        <w:rPr>
          <w:rFonts w:ascii="Times New Roman" w:hAnsi="Times New Roman"/>
        </w:rPr>
        <w:t xml:space="preserve">In </w:t>
      </w:r>
      <w:proofErr w:type="spellStart"/>
      <w:r w:rsidRPr="008E094B">
        <w:rPr>
          <w:rFonts w:ascii="Times New Roman" w:hAnsi="Times New Roman"/>
        </w:rPr>
        <w:t>untabulated</w:t>
      </w:r>
      <w:proofErr w:type="spellEnd"/>
      <w:r w:rsidRPr="008E094B">
        <w:rPr>
          <w:rFonts w:ascii="Times New Roman" w:hAnsi="Times New Roman"/>
        </w:rPr>
        <w:t xml:space="preserve"> results, we find that the highest correlation among independent variables is less than 0.</w:t>
      </w:r>
      <w:r>
        <w:rPr>
          <w:rFonts w:ascii="Times New Roman" w:hAnsi="Times New Roman"/>
        </w:rPr>
        <w:t>6</w:t>
      </w:r>
      <w:r w:rsidRPr="008E094B">
        <w:rPr>
          <w:rFonts w:ascii="Times New Roman" w:hAnsi="Times New Roman"/>
        </w:rPr>
        <w:t>, suggesting that multi-collinearity is not a major concern.</w:t>
      </w:r>
    </w:p>
  </w:footnote>
  <w:footnote w:id="13">
    <w:p w14:paraId="18D90AD2" w14:textId="1F31FFB5" w:rsidR="008D26E4" w:rsidRPr="00F94CC2" w:rsidRDefault="008D26E4" w:rsidP="00F94CC2">
      <w:pPr>
        <w:pStyle w:val="FootnoteText"/>
        <w:jc w:val="both"/>
        <w:rPr>
          <w:rFonts w:ascii="Times New Roman" w:hAnsi="Times New Roman" w:cs="Times New Roman"/>
          <w:lang w:val="en-NZ"/>
        </w:rPr>
      </w:pPr>
      <w:r w:rsidRPr="00F94CC2">
        <w:rPr>
          <w:rStyle w:val="FootnoteReference"/>
          <w:rFonts w:ascii="Times New Roman" w:hAnsi="Times New Roman" w:cs="Times New Roman"/>
        </w:rPr>
        <w:footnoteRef/>
      </w:r>
      <w:r w:rsidRPr="00F94CC2">
        <w:rPr>
          <w:rFonts w:ascii="Times New Roman" w:hAnsi="Times New Roman" w:cs="Times New Roman"/>
        </w:rPr>
        <w:t xml:space="preserve"> </w:t>
      </w:r>
      <w:r w:rsidRPr="00F94CC2">
        <w:rPr>
          <w:rFonts w:ascii="Times New Roman" w:hAnsi="Times New Roman" w:cs="Times New Roman"/>
          <w:lang w:val="en-NZ"/>
        </w:rPr>
        <w:t xml:space="preserve">In </w:t>
      </w:r>
      <w:proofErr w:type="spellStart"/>
      <w:r w:rsidRPr="00F94CC2">
        <w:rPr>
          <w:rFonts w:ascii="Times New Roman" w:hAnsi="Times New Roman" w:cs="Times New Roman"/>
          <w:lang w:val="en-NZ"/>
        </w:rPr>
        <w:t>untabulated</w:t>
      </w:r>
      <w:proofErr w:type="spellEnd"/>
      <w:r w:rsidRPr="00F94CC2">
        <w:rPr>
          <w:rFonts w:ascii="Times New Roman" w:hAnsi="Times New Roman" w:cs="Times New Roman"/>
          <w:lang w:val="en-NZ"/>
        </w:rPr>
        <w:t xml:space="preserve"> tests we find that all three disclosure outlets are significant events.</w:t>
      </w:r>
    </w:p>
  </w:footnote>
  <w:footnote w:id="14">
    <w:p w14:paraId="25FC7FAF" w14:textId="5474B0E0" w:rsidR="008D26E4" w:rsidRPr="000C4C13" w:rsidRDefault="008D26E4" w:rsidP="000C4C13">
      <w:pPr>
        <w:pStyle w:val="FootnoteText"/>
        <w:jc w:val="both"/>
        <w:rPr>
          <w:rFonts w:ascii="Times New Roman" w:hAnsi="Times New Roman" w:cs="Times New Roman"/>
          <w:lang w:val="en-NZ"/>
        </w:rPr>
      </w:pPr>
      <w:r w:rsidRPr="000C4C13">
        <w:rPr>
          <w:rStyle w:val="FootnoteReference"/>
          <w:rFonts w:ascii="Times New Roman" w:hAnsi="Times New Roman" w:cs="Times New Roman"/>
        </w:rPr>
        <w:footnoteRef/>
      </w:r>
      <w:r w:rsidRPr="000C4C13">
        <w:rPr>
          <w:rFonts w:ascii="Times New Roman" w:hAnsi="Times New Roman" w:cs="Times New Roman"/>
        </w:rPr>
        <w:t xml:space="preserve"> </w:t>
      </w:r>
      <w:r w:rsidRPr="000C4C13">
        <w:rPr>
          <w:rFonts w:ascii="Times New Roman" w:hAnsi="Times New Roman" w:cs="Times New Roman"/>
          <w:lang w:val="en-NZ"/>
        </w:rPr>
        <w:t>We run market return tests only on the disclosure subsample in an attempt to control for information content as outlined in the research method section.</w:t>
      </w:r>
    </w:p>
  </w:footnote>
  <w:footnote w:id="15">
    <w:p w14:paraId="5980EB49" w14:textId="77777777" w:rsidR="008D26E4" w:rsidRPr="00C6730A" w:rsidRDefault="008D26E4" w:rsidP="00B6156D">
      <w:pPr>
        <w:pStyle w:val="FootnoteText"/>
        <w:jc w:val="both"/>
        <w:rPr>
          <w:rFonts w:ascii="Times New Roman" w:hAnsi="Times New Roman" w:cs="Times New Roman"/>
        </w:rPr>
      </w:pPr>
      <w:r w:rsidRPr="00C6730A">
        <w:rPr>
          <w:rStyle w:val="FootnoteReference"/>
          <w:rFonts w:ascii="Times New Roman" w:hAnsi="Times New Roman" w:cs="Times New Roman"/>
        </w:rPr>
        <w:footnoteRef/>
      </w:r>
      <w:r w:rsidRPr="00C6730A">
        <w:rPr>
          <w:rFonts w:ascii="Times New Roman" w:hAnsi="Times New Roman" w:cs="Times New Roman"/>
        </w:rPr>
        <w:t xml:space="preserve"> Based on median values the economic effects are $2.4m, -$0.2m and $0.8m for purchased analyst research, investor presentations and Open Briefings,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60B"/>
    <w:multiLevelType w:val="hybridMultilevel"/>
    <w:tmpl w:val="77069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95763F"/>
    <w:multiLevelType w:val="hybridMultilevel"/>
    <w:tmpl w:val="348416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05673E0"/>
    <w:multiLevelType w:val="hybridMultilevel"/>
    <w:tmpl w:val="515E0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14"/>
    <w:rsid w:val="00000E35"/>
    <w:rsid w:val="00001B4A"/>
    <w:rsid w:val="000046B7"/>
    <w:rsid w:val="000073B2"/>
    <w:rsid w:val="00011264"/>
    <w:rsid w:val="00011DDB"/>
    <w:rsid w:val="00012F44"/>
    <w:rsid w:val="000142EF"/>
    <w:rsid w:val="000170D5"/>
    <w:rsid w:val="00017844"/>
    <w:rsid w:val="000304EF"/>
    <w:rsid w:val="00031DD8"/>
    <w:rsid w:val="000331AE"/>
    <w:rsid w:val="00034586"/>
    <w:rsid w:val="00034881"/>
    <w:rsid w:val="000419D4"/>
    <w:rsid w:val="00046ADD"/>
    <w:rsid w:val="00047484"/>
    <w:rsid w:val="00051856"/>
    <w:rsid w:val="00051DBD"/>
    <w:rsid w:val="00052370"/>
    <w:rsid w:val="00052C8E"/>
    <w:rsid w:val="00060AD6"/>
    <w:rsid w:val="00060B4B"/>
    <w:rsid w:val="00064B7E"/>
    <w:rsid w:val="00065426"/>
    <w:rsid w:val="0006598B"/>
    <w:rsid w:val="00067965"/>
    <w:rsid w:val="00076E77"/>
    <w:rsid w:val="00085DCD"/>
    <w:rsid w:val="0008627A"/>
    <w:rsid w:val="00087CBE"/>
    <w:rsid w:val="00091785"/>
    <w:rsid w:val="000936EF"/>
    <w:rsid w:val="00096D16"/>
    <w:rsid w:val="000A0E2C"/>
    <w:rsid w:val="000A3298"/>
    <w:rsid w:val="000A5A94"/>
    <w:rsid w:val="000A65F1"/>
    <w:rsid w:val="000B49F8"/>
    <w:rsid w:val="000B6F5F"/>
    <w:rsid w:val="000C2459"/>
    <w:rsid w:val="000C2F13"/>
    <w:rsid w:val="000C4743"/>
    <w:rsid w:val="000C4C13"/>
    <w:rsid w:val="000C50D4"/>
    <w:rsid w:val="000C6A35"/>
    <w:rsid w:val="000D2B38"/>
    <w:rsid w:val="000D469E"/>
    <w:rsid w:val="000D52FD"/>
    <w:rsid w:val="000E2EE7"/>
    <w:rsid w:val="000E36FA"/>
    <w:rsid w:val="000E65C4"/>
    <w:rsid w:val="000E6A78"/>
    <w:rsid w:val="000F2CB1"/>
    <w:rsid w:val="000F3D5E"/>
    <w:rsid w:val="000F52BF"/>
    <w:rsid w:val="00100227"/>
    <w:rsid w:val="00100AD1"/>
    <w:rsid w:val="00100FB4"/>
    <w:rsid w:val="001015CD"/>
    <w:rsid w:val="00111F06"/>
    <w:rsid w:val="001129D0"/>
    <w:rsid w:val="00112A9A"/>
    <w:rsid w:val="001138B6"/>
    <w:rsid w:val="001162B5"/>
    <w:rsid w:val="001215C6"/>
    <w:rsid w:val="00122C3D"/>
    <w:rsid w:val="00123438"/>
    <w:rsid w:val="00126C44"/>
    <w:rsid w:val="0012750F"/>
    <w:rsid w:val="00127757"/>
    <w:rsid w:val="0013260B"/>
    <w:rsid w:val="0013679B"/>
    <w:rsid w:val="00137FDE"/>
    <w:rsid w:val="00141535"/>
    <w:rsid w:val="00147C4B"/>
    <w:rsid w:val="001509D4"/>
    <w:rsid w:val="0015228D"/>
    <w:rsid w:val="001527E4"/>
    <w:rsid w:val="0015315F"/>
    <w:rsid w:val="00153C25"/>
    <w:rsid w:val="00155B9E"/>
    <w:rsid w:val="00155D0D"/>
    <w:rsid w:val="00156521"/>
    <w:rsid w:val="001573D6"/>
    <w:rsid w:val="00160EA9"/>
    <w:rsid w:val="001623A9"/>
    <w:rsid w:val="00164131"/>
    <w:rsid w:val="00164649"/>
    <w:rsid w:val="00164BD4"/>
    <w:rsid w:val="00167912"/>
    <w:rsid w:val="00170E05"/>
    <w:rsid w:val="001721B0"/>
    <w:rsid w:val="00175493"/>
    <w:rsid w:val="00175D14"/>
    <w:rsid w:val="00176726"/>
    <w:rsid w:val="001800B3"/>
    <w:rsid w:val="00180FAC"/>
    <w:rsid w:val="00182122"/>
    <w:rsid w:val="00182EA2"/>
    <w:rsid w:val="00182EA5"/>
    <w:rsid w:val="00190959"/>
    <w:rsid w:val="00193F9F"/>
    <w:rsid w:val="00194B4A"/>
    <w:rsid w:val="00194DB5"/>
    <w:rsid w:val="0019708C"/>
    <w:rsid w:val="001A024B"/>
    <w:rsid w:val="001A0A92"/>
    <w:rsid w:val="001A2389"/>
    <w:rsid w:val="001A42BD"/>
    <w:rsid w:val="001A5280"/>
    <w:rsid w:val="001A610F"/>
    <w:rsid w:val="001A6B53"/>
    <w:rsid w:val="001B190F"/>
    <w:rsid w:val="001B2D36"/>
    <w:rsid w:val="001B555D"/>
    <w:rsid w:val="001C0907"/>
    <w:rsid w:val="001C0E01"/>
    <w:rsid w:val="001E6E11"/>
    <w:rsid w:val="001E6FAF"/>
    <w:rsid w:val="001F1764"/>
    <w:rsid w:val="001F2291"/>
    <w:rsid w:val="001F2F12"/>
    <w:rsid w:val="001F3F46"/>
    <w:rsid w:val="001F481B"/>
    <w:rsid w:val="002004A3"/>
    <w:rsid w:val="00200A16"/>
    <w:rsid w:val="0020356F"/>
    <w:rsid w:val="00205D6F"/>
    <w:rsid w:val="002073F2"/>
    <w:rsid w:val="0021144C"/>
    <w:rsid w:val="00213D8B"/>
    <w:rsid w:val="00221E13"/>
    <w:rsid w:val="00222342"/>
    <w:rsid w:val="00222553"/>
    <w:rsid w:val="00223E29"/>
    <w:rsid w:val="00224C63"/>
    <w:rsid w:val="00230AAD"/>
    <w:rsid w:val="00236027"/>
    <w:rsid w:val="00236CA2"/>
    <w:rsid w:val="002408B5"/>
    <w:rsid w:val="00245D53"/>
    <w:rsid w:val="002507D7"/>
    <w:rsid w:val="002539D8"/>
    <w:rsid w:val="0025484E"/>
    <w:rsid w:val="002555B9"/>
    <w:rsid w:val="00261F5C"/>
    <w:rsid w:val="00262F10"/>
    <w:rsid w:val="002665EA"/>
    <w:rsid w:val="0027185D"/>
    <w:rsid w:val="002730FD"/>
    <w:rsid w:val="00277429"/>
    <w:rsid w:val="002815DE"/>
    <w:rsid w:val="002838D9"/>
    <w:rsid w:val="00284022"/>
    <w:rsid w:val="002861C0"/>
    <w:rsid w:val="002868FF"/>
    <w:rsid w:val="0029128F"/>
    <w:rsid w:val="002920A3"/>
    <w:rsid w:val="002956C8"/>
    <w:rsid w:val="00297FB7"/>
    <w:rsid w:val="002A74EC"/>
    <w:rsid w:val="002B0C52"/>
    <w:rsid w:val="002B2058"/>
    <w:rsid w:val="002B316C"/>
    <w:rsid w:val="002B44A7"/>
    <w:rsid w:val="002B63D6"/>
    <w:rsid w:val="002B6597"/>
    <w:rsid w:val="002B699C"/>
    <w:rsid w:val="002C2C93"/>
    <w:rsid w:val="002C3F2F"/>
    <w:rsid w:val="002C6CB2"/>
    <w:rsid w:val="002C6CE9"/>
    <w:rsid w:val="002D269D"/>
    <w:rsid w:val="002D6FA3"/>
    <w:rsid w:val="002E1538"/>
    <w:rsid w:val="002E1B39"/>
    <w:rsid w:val="002E1D5B"/>
    <w:rsid w:val="002E2CD6"/>
    <w:rsid w:val="002E3062"/>
    <w:rsid w:val="002E4D0B"/>
    <w:rsid w:val="002E4DDA"/>
    <w:rsid w:val="002E5FB8"/>
    <w:rsid w:val="002E62A0"/>
    <w:rsid w:val="002F5657"/>
    <w:rsid w:val="002F7C2C"/>
    <w:rsid w:val="00300AE7"/>
    <w:rsid w:val="00303C76"/>
    <w:rsid w:val="00305B45"/>
    <w:rsid w:val="00310CB0"/>
    <w:rsid w:val="00314945"/>
    <w:rsid w:val="003229B3"/>
    <w:rsid w:val="00323253"/>
    <w:rsid w:val="00324C3D"/>
    <w:rsid w:val="00324F44"/>
    <w:rsid w:val="003251CE"/>
    <w:rsid w:val="003252AA"/>
    <w:rsid w:val="00326EC8"/>
    <w:rsid w:val="00331A36"/>
    <w:rsid w:val="00331CC0"/>
    <w:rsid w:val="00332FCD"/>
    <w:rsid w:val="00335869"/>
    <w:rsid w:val="00335A2E"/>
    <w:rsid w:val="00336317"/>
    <w:rsid w:val="003442A1"/>
    <w:rsid w:val="0034638F"/>
    <w:rsid w:val="00346435"/>
    <w:rsid w:val="0035110D"/>
    <w:rsid w:val="003547B0"/>
    <w:rsid w:val="00355818"/>
    <w:rsid w:val="00360760"/>
    <w:rsid w:val="00360EF7"/>
    <w:rsid w:val="00366F74"/>
    <w:rsid w:val="003679FB"/>
    <w:rsid w:val="00367B8A"/>
    <w:rsid w:val="00373354"/>
    <w:rsid w:val="00375EAD"/>
    <w:rsid w:val="00382077"/>
    <w:rsid w:val="00383576"/>
    <w:rsid w:val="0038421A"/>
    <w:rsid w:val="003855B0"/>
    <w:rsid w:val="00385E6F"/>
    <w:rsid w:val="00390A6A"/>
    <w:rsid w:val="0039163B"/>
    <w:rsid w:val="00393246"/>
    <w:rsid w:val="00393730"/>
    <w:rsid w:val="0039685B"/>
    <w:rsid w:val="003978EE"/>
    <w:rsid w:val="003A13FD"/>
    <w:rsid w:val="003A6D5D"/>
    <w:rsid w:val="003A7043"/>
    <w:rsid w:val="003A71D3"/>
    <w:rsid w:val="003A73BB"/>
    <w:rsid w:val="003B0A55"/>
    <w:rsid w:val="003B0D25"/>
    <w:rsid w:val="003B6CDD"/>
    <w:rsid w:val="003C0DCA"/>
    <w:rsid w:val="003C1C25"/>
    <w:rsid w:val="003C3F02"/>
    <w:rsid w:val="003C5492"/>
    <w:rsid w:val="003D1F2B"/>
    <w:rsid w:val="003D4B45"/>
    <w:rsid w:val="003E171B"/>
    <w:rsid w:val="003E2D75"/>
    <w:rsid w:val="003E2FA3"/>
    <w:rsid w:val="003E4A71"/>
    <w:rsid w:val="003E5190"/>
    <w:rsid w:val="003E577C"/>
    <w:rsid w:val="003E5B62"/>
    <w:rsid w:val="003E6781"/>
    <w:rsid w:val="003E7FF3"/>
    <w:rsid w:val="003F0877"/>
    <w:rsid w:val="00400594"/>
    <w:rsid w:val="004005B1"/>
    <w:rsid w:val="004016E3"/>
    <w:rsid w:val="0040221B"/>
    <w:rsid w:val="00406F6C"/>
    <w:rsid w:val="00414EBF"/>
    <w:rsid w:val="0041625E"/>
    <w:rsid w:val="0042001B"/>
    <w:rsid w:val="00421AC7"/>
    <w:rsid w:val="00422D20"/>
    <w:rsid w:val="00423253"/>
    <w:rsid w:val="00425748"/>
    <w:rsid w:val="004352F0"/>
    <w:rsid w:val="004357D2"/>
    <w:rsid w:val="004379A3"/>
    <w:rsid w:val="00441A88"/>
    <w:rsid w:val="0045062D"/>
    <w:rsid w:val="00450B4F"/>
    <w:rsid w:val="004514F9"/>
    <w:rsid w:val="00452311"/>
    <w:rsid w:val="00453B5C"/>
    <w:rsid w:val="004605B4"/>
    <w:rsid w:val="00460762"/>
    <w:rsid w:val="0046387D"/>
    <w:rsid w:val="00464CAC"/>
    <w:rsid w:val="00470954"/>
    <w:rsid w:val="00474739"/>
    <w:rsid w:val="00475812"/>
    <w:rsid w:val="004769AB"/>
    <w:rsid w:val="00477600"/>
    <w:rsid w:val="00477ECC"/>
    <w:rsid w:val="00483E84"/>
    <w:rsid w:val="00484D27"/>
    <w:rsid w:val="0048537A"/>
    <w:rsid w:val="0049283C"/>
    <w:rsid w:val="00492B9F"/>
    <w:rsid w:val="0049372D"/>
    <w:rsid w:val="004A2DB4"/>
    <w:rsid w:val="004A4512"/>
    <w:rsid w:val="004A748D"/>
    <w:rsid w:val="004B1629"/>
    <w:rsid w:val="004B2857"/>
    <w:rsid w:val="004B690F"/>
    <w:rsid w:val="004B6DD7"/>
    <w:rsid w:val="004C0761"/>
    <w:rsid w:val="004C0A91"/>
    <w:rsid w:val="004C14F0"/>
    <w:rsid w:val="004C165E"/>
    <w:rsid w:val="004C2011"/>
    <w:rsid w:val="004C4EB4"/>
    <w:rsid w:val="004C4FF5"/>
    <w:rsid w:val="004C55B5"/>
    <w:rsid w:val="004C61F9"/>
    <w:rsid w:val="004C71FF"/>
    <w:rsid w:val="004C7402"/>
    <w:rsid w:val="004C7943"/>
    <w:rsid w:val="004D1591"/>
    <w:rsid w:val="004D2E26"/>
    <w:rsid w:val="004D2F8E"/>
    <w:rsid w:val="004D363F"/>
    <w:rsid w:val="004D6AD4"/>
    <w:rsid w:val="004E14D1"/>
    <w:rsid w:val="004E64A6"/>
    <w:rsid w:val="004E6A9A"/>
    <w:rsid w:val="004F1CD7"/>
    <w:rsid w:val="004F2803"/>
    <w:rsid w:val="004F7689"/>
    <w:rsid w:val="005000D0"/>
    <w:rsid w:val="00501951"/>
    <w:rsid w:val="00502457"/>
    <w:rsid w:val="005024E2"/>
    <w:rsid w:val="00503E2F"/>
    <w:rsid w:val="00504948"/>
    <w:rsid w:val="00507945"/>
    <w:rsid w:val="00510E4B"/>
    <w:rsid w:val="0051100D"/>
    <w:rsid w:val="00511E35"/>
    <w:rsid w:val="0051369D"/>
    <w:rsid w:val="00513790"/>
    <w:rsid w:val="005140D7"/>
    <w:rsid w:val="005143B3"/>
    <w:rsid w:val="005151D9"/>
    <w:rsid w:val="005156B6"/>
    <w:rsid w:val="00515D70"/>
    <w:rsid w:val="0051774E"/>
    <w:rsid w:val="00517CC6"/>
    <w:rsid w:val="00520B06"/>
    <w:rsid w:val="00524870"/>
    <w:rsid w:val="00525952"/>
    <w:rsid w:val="00526CD2"/>
    <w:rsid w:val="00535222"/>
    <w:rsid w:val="00535B49"/>
    <w:rsid w:val="00540007"/>
    <w:rsid w:val="0054223D"/>
    <w:rsid w:val="00543A8B"/>
    <w:rsid w:val="00543FB2"/>
    <w:rsid w:val="00544875"/>
    <w:rsid w:val="005453DF"/>
    <w:rsid w:val="00546BAE"/>
    <w:rsid w:val="00546E6A"/>
    <w:rsid w:val="005535C3"/>
    <w:rsid w:val="00554678"/>
    <w:rsid w:val="00555314"/>
    <w:rsid w:val="005559CC"/>
    <w:rsid w:val="0055751F"/>
    <w:rsid w:val="005575F6"/>
    <w:rsid w:val="00557EBD"/>
    <w:rsid w:val="00561DAB"/>
    <w:rsid w:val="00564334"/>
    <w:rsid w:val="0056437C"/>
    <w:rsid w:val="00565292"/>
    <w:rsid w:val="005674B7"/>
    <w:rsid w:val="005677DF"/>
    <w:rsid w:val="00573DF4"/>
    <w:rsid w:val="00574026"/>
    <w:rsid w:val="00574C3A"/>
    <w:rsid w:val="00576457"/>
    <w:rsid w:val="00576B36"/>
    <w:rsid w:val="00581E69"/>
    <w:rsid w:val="00581F24"/>
    <w:rsid w:val="005823FF"/>
    <w:rsid w:val="0059167D"/>
    <w:rsid w:val="00592B80"/>
    <w:rsid w:val="00592FBC"/>
    <w:rsid w:val="00594433"/>
    <w:rsid w:val="005948A4"/>
    <w:rsid w:val="005A2A4C"/>
    <w:rsid w:val="005A3F9C"/>
    <w:rsid w:val="005B0DA0"/>
    <w:rsid w:val="005B0F32"/>
    <w:rsid w:val="005B1CD0"/>
    <w:rsid w:val="005C09C3"/>
    <w:rsid w:val="005C0DF0"/>
    <w:rsid w:val="005C19EF"/>
    <w:rsid w:val="005C4CB1"/>
    <w:rsid w:val="005C6409"/>
    <w:rsid w:val="005C7718"/>
    <w:rsid w:val="005D0067"/>
    <w:rsid w:val="005D0C22"/>
    <w:rsid w:val="005D31E5"/>
    <w:rsid w:val="005D510D"/>
    <w:rsid w:val="005D5722"/>
    <w:rsid w:val="005E0CCC"/>
    <w:rsid w:val="005E0F2F"/>
    <w:rsid w:val="005E0F82"/>
    <w:rsid w:val="005E3409"/>
    <w:rsid w:val="005E5931"/>
    <w:rsid w:val="005E6082"/>
    <w:rsid w:val="005E6AFD"/>
    <w:rsid w:val="005F226E"/>
    <w:rsid w:val="005F5344"/>
    <w:rsid w:val="005F69CF"/>
    <w:rsid w:val="006029F5"/>
    <w:rsid w:val="00603BF3"/>
    <w:rsid w:val="006047B9"/>
    <w:rsid w:val="00605874"/>
    <w:rsid w:val="00610089"/>
    <w:rsid w:val="00611D78"/>
    <w:rsid w:val="0061452E"/>
    <w:rsid w:val="006154C0"/>
    <w:rsid w:val="0061598E"/>
    <w:rsid w:val="006159B9"/>
    <w:rsid w:val="0062177C"/>
    <w:rsid w:val="00622EDA"/>
    <w:rsid w:val="00623242"/>
    <w:rsid w:val="0062387D"/>
    <w:rsid w:val="00624F09"/>
    <w:rsid w:val="00630A6E"/>
    <w:rsid w:val="0063265A"/>
    <w:rsid w:val="00643BAF"/>
    <w:rsid w:val="00644A96"/>
    <w:rsid w:val="00645FA5"/>
    <w:rsid w:val="00651780"/>
    <w:rsid w:val="006523C2"/>
    <w:rsid w:val="00652912"/>
    <w:rsid w:val="0065331E"/>
    <w:rsid w:val="00655D98"/>
    <w:rsid w:val="00656AC9"/>
    <w:rsid w:val="00664545"/>
    <w:rsid w:val="00672467"/>
    <w:rsid w:val="00673539"/>
    <w:rsid w:val="00675B4E"/>
    <w:rsid w:val="00682394"/>
    <w:rsid w:val="006823AA"/>
    <w:rsid w:val="00682A1C"/>
    <w:rsid w:val="006835B1"/>
    <w:rsid w:val="00683B65"/>
    <w:rsid w:val="00695543"/>
    <w:rsid w:val="006973B2"/>
    <w:rsid w:val="006A2747"/>
    <w:rsid w:val="006A6D52"/>
    <w:rsid w:val="006A753A"/>
    <w:rsid w:val="006B0B36"/>
    <w:rsid w:val="006B147B"/>
    <w:rsid w:val="006B2027"/>
    <w:rsid w:val="006B22B4"/>
    <w:rsid w:val="006B2517"/>
    <w:rsid w:val="006C1DB5"/>
    <w:rsid w:val="006C2129"/>
    <w:rsid w:val="006C2A64"/>
    <w:rsid w:val="006C322D"/>
    <w:rsid w:val="006C3B0D"/>
    <w:rsid w:val="006C3B2A"/>
    <w:rsid w:val="006D01D2"/>
    <w:rsid w:val="006D10B6"/>
    <w:rsid w:val="006D18B2"/>
    <w:rsid w:val="006D194F"/>
    <w:rsid w:val="006D19DD"/>
    <w:rsid w:val="006D1A6B"/>
    <w:rsid w:val="006D2977"/>
    <w:rsid w:val="006D425B"/>
    <w:rsid w:val="006D5C9B"/>
    <w:rsid w:val="006D7F25"/>
    <w:rsid w:val="006E3264"/>
    <w:rsid w:val="006E3726"/>
    <w:rsid w:val="006E3972"/>
    <w:rsid w:val="006E4798"/>
    <w:rsid w:val="006E6CFE"/>
    <w:rsid w:val="006F3FE8"/>
    <w:rsid w:val="006F5D0A"/>
    <w:rsid w:val="00700249"/>
    <w:rsid w:val="007002E4"/>
    <w:rsid w:val="00704113"/>
    <w:rsid w:val="00704C7A"/>
    <w:rsid w:val="00705C9A"/>
    <w:rsid w:val="00714AA4"/>
    <w:rsid w:val="00715EDE"/>
    <w:rsid w:val="00716944"/>
    <w:rsid w:val="00717189"/>
    <w:rsid w:val="00722555"/>
    <w:rsid w:val="007263D5"/>
    <w:rsid w:val="0073515F"/>
    <w:rsid w:val="007374EE"/>
    <w:rsid w:val="007457C7"/>
    <w:rsid w:val="00750278"/>
    <w:rsid w:val="007532BF"/>
    <w:rsid w:val="0075515C"/>
    <w:rsid w:val="007625BA"/>
    <w:rsid w:val="00767BAC"/>
    <w:rsid w:val="00770949"/>
    <w:rsid w:val="0077441D"/>
    <w:rsid w:val="00776640"/>
    <w:rsid w:val="00782CE3"/>
    <w:rsid w:val="00784DDF"/>
    <w:rsid w:val="007851D5"/>
    <w:rsid w:val="00785869"/>
    <w:rsid w:val="007859B1"/>
    <w:rsid w:val="007930BE"/>
    <w:rsid w:val="00796D95"/>
    <w:rsid w:val="00797733"/>
    <w:rsid w:val="007A13C2"/>
    <w:rsid w:val="007A47BC"/>
    <w:rsid w:val="007A6F9A"/>
    <w:rsid w:val="007B1620"/>
    <w:rsid w:val="007B1F1A"/>
    <w:rsid w:val="007B37AD"/>
    <w:rsid w:val="007B742C"/>
    <w:rsid w:val="007C1721"/>
    <w:rsid w:val="007C2856"/>
    <w:rsid w:val="007C47AC"/>
    <w:rsid w:val="007C4AF0"/>
    <w:rsid w:val="007D0A3E"/>
    <w:rsid w:val="007D467F"/>
    <w:rsid w:val="007D5BBE"/>
    <w:rsid w:val="007E3721"/>
    <w:rsid w:val="007E4081"/>
    <w:rsid w:val="007E4FF2"/>
    <w:rsid w:val="007F0E0E"/>
    <w:rsid w:val="007F3075"/>
    <w:rsid w:val="0080009E"/>
    <w:rsid w:val="00800FE6"/>
    <w:rsid w:val="00803F59"/>
    <w:rsid w:val="00807882"/>
    <w:rsid w:val="0081146F"/>
    <w:rsid w:val="0082156B"/>
    <w:rsid w:val="00825E09"/>
    <w:rsid w:val="00825FAB"/>
    <w:rsid w:val="00826AAE"/>
    <w:rsid w:val="00833EDA"/>
    <w:rsid w:val="008344EE"/>
    <w:rsid w:val="00842DF4"/>
    <w:rsid w:val="0084435B"/>
    <w:rsid w:val="008464DB"/>
    <w:rsid w:val="00847E7C"/>
    <w:rsid w:val="00850BAB"/>
    <w:rsid w:val="00851C34"/>
    <w:rsid w:val="00855FB1"/>
    <w:rsid w:val="00856794"/>
    <w:rsid w:val="0085734C"/>
    <w:rsid w:val="00860C01"/>
    <w:rsid w:val="00864918"/>
    <w:rsid w:val="0087034E"/>
    <w:rsid w:val="0087274F"/>
    <w:rsid w:val="00872C2B"/>
    <w:rsid w:val="00873BFA"/>
    <w:rsid w:val="00881FC4"/>
    <w:rsid w:val="008836DB"/>
    <w:rsid w:val="00890E03"/>
    <w:rsid w:val="0089127C"/>
    <w:rsid w:val="0089626A"/>
    <w:rsid w:val="008A07F0"/>
    <w:rsid w:val="008A1134"/>
    <w:rsid w:val="008A387A"/>
    <w:rsid w:val="008A53F4"/>
    <w:rsid w:val="008A55DD"/>
    <w:rsid w:val="008A7653"/>
    <w:rsid w:val="008A7947"/>
    <w:rsid w:val="008B39F5"/>
    <w:rsid w:val="008C08B5"/>
    <w:rsid w:val="008C1027"/>
    <w:rsid w:val="008C334E"/>
    <w:rsid w:val="008C46CF"/>
    <w:rsid w:val="008C69D2"/>
    <w:rsid w:val="008C7C06"/>
    <w:rsid w:val="008D2052"/>
    <w:rsid w:val="008D26E4"/>
    <w:rsid w:val="008D3BF2"/>
    <w:rsid w:val="008D5524"/>
    <w:rsid w:val="008D5F34"/>
    <w:rsid w:val="008D6E8F"/>
    <w:rsid w:val="008D7C4B"/>
    <w:rsid w:val="008E094B"/>
    <w:rsid w:val="008E2D8A"/>
    <w:rsid w:val="008E48A8"/>
    <w:rsid w:val="008E6344"/>
    <w:rsid w:val="008E67FC"/>
    <w:rsid w:val="008E75BF"/>
    <w:rsid w:val="008F2548"/>
    <w:rsid w:val="008F5FBC"/>
    <w:rsid w:val="008F6130"/>
    <w:rsid w:val="00902D9E"/>
    <w:rsid w:val="00903915"/>
    <w:rsid w:val="00904D0B"/>
    <w:rsid w:val="00906656"/>
    <w:rsid w:val="00910F4B"/>
    <w:rsid w:val="0091169B"/>
    <w:rsid w:val="009118A8"/>
    <w:rsid w:val="0091241A"/>
    <w:rsid w:val="00912473"/>
    <w:rsid w:val="009127C0"/>
    <w:rsid w:val="00912B83"/>
    <w:rsid w:val="00912E32"/>
    <w:rsid w:val="00915646"/>
    <w:rsid w:val="00917724"/>
    <w:rsid w:val="0091772B"/>
    <w:rsid w:val="00917D6F"/>
    <w:rsid w:val="0092059B"/>
    <w:rsid w:val="009246F9"/>
    <w:rsid w:val="00930898"/>
    <w:rsid w:val="00931E47"/>
    <w:rsid w:val="00933508"/>
    <w:rsid w:val="00937514"/>
    <w:rsid w:val="00944FB2"/>
    <w:rsid w:val="00946706"/>
    <w:rsid w:val="009477E7"/>
    <w:rsid w:val="00947D8F"/>
    <w:rsid w:val="00947ED0"/>
    <w:rsid w:val="009511C8"/>
    <w:rsid w:val="0095559E"/>
    <w:rsid w:val="0096229F"/>
    <w:rsid w:val="00963B48"/>
    <w:rsid w:val="00966C62"/>
    <w:rsid w:val="009678EE"/>
    <w:rsid w:val="00970613"/>
    <w:rsid w:val="00970A03"/>
    <w:rsid w:val="009719E6"/>
    <w:rsid w:val="009729E3"/>
    <w:rsid w:val="00973C28"/>
    <w:rsid w:val="0097701F"/>
    <w:rsid w:val="009802C5"/>
    <w:rsid w:val="009832BC"/>
    <w:rsid w:val="009839A6"/>
    <w:rsid w:val="00984461"/>
    <w:rsid w:val="00984C83"/>
    <w:rsid w:val="00985357"/>
    <w:rsid w:val="00986FEF"/>
    <w:rsid w:val="009929D1"/>
    <w:rsid w:val="00992F43"/>
    <w:rsid w:val="00993389"/>
    <w:rsid w:val="009963A8"/>
    <w:rsid w:val="00996796"/>
    <w:rsid w:val="00997C9E"/>
    <w:rsid w:val="009A585D"/>
    <w:rsid w:val="009A639B"/>
    <w:rsid w:val="009B047F"/>
    <w:rsid w:val="009B0BAF"/>
    <w:rsid w:val="009B3205"/>
    <w:rsid w:val="009C0182"/>
    <w:rsid w:val="009C2536"/>
    <w:rsid w:val="009C25D5"/>
    <w:rsid w:val="009C2AB8"/>
    <w:rsid w:val="009C3243"/>
    <w:rsid w:val="009D1A1B"/>
    <w:rsid w:val="009D26B5"/>
    <w:rsid w:val="009D5F82"/>
    <w:rsid w:val="009D6AE9"/>
    <w:rsid w:val="009D7128"/>
    <w:rsid w:val="009E6733"/>
    <w:rsid w:val="009E710E"/>
    <w:rsid w:val="009F15CA"/>
    <w:rsid w:val="009F194E"/>
    <w:rsid w:val="009F4A8F"/>
    <w:rsid w:val="009F6C5E"/>
    <w:rsid w:val="009F6FDC"/>
    <w:rsid w:val="009F753E"/>
    <w:rsid w:val="009F7DA5"/>
    <w:rsid w:val="00A0102C"/>
    <w:rsid w:val="00A0222D"/>
    <w:rsid w:val="00A03201"/>
    <w:rsid w:val="00A076EB"/>
    <w:rsid w:val="00A07837"/>
    <w:rsid w:val="00A079AF"/>
    <w:rsid w:val="00A1016A"/>
    <w:rsid w:val="00A13DA5"/>
    <w:rsid w:val="00A14539"/>
    <w:rsid w:val="00A14AF6"/>
    <w:rsid w:val="00A14C71"/>
    <w:rsid w:val="00A17A27"/>
    <w:rsid w:val="00A20091"/>
    <w:rsid w:val="00A22D6A"/>
    <w:rsid w:val="00A306E0"/>
    <w:rsid w:val="00A308A7"/>
    <w:rsid w:val="00A312C4"/>
    <w:rsid w:val="00A31FA4"/>
    <w:rsid w:val="00A33CFE"/>
    <w:rsid w:val="00A36EFB"/>
    <w:rsid w:val="00A37369"/>
    <w:rsid w:val="00A37F8D"/>
    <w:rsid w:val="00A431B1"/>
    <w:rsid w:val="00A43EBD"/>
    <w:rsid w:val="00A45107"/>
    <w:rsid w:val="00A47024"/>
    <w:rsid w:val="00A47C42"/>
    <w:rsid w:val="00A548AD"/>
    <w:rsid w:val="00A54BEF"/>
    <w:rsid w:val="00A54FB6"/>
    <w:rsid w:val="00A60216"/>
    <w:rsid w:val="00A61416"/>
    <w:rsid w:val="00A620B4"/>
    <w:rsid w:val="00A62F2E"/>
    <w:rsid w:val="00A70FC0"/>
    <w:rsid w:val="00A72572"/>
    <w:rsid w:val="00A73812"/>
    <w:rsid w:val="00A741E7"/>
    <w:rsid w:val="00A77092"/>
    <w:rsid w:val="00A812CA"/>
    <w:rsid w:val="00A832E1"/>
    <w:rsid w:val="00A83E13"/>
    <w:rsid w:val="00A84ACE"/>
    <w:rsid w:val="00A85D10"/>
    <w:rsid w:val="00A85DAB"/>
    <w:rsid w:val="00A863EF"/>
    <w:rsid w:val="00A87827"/>
    <w:rsid w:val="00A92E51"/>
    <w:rsid w:val="00A93C45"/>
    <w:rsid w:val="00AA3C2E"/>
    <w:rsid w:val="00AA411E"/>
    <w:rsid w:val="00AA7691"/>
    <w:rsid w:val="00AB34C7"/>
    <w:rsid w:val="00AB3894"/>
    <w:rsid w:val="00AB3EFB"/>
    <w:rsid w:val="00AB3F8B"/>
    <w:rsid w:val="00AB6814"/>
    <w:rsid w:val="00AC1982"/>
    <w:rsid w:val="00AC287D"/>
    <w:rsid w:val="00AC39C2"/>
    <w:rsid w:val="00AC4929"/>
    <w:rsid w:val="00AC69F6"/>
    <w:rsid w:val="00AC7884"/>
    <w:rsid w:val="00AD00EE"/>
    <w:rsid w:val="00AD0A09"/>
    <w:rsid w:val="00AD0B8D"/>
    <w:rsid w:val="00AD1E0D"/>
    <w:rsid w:val="00AD7D5B"/>
    <w:rsid w:val="00AE1E2C"/>
    <w:rsid w:val="00AE5B0B"/>
    <w:rsid w:val="00AF33AC"/>
    <w:rsid w:val="00AF36C8"/>
    <w:rsid w:val="00AF418D"/>
    <w:rsid w:val="00AF6314"/>
    <w:rsid w:val="00AF7130"/>
    <w:rsid w:val="00AF7FE2"/>
    <w:rsid w:val="00B016A2"/>
    <w:rsid w:val="00B021FE"/>
    <w:rsid w:val="00B04E20"/>
    <w:rsid w:val="00B12E6D"/>
    <w:rsid w:val="00B1619E"/>
    <w:rsid w:val="00B201A0"/>
    <w:rsid w:val="00B245B6"/>
    <w:rsid w:val="00B255E1"/>
    <w:rsid w:val="00B25C69"/>
    <w:rsid w:val="00B26F12"/>
    <w:rsid w:val="00B27053"/>
    <w:rsid w:val="00B271D9"/>
    <w:rsid w:val="00B27D57"/>
    <w:rsid w:val="00B311EF"/>
    <w:rsid w:val="00B31D35"/>
    <w:rsid w:val="00B326C7"/>
    <w:rsid w:val="00B32A4C"/>
    <w:rsid w:val="00B32AE9"/>
    <w:rsid w:val="00B331E1"/>
    <w:rsid w:val="00B33F2E"/>
    <w:rsid w:val="00B35CC0"/>
    <w:rsid w:val="00B368CC"/>
    <w:rsid w:val="00B4084D"/>
    <w:rsid w:val="00B45B20"/>
    <w:rsid w:val="00B47550"/>
    <w:rsid w:val="00B51800"/>
    <w:rsid w:val="00B51FDB"/>
    <w:rsid w:val="00B53728"/>
    <w:rsid w:val="00B564B0"/>
    <w:rsid w:val="00B6062B"/>
    <w:rsid w:val="00B61365"/>
    <w:rsid w:val="00B6156D"/>
    <w:rsid w:val="00B631B3"/>
    <w:rsid w:val="00B649CB"/>
    <w:rsid w:val="00B7022F"/>
    <w:rsid w:val="00B71B8F"/>
    <w:rsid w:val="00B71C31"/>
    <w:rsid w:val="00B72EC6"/>
    <w:rsid w:val="00B7381C"/>
    <w:rsid w:val="00B75F38"/>
    <w:rsid w:val="00B809CB"/>
    <w:rsid w:val="00B82F23"/>
    <w:rsid w:val="00B83F07"/>
    <w:rsid w:val="00B84512"/>
    <w:rsid w:val="00B874A1"/>
    <w:rsid w:val="00B8775A"/>
    <w:rsid w:val="00B926B1"/>
    <w:rsid w:val="00B940ED"/>
    <w:rsid w:val="00B95C9A"/>
    <w:rsid w:val="00B97AFD"/>
    <w:rsid w:val="00B97C00"/>
    <w:rsid w:val="00BA00F3"/>
    <w:rsid w:val="00BA3C60"/>
    <w:rsid w:val="00BA7F48"/>
    <w:rsid w:val="00BA7FBE"/>
    <w:rsid w:val="00BB016B"/>
    <w:rsid w:val="00BB02F6"/>
    <w:rsid w:val="00BB26AE"/>
    <w:rsid w:val="00BB4844"/>
    <w:rsid w:val="00BC25EA"/>
    <w:rsid w:val="00BC26A7"/>
    <w:rsid w:val="00BC2879"/>
    <w:rsid w:val="00BC5A08"/>
    <w:rsid w:val="00BC5E06"/>
    <w:rsid w:val="00BC5F8E"/>
    <w:rsid w:val="00BD04FA"/>
    <w:rsid w:val="00BD1960"/>
    <w:rsid w:val="00BD35A6"/>
    <w:rsid w:val="00BD4649"/>
    <w:rsid w:val="00BD72CD"/>
    <w:rsid w:val="00BD7E98"/>
    <w:rsid w:val="00BE0BE4"/>
    <w:rsid w:val="00BE248C"/>
    <w:rsid w:val="00BE63EE"/>
    <w:rsid w:val="00BE7C2A"/>
    <w:rsid w:val="00BE7E09"/>
    <w:rsid w:val="00BF317D"/>
    <w:rsid w:val="00BF3D6F"/>
    <w:rsid w:val="00BF3E08"/>
    <w:rsid w:val="00BF5382"/>
    <w:rsid w:val="00BF618D"/>
    <w:rsid w:val="00C0635D"/>
    <w:rsid w:val="00C109B4"/>
    <w:rsid w:val="00C1335F"/>
    <w:rsid w:val="00C13E93"/>
    <w:rsid w:val="00C14816"/>
    <w:rsid w:val="00C1717E"/>
    <w:rsid w:val="00C20F85"/>
    <w:rsid w:val="00C23D7E"/>
    <w:rsid w:val="00C258E7"/>
    <w:rsid w:val="00C2616D"/>
    <w:rsid w:val="00C261EF"/>
    <w:rsid w:val="00C27485"/>
    <w:rsid w:val="00C279D5"/>
    <w:rsid w:val="00C3604F"/>
    <w:rsid w:val="00C3606B"/>
    <w:rsid w:val="00C364D9"/>
    <w:rsid w:val="00C375D9"/>
    <w:rsid w:val="00C41A1B"/>
    <w:rsid w:val="00C4343A"/>
    <w:rsid w:val="00C438A1"/>
    <w:rsid w:val="00C43C8A"/>
    <w:rsid w:val="00C463DC"/>
    <w:rsid w:val="00C524DF"/>
    <w:rsid w:val="00C54451"/>
    <w:rsid w:val="00C54906"/>
    <w:rsid w:val="00C604B9"/>
    <w:rsid w:val="00C61A53"/>
    <w:rsid w:val="00C62455"/>
    <w:rsid w:val="00C62612"/>
    <w:rsid w:val="00C63B55"/>
    <w:rsid w:val="00C64048"/>
    <w:rsid w:val="00C6730A"/>
    <w:rsid w:val="00C708A6"/>
    <w:rsid w:val="00C72A7E"/>
    <w:rsid w:val="00C73B2C"/>
    <w:rsid w:val="00C74F95"/>
    <w:rsid w:val="00C812F1"/>
    <w:rsid w:val="00C817E4"/>
    <w:rsid w:val="00C857EE"/>
    <w:rsid w:val="00C87D29"/>
    <w:rsid w:val="00C90288"/>
    <w:rsid w:val="00C9208B"/>
    <w:rsid w:val="00C92C93"/>
    <w:rsid w:val="00C947B7"/>
    <w:rsid w:val="00C97163"/>
    <w:rsid w:val="00CA0780"/>
    <w:rsid w:val="00CA4214"/>
    <w:rsid w:val="00CA483E"/>
    <w:rsid w:val="00CA71C8"/>
    <w:rsid w:val="00CB1353"/>
    <w:rsid w:val="00CB2C4A"/>
    <w:rsid w:val="00CB373D"/>
    <w:rsid w:val="00CB4B04"/>
    <w:rsid w:val="00CC0C2C"/>
    <w:rsid w:val="00CC307D"/>
    <w:rsid w:val="00CC3836"/>
    <w:rsid w:val="00CC6116"/>
    <w:rsid w:val="00CD1E68"/>
    <w:rsid w:val="00CE7E2B"/>
    <w:rsid w:val="00CF0CD6"/>
    <w:rsid w:val="00CF1586"/>
    <w:rsid w:val="00CF57BD"/>
    <w:rsid w:val="00CF6415"/>
    <w:rsid w:val="00D004A9"/>
    <w:rsid w:val="00D004D2"/>
    <w:rsid w:val="00D01B04"/>
    <w:rsid w:val="00D024A5"/>
    <w:rsid w:val="00D04050"/>
    <w:rsid w:val="00D05314"/>
    <w:rsid w:val="00D165D7"/>
    <w:rsid w:val="00D20CB4"/>
    <w:rsid w:val="00D22C6B"/>
    <w:rsid w:val="00D2498E"/>
    <w:rsid w:val="00D265CA"/>
    <w:rsid w:val="00D27D5C"/>
    <w:rsid w:val="00D31A71"/>
    <w:rsid w:val="00D32AC6"/>
    <w:rsid w:val="00D33611"/>
    <w:rsid w:val="00D34868"/>
    <w:rsid w:val="00D36A9F"/>
    <w:rsid w:val="00D372BE"/>
    <w:rsid w:val="00D415FA"/>
    <w:rsid w:val="00D429A0"/>
    <w:rsid w:val="00D4489B"/>
    <w:rsid w:val="00D44F8B"/>
    <w:rsid w:val="00D50330"/>
    <w:rsid w:val="00D54962"/>
    <w:rsid w:val="00D56AA4"/>
    <w:rsid w:val="00D57811"/>
    <w:rsid w:val="00D5784E"/>
    <w:rsid w:val="00D60848"/>
    <w:rsid w:val="00D62389"/>
    <w:rsid w:val="00D637CF"/>
    <w:rsid w:val="00D63F3D"/>
    <w:rsid w:val="00D66754"/>
    <w:rsid w:val="00D6679C"/>
    <w:rsid w:val="00D67939"/>
    <w:rsid w:val="00D748CA"/>
    <w:rsid w:val="00D77E32"/>
    <w:rsid w:val="00D80433"/>
    <w:rsid w:val="00D81567"/>
    <w:rsid w:val="00D86C42"/>
    <w:rsid w:val="00D9118A"/>
    <w:rsid w:val="00D91F4B"/>
    <w:rsid w:val="00D92911"/>
    <w:rsid w:val="00D92A58"/>
    <w:rsid w:val="00D94C03"/>
    <w:rsid w:val="00DA1870"/>
    <w:rsid w:val="00DA2EE2"/>
    <w:rsid w:val="00DB0204"/>
    <w:rsid w:val="00DB4493"/>
    <w:rsid w:val="00DB5085"/>
    <w:rsid w:val="00DB7A74"/>
    <w:rsid w:val="00DC20FB"/>
    <w:rsid w:val="00DC4772"/>
    <w:rsid w:val="00DC7A13"/>
    <w:rsid w:val="00DD0853"/>
    <w:rsid w:val="00DD095E"/>
    <w:rsid w:val="00DD2AEA"/>
    <w:rsid w:val="00DD313B"/>
    <w:rsid w:val="00DD31B6"/>
    <w:rsid w:val="00DD735E"/>
    <w:rsid w:val="00DE10CD"/>
    <w:rsid w:val="00DE49EB"/>
    <w:rsid w:val="00DE6018"/>
    <w:rsid w:val="00E01764"/>
    <w:rsid w:val="00E03C11"/>
    <w:rsid w:val="00E044B7"/>
    <w:rsid w:val="00E04977"/>
    <w:rsid w:val="00E05174"/>
    <w:rsid w:val="00E072D2"/>
    <w:rsid w:val="00E102FD"/>
    <w:rsid w:val="00E20778"/>
    <w:rsid w:val="00E21070"/>
    <w:rsid w:val="00E27454"/>
    <w:rsid w:val="00E303F8"/>
    <w:rsid w:val="00E36D8E"/>
    <w:rsid w:val="00E419C1"/>
    <w:rsid w:val="00E41F7A"/>
    <w:rsid w:val="00E447EE"/>
    <w:rsid w:val="00E45524"/>
    <w:rsid w:val="00E47B47"/>
    <w:rsid w:val="00E47E3E"/>
    <w:rsid w:val="00E50EAA"/>
    <w:rsid w:val="00E5284D"/>
    <w:rsid w:val="00E56F2A"/>
    <w:rsid w:val="00E61BA6"/>
    <w:rsid w:val="00E62DA5"/>
    <w:rsid w:val="00E6457E"/>
    <w:rsid w:val="00E6750D"/>
    <w:rsid w:val="00E729C2"/>
    <w:rsid w:val="00E769C4"/>
    <w:rsid w:val="00E81851"/>
    <w:rsid w:val="00E831D1"/>
    <w:rsid w:val="00E8356F"/>
    <w:rsid w:val="00E845D6"/>
    <w:rsid w:val="00E84D6F"/>
    <w:rsid w:val="00E863A0"/>
    <w:rsid w:val="00E874F2"/>
    <w:rsid w:val="00E90148"/>
    <w:rsid w:val="00E96BC3"/>
    <w:rsid w:val="00EA04FB"/>
    <w:rsid w:val="00EB300C"/>
    <w:rsid w:val="00EB3BA8"/>
    <w:rsid w:val="00EB50AB"/>
    <w:rsid w:val="00EB745A"/>
    <w:rsid w:val="00EC086E"/>
    <w:rsid w:val="00EC0C98"/>
    <w:rsid w:val="00EC2ECC"/>
    <w:rsid w:val="00EC3AAF"/>
    <w:rsid w:val="00EC4A3D"/>
    <w:rsid w:val="00EC5A8D"/>
    <w:rsid w:val="00EC6039"/>
    <w:rsid w:val="00ED1565"/>
    <w:rsid w:val="00ED1A17"/>
    <w:rsid w:val="00ED43C8"/>
    <w:rsid w:val="00ED4BEE"/>
    <w:rsid w:val="00EE021C"/>
    <w:rsid w:val="00EE1472"/>
    <w:rsid w:val="00EE4A8D"/>
    <w:rsid w:val="00EE78BA"/>
    <w:rsid w:val="00EF1435"/>
    <w:rsid w:val="00EF250C"/>
    <w:rsid w:val="00EF2903"/>
    <w:rsid w:val="00EF3C82"/>
    <w:rsid w:val="00EF66DE"/>
    <w:rsid w:val="00EF7A4D"/>
    <w:rsid w:val="00F0018D"/>
    <w:rsid w:val="00F00AAE"/>
    <w:rsid w:val="00F020D6"/>
    <w:rsid w:val="00F04F10"/>
    <w:rsid w:val="00F0510B"/>
    <w:rsid w:val="00F061BA"/>
    <w:rsid w:val="00F127B6"/>
    <w:rsid w:val="00F14025"/>
    <w:rsid w:val="00F1417C"/>
    <w:rsid w:val="00F1463B"/>
    <w:rsid w:val="00F14C0D"/>
    <w:rsid w:val="00F1546E"/>
    <w:rsid w:val="00F2021D"/>
    <w:rsid w:val="00F217EA"/>
    <w:rsid w:val="00F24EF7"/>
    <w:rsid w:val="00F30E0A"/>
    <w:rsid w:val="00F35E51"/>
    <w:rsid w:val="00F365C6"/>
    <w:rsid w:val="00F37CF2"/>
    <w:rsid w:val="00F40E36"/>
    <w:rsid w:val="00F42F88"/>
    <w:rsid w:val="00F43778"/>
    <w:rsid w:val="00F44AB5"/>
    <w:rsid w:val="00F5440B"/>
    <w:rsid w:val="00F54A91"/>
    <w:rsid w:val="00F557F0"/>
    <w:rsid w:val="00F560E9"/>
    <w:rsid w:val="00F56B83"/>
    <w:rsid w:val="00F6204C"/>
    <w:rsid w:val="00F63A58"/>
    <w:rsid w:val="00F644FA"/>
    <w:rsid w:val="00F65095"/>
    <w:rsid w:val="00F65FEC"/>
    <w:rsid w:val="00F70275"/>
    <w:rsid w:val="00F70727"/>
    <w:rsid w:val="00F7506A"/>
    <w:rsid w:val="00F76599"/>
    <w:rsid w:val="00F85DAC"/>
    <w:rsid w:val="00F90269"/>
    <w:rsid w:val="00F922D2"/>
    <w:rsid w:val="00F94CC2"/>
    <w:rsid w:val="00F9742A"/>
    <w:rsid w:val="00FA151B"/>
    <w:rsid w:val="00FA2F3D"/>
    <w:rsid w:val="00FA7509"/>
    <w:rsid w:val="00FB1B1D"/>
    <w:rsid w:val="00FB36DD"/>
    <w:rsid w:val="00FB4A26"/>
    <w:rsid w:val="00FB6388"/>
    <w:rsid w:val="00FB6DD8"/>
    <w:rsid w:val="00FC0592"/>
    <w:rsid w:val="00FC0B74"/>
    <w:rsid w:val="00FC227B"/>
    <w:rsid w:val="00FC4FD1"/>
    <w:rsid w:val="00FD2F62"/>
    <w:rsid w:val="00FD3CFE"/>
    <w:rsid w:val="00FD640D"/>
    <w:rsid w:val="00FD725F"/>
    <w:rsid w:val="00FE18D1"/>
    <w:rsid w:val="00FE22A0"/>
    <w:rsid w:val="00FE36CA"/>
    <w:rsid w:val="00FE4341"/>
    <w:rsid w:val="00FE43CC"/>
    <w:rsid w:val="00FE6041"/>
    <w:rsid w:val="00FE6386"/>
    <w:rsid w:val="00FE6E25"/>
    <w:rsid w:val="00FF1A70"/>
    <w:rsid w:val="00FF5A47"/>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A3"/>
    <w:pPr>
      <w:ind w:left="720"/>
      <w:contextualSpacing/>
    </w:pPr>
  </w:style>
  <w:style w:type="paragraph" w:styleId="BalloonText">
    <w:name w:val="Balloon Text"/>
    <w:basedOn w:val="Normal"/>
    <w:link w:val="BalloonTextChar"/>
    <w:uiPriority w:val="99"/>
    <w:semiHidden/>
    <w:unhideWhenUsed/>
    <w:rsid w:val="00D6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3D"/>
    <w:rPr>
      <w:rFonts w:ascii="Tahoma" w:hAnsi="Tahoma" w:cs="Tahoma"/>
      <w:sz w:val="16"/>
      <w:szCs w:val="16"/>
    </w:rPr>
  </w:style>
  <w:style w:type="paragraph" w:styleId="FootnoteText">
    <w:name w:val="footnote text"/>
    <w:basedOn w:val="Normal"/>
    <w:link w:val="FootnoteTextChar"/>
    <w:unhideWhenUsed/>
    <w:rsid w:val="00484D27"/>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rsid w:val="00484D27"/>
    <w:rPr>
      <w:rFonts w:eastAsiaTheme="minorEastAsia"/>
      <w:sz w:val="20"/>
      <w:szCs w:val="20"/>
      <w:lang w:eastAsia="en-AU"/>
    </w:rPr>
  </w:style>
  <w:style w:type="character" w:styleId="FootnoteReference">
    <w:name w:val="footnote reference"/>
    <w:basedOn w:val="DefaultParagraphFont"/>
    <w:unhideWhenUsed/>
    <w:rsid w:val="00484D27"/>
    <w:rPr>
      <w:vertAlign w:val="superscript"/>
    </w:rPr>
  </w:style>
  <w:style w:type="paragraph" w:styleId="Header">
    <w:name w:val="header"/>
    <w:basedOn w:val="Normal"/>
    <w:link w:val="HeaderChar"/>
    <w:uiPriority w:val="99"/>
    <w:unhideWhenUsed/>
    <w:rsid w:val="00E5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4D"/>
  </w:style>
  <w:style w:type="paragraph" w:styleId="Footer">
    <w:name w:val="footer"/>
    <w:basedOn w:val="Normal"/>
    <w:link w:val="FooterChar"/>
    <w:uiPriority w:val="99"/>
    <w:unhideWhenUsed/>
    <w:rsid w:val="00E5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4D"/>
  </w:style>
  <w:style w:type="paragraph" w:styleId="NoSpacing">
    <w:name w:val="No Spacing"/>
    <w:link w:val="NoSpacingChar"/>
    <w:uiPriority w:val="1"/>
    <w:qFormat/>
    <w:rsid w:val="0008627A"/>
    <w:pPr>
      <w:spacing w:after="0" w:line="240" w:lineRule="auto"/>
    </w:pPr>
    <w:rPr>
      <w:rFonts w:ascii="Calibri" w:eastAsia="Malgun Gothic" w:hAnsi="Calibri" w:cs="Times New Roman"/>
      <w:lang w:val="en-US" w:eastAsia="en-AU"/>
    </w:rPr>
  </w:style>
  <w:style w:type="character" w:customStyle="1" w:styleId="NoSpacingChar">
    <w:name w:val="No Spacing Char"/>
    <w:basedOn w:val="DefaultParagraphFont"/>
    <w:link w:val="NoSpacing"/>
    <w:uiPriority w:val="1"/>
    <w:locked/>
    <w:rsid w:val="0008627A"/>
    <w:rPr>
      <w:rFonts w:ascii="Calibri" w:eastAsia="Malgun Gothic" w:hAnsi="Calibri" w:cs="Times New Roman"/>
      <w:lang w:val="en-US" w:eastAsia="en-AU"/>
    </w:rPr>
  </w:style>
  <w:style w:type="character" w:styleId="Hyperlink">
    <w:name w:val="Hyperlink"/>
    <w:basedOn w:val="DefaultParagraphFont"/>
    <w:uiPriority w:val="99"/>
    <w:unhideWhenUsed/>
    <w:rsid w:val="000F52BF"/>
    <w:rPr>
      <w:color w:val="0000FF" w:themeColor="hyperlink"/>
      <w:u w:val="single"/>
    </w:rPr>
  </w:style>
  <w:style w:type="character" w:styleId="CommentReference">
    <w:name w:val="annotation reference"/>
    <w:basedOn w:val="DefaultParagraphFont"/>
    <w:uiPriority w:val="99"/>
    <w:semiHidden/>
    <w:unhideWhenUsed/>
    <w:rsid w:val="00A03201"/>
    <w:rPr>
      <w:sz w:val="16"/>
      <w:szCs w:val="16"/>
    </w:rPr>
  </w:style>
  <w:style w:type="paragraph" w:styleId="CommentText">
    <w:name w:val="annotation text"/>
    <w:basedOn w:val="Normal"/>
    <w:link w:val="CommentTextChar"/>
    <w:uiPriority w:val="99"/>
    <w:unhideWhenUsed/>
    <w:rsid w:val="00A03201"/>
    <w:pPr>
      <w:spacing w:line="240" w:lineRule="auto"/>
    </w:pPr>
    <w:rPr>
      <w:sz w:val="20"/>
      <w:szCs w:val="20"/>
    </w:rPr>
  </w:style>
  <w:style w:type="character" w:customStyle="1" w:styleId="CommentTextChar">
    <w:name w:val="Comment Text Char"/>
    <w:basedOn w:val="DefaultParagraphFont"/>
    <w:link w:val="CommentText"/>
    <w:uiPriority w:val="99"/>
    <w:rsid w:val="00A03201"/>
    <w:rPr>
      <w:sz w:val="20"/>
      <w:szCs w:val="20"/>
    </w:rPr>
  </w:style>
  <w:style w:type="paragraph" w:styleId="CommentSubject">
    <w:name w:val="annotation subject"/>
    <w:basedOn w:val="CommentText"/>
    <w:next w:val="CommentText"/>
    <w:link w:val="CommentSubjectChar"/>
    <w:uiPriority w:val="99"/>
    <w:semiHidden/>
    <w:unhideWhenUsed/>
    <w:rsid w:val="00A03201"/>
    <w:rPr>
      <w:b/>
      <w:bCs/>
    </w:rPr>
  </w:style>
  <w:style w:type="character" w:customStyle="1" w:styleId="CommentSubjectChar">
    <w:name w:val="Comment Subject Char"/>
    <w:basedOn w:val="CommentTextChar"/>
    <w:link w:val="CommentSubject"/>
    <w:uiPriority w:val="99"/>
    <w:semiHidden/>
    <w:rsid w:val="00A03201"/>
    <w:rPr>
      <w:b/>
      <w:bCs/>
      <w:sz w:val="20"/>
      <w:szCs w:val="20"/>
    </w:rPr>
  </w:style>
  <w:style w:type="paragraph" w:styleId="Revision">
    <w:name w:val="Revision"/>
    <w:hidden/>
    <w:uiPriority w:val="99"/>
    <w:semiHidden/>
    <w:rsid w:val="009C25D5"/>
    <w:pPr>
      <w:spacing w:after="0" w:line="240" w:lineRule="auto"/>
    </w:pPr>
  </w:style>
  <w:style w:type="character" w:customStyle="1" w:styleId="apple-converted-space">
    <w:name w:val="apple-converted-space"/>
    <w:basedOn w:val="DefaultParagraphFont"/>
    <w:rsid w:val="001015CD"/>
  </w:style>
  <w:style w:type="paragraph" w:styleId="EndnoteText">
    <w:name w:val="endnote text"/>
    <w:basedOn w:val="Normal"/>
    <w:link w:val="EndnoteTextChar"/>
    <w:uiPriority w:val="99"/>
    <w:semiHidden/>
    <w:unhideWhenUsed/>
    <w:rsid w:val="009F75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53E"/>
    <w:rPr>
      <w:sz w:val="20"/>
      <w:szCs w:val="20"/>
    </w:rPr>
  </w:style>
  <w:style w:type="character" w:styleId="EndnoteReference">
    <w:name w:val="endnote reference"/>
    <w:basedOn w:val="DefaultParagraphFont"/>
    <w:uiPriority w:val="99"/>
    <w:semiHidden/>
    <w:unhideWhenUsed/>
    <w:rsid w:val="009F753E"/>
    <w:rPr>
      <w:vertAlign w:val="superscript"/>
    </w:rPr>
  </w:style>
  <w:style w:type="character" w:styleId="Emphasis">
    <w:name w:val="Emphasis"/>
    <w:basedOn w:val="DefaultParagraphFont"/>
    <w:uiPriority w:val="20"/>
    <w:qFormat/>
    <w:rsid w:val="00182122"/>
    <w:rPr>
      <w:i/>
      <w:iCs/>
    </w:rPr>
  </w:style>
  <w:style w:type="paragraph" w:styleId="PlainText">
    <w:name w:val="Plain Text"/>
    <w:basedOn w:val="Normal"/>
    <w:link w:val="PlainTextChar"/>
    <w:uiPriority w:val="99"/>
    <w:semiHidden/>
    <w:unhideWhenUsed/>
    <w:rsid w:val="00915646"/>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915646"/>
    <w:rPr>
      <w:rFonts w:ascii="Calibri" w:hAnsi="Calibri"/>
      <w:szCs w:val="21"/>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A3"/>
    <w:pPr>
      <w:ind w:left="720"/>
      <w:contextualSpacing/>
    </w:pPr>
  </w:style>
  <w:style w:type="paragraph" w:styleId="BalloonText">
    <w:name w:val="Balloon Text"/>
    <w:basedOn w:val="Normal"/>
    <w:link w:val="BalloonTextChar"/>
    <w:uiPriority w:val="99"/>
    <w:semiHidden/>
    <w:unhideWhenUsed/>
    <w:rsid w:val="00D6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3D"/>
    <w:rPr>
      <w:rFonts w:ascii="Tahoma" w:hAnsi="Tahoma" w:cs="Tahoma"/>
      <w:sz w:val="16"/>
      <w:szCs w:val="16"/>
    </w:rPr>
  </w:style>
  <w:style w:type="paragraph" w:styleId="FootnoteText">
    <w:name w:val="footnote text"/>
    <w:basedOn w:val="Normal"/>
    <w:link w:val="FootnoteTextChar"/>
    <w:unhideWhenUsed/>
    <w:rsid w:val="00484D27"/>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rsid w:val="00484D27"/>
    <w:rPr>
      <w:rFonts w:eastAsiaTheme="minorEastAsia"/>
      <w:sz w:val="20"/>
      <w:szCs w:val="20"/>
      <w:lang w:eastAsia="en-AU"/>
    </w:rPr>
  </w:style>
  <w:style w:type="character" w:styleId="FootnoteReference">
    <w:name w:val="footnote reference"/>
    <w:basedOn w:val="DefaultParagraphFont"/>
    <w:unhideWhenUsed/>
    <w:rsid w:val="00484D27"/>
    <w:rPr>
      <w:vertAlign w:val="superscript"/>
    </w:rPr>
  </w:style>
  <w:style w:type="paragraph" w:styleId="Header">
    <w:name w:val="header"/>
    <w:basedOn w:val="Normal"/>
    <w:link w:val="HeaderChar"/>
    <w:uiPriority w:val="99"/>
    <w:unhideWhenUsed/>
    <w:rsid w:val="00E5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4D"/>
  </w:style>
  <w:style w:type="paragraph" w:styleId="Footer">
    <w:name w:val="footer"/>
    <w:basedOn w:val="Normal"/>
    <w:link w:val="FooterChar"/>
    <w:uiPriority w:val="99"/>
    <w:unhideWhenUsed/>
    <w:rsid w:val="00E5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4D"/>
  </w:style>
  <w:style w:type="paragraph" w:styleId="NoSpacing">
    <w:name w:val="No Spacing"/>
    <w:link w:val="NoSpacingChar"/>
    <w:uiPriority w:val="1"/>
    <w:qFormat/>
    <w:rsid w:val="0008627A"/>
    <w:pPr>
      <w:spacing w:after="0" w:line="240" w:lineRule="auto"/>
    </w:pPr>
    <w:rPr>
      <w:rFonts w:ascii="Calibri" w:eastAsia="Malgun Gothic" w:hAnsi="Calibri" w:cs="Times New Roman"/>
      <w:lang w:val="en-US" w:eastAsia="en-AU"/>
    </w:rPr>
  </w:style>
  <w:style w:type="character" w:customStyle="1" w:styleId="NoSpacingChar">
    <w:name w:val="No Spacing Char"/>
    <w:basedOn w:val="DefaultParagraphFont"/>
    <w:link w:val="NoSpacing"/>
    <w:uiPriority w:val="1"/>
    <w:locked/>
    <w:rsid w:val="0008627A"/>
    <w:rPr>
      <w:rFonts w:ascii="Calibri" w:eastAsia="Malgun Gothic" w:hAnsi="Calibri" w:cs="Times New Roman"/>
      <w:lang w:val="en-US" w:eastAsia="en-AU"/>
    </w:rPr>
  </w:style>
  <w:style w:type="character" w:styleId="Hyperlink">
    <w:name w:val="Hyperlink"/>
    <w:basedOn w:val="DefaultParagraphFont"/>
    <w:uiPriority w:val="99"/>
    <w:unhideWhenUsed/>
    <w:rsid w:val="000F52BF"/>
    <w:rPr>
      <w:color w:val="0000FF" w:themeColor="hyperlink"/>
      <w:u w:val="single"/>
    </w:rPr>
  </w:style>
  <w:style w:type="character" w:styleId="CommentReference">
    <w:name w:val="annotation reference"/>
    <w:basedOn w:val="DefaultParagraphFont"/>
    <w:uiPriority w:val="99"/>
    <w:semiHidden/>
    <w:unhideWhenUsed/>
    <w:rsid w:val="00A03201"/>
    <w:rPr>
      <w:sz w:val="16"/>
      <w:szCs w:val="16"/>
    </w:rPr>
  </w:style>
  <w:style w:type="paragraph" w:styleId="CommentText">
    <w:name w:val="annotation text"/>
    <w:basedOn w:val="Normal"/>
    <w:link w:val="CommentTextChar"/>
    <w:uiPriority w:val="99"/>
    <w:unhideWhenUsed/>
    <w:rsid w:val="00A03201"/>
    <w:pPr>
      <w:spacing w:line="240" w:lineRule="auto"/>
    </w:pPr>
    <w:rPr>
      <w:sz w:val="20"/>
      <w:szCs w:val="20"/>
    </w:rPr>
  </w:style>
  <w:style w:type="character" w:customStyle="1" w:styleId="CommentTextChar">
    <w:name w:val="Comment Text Char"/>
    <w:basedOn w:val="DefaultParagraphFont"/>
    <w:link w:val="CommentText"/>
    <w:uiPriority w:val="99"/>
    <w:rsid w:val="00A03201"/>
    <w:rPr>
      <w:sz w:val="20"/>
      <w:szCs w:val="20"/>
    </w:rPr>
  </w:style>
  <w:style w:type="paragraph" w:styleId="CommentSubject">
    <w:name w:val="annotation subject"/>
    <w:basedOn w:val="CommentText"/>
    <w:next w:val="CommentText"/>
    <w:link w:val="CommentSubjectChar"/>
    <w:uiPriority w:val="99"/>
    <w:semiHidden/>
    <w:unhideWhenUsed/>
    <w:rsid w:val="00A03201"/>
    <w:rPr>
      <w:b/>
      <w:bCs/>
    </w:rPr>
  </w:style>
  <w:style w:type="character" w:customStyle="1" w:styleId="CommentSubjectChar">
    <w:name w:val="Comment Subject Char"/>
    <w:basedOn w:val="CommentTextChar"/>
    <w:link w:val="CommentSubject"/>
    <w:uiPriority w:val="99"/>
    <w:semiHidden/>
    <w:rsid w:val="00A03201"/>
    <w:rPr>
      <w:b/>
      <w:bCs/>
      <w:sz w:val="20"/>
      <w:szCs w:val="20"/>
    </w:rPr>
  </w:style>
  <w:style w:type="paragraph" w:styleId="Revision">
    <w:name w:val="Revision"/>
    <w:hidden/>
    <w:uiPriority w:val="99"/>
    <w:semiHidden/>
    <w:rsid w:val="009C25D5"/>
    <w:pPr>
      <w:spacing w:after="0" w:line="240" w:lineRule="auto"/>
    </w:pPr>
  </w:style>
  <w:style w:type="character" w:customStyle="1" w:styleId="apple-converted-space">
    <w:name w:val="apple-converted-space"/>
    <w:basedOn w:val="DefaultParagraphFont"/>
    <w:rsid w:val="001015CD"/>
  </w:style>
  <w:style w:type="paragraph" w:styleId="EndnoteText">
    <w:name w:val="endnote text"/>
    <w:basedOn w:val="Normal"/>
    <w:link w:val="EndnoteTextChar"/>
    <w:uiPriority w:val="99"/>
    <w:semiHidden/>
    <w:unhideWhenUsed/>
    <w:rsid w:val="009F75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53E"/>
    <w:rPr>
      <w:sz w:val="20"/>
      <w:szCs w:val="20"/>
    </w:rPr>
  </w:style>
  <w:style w:type="character" w:styleId="EndnoteReference">
    <w:name w:val="endnote reference"/>
    <w:basedOn w:val="DefaultParagraphFont"/>
    <w:uiPriority w:val="99"/>
    <w:semiHidden/>
    <w:unhideWhenUsed/>
    <w:rsid w:val="009F753E"/>
    <w:rPr>
      <w:vertAlign w:val="superscript"/>
    </w:rPr>
  </w:style>
  <w:style w:type="character" w:styleId="Emphasis">
    <w:name w:val="Emphasis"/>
    <w:basedOn w:val="DefaultParagraphFont"/>
    <w:uiPriority w:val="20"/>
    <w:qFormat/>
    <w:rsid w:val="00182122"/>
    <w:rPr>
      <w:i/>
      <w:iCs/>
    </w:rPr>
  </w:style>
  <w:style w:type="paragraph" w:styleId="PlainText">
    <w:name w:val="Plain Text"/>
    <w:basedOn w:val="Normal"/>
    <w:link w:val="PlainTextChar"/>
    <w:uiPriority w:val="99"/>
    <w:semiHidden/>
    <w:unhideWhenUsed/>
    <w:rsid w:val="00915646"/>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915646"/>
    <w:rPr>
      <w:rFonts w:ascii="Calibri" w:hAnsi="Calibri"/>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606">
      <w:bodyDiv w:val="1"/>
      <w:marLeft w:val="0"/>
      <w:marRight w:val="0"/>
      <w:marTop w:val="0"/>
      <w:marBottom w:val="0"/>
      <w:divBdr>
        <w:top w:val="none" w:sz="0" w:space="0" w:color="auto"/>
        <w:left w:val="none" w:sz="0" w:space="0" w:color="auto"/>
        <w:bottom w:val="none" w:sz="0" w:space="0" w:color="auto"/>
        <w:right w:val="none" w:sz="0" w:space="0" w:color="auto"/>
      </w:divBdr>
    </w:div>
    <w:div w:id="52240352">
      <w:bodyDiv w:val="1"/>
      <w:marLeft w:val="0"/>
      <w:marRight w:val="0"/>
      <w:marTop w:val="0"/>
      <w:marBottom w:val="0"/>
      <w:divBdr>
        <w:top w:val="none" w:sz="0" w:space="0" w:color="auto"/>
        <w:left w:val="none" w:sz="0" w:space="0" w:color="auto"/>
        <w:bottom w:val="none" w:sz="0" w:space="0" w:color="auto"/>
        <w:right w:val="none" w:sz="0" w:space="0" w:color="auto"/>
      </w:divBdr>
    </w:div>
    <w:div w:id="98919435">
      <w:bodyDiv w:val="1"/>
      <w:marLeft w:val="0"/>
      <w:marRight w:val="0"/>
      <w:marTop w:val="0"/>
      <w:marBottom w:val="0"/>
      <w:divBdr>
        <w:top w:val="none" w:sz="0" w:space="0" w:color="auto"/>
        <w:left w:val="none" w:sz="0" w:space="0" w:color="auto"/>
        <w:bottom w:val="none" w:sz="0" w:space="0" w:color="auto"/>
        <w:right w:val="none" w:sz="0" w:space="0" w:color="auto"/>
      </w:divBdr>
    </w:div>
    <w:div w:id="177811900">
      <w:bodyDiv w:val="1"/>
      <w:marLeft w:val="0"/>
      <w:marRight w:val="0"/>
      <w:marTop w:val="0"/>
      <w:marBottom w:val="0"/>
      <w:divBdr>
        <w:top w:val="none" w:sz="0" w:space="0" w:color="auto"/>
        <w:left w:val="none" w:sz="0" w:space="0" w:color="auto"/>
        <w:bottom w:val="none" w:sz="0" w:space="0" w:color="auto"/>
        <w:right w:val="none" w:sz="0" w:space="0" w:color="auto"/>
      </w:divBdr>
    </w:div>
    <w:div w:id="207647464">
      <w:bodyDiv w:val="1"/>
      <w:marLeft w:val="0"/>
      <w:marRight w:val="0"/>
      <w:marTop w:val="0"/>
      <w:marBottom w:val="0"/>
      <w:divBdr>
        <w:top w:val="none" w:sz="0" w:space="0" w:color="auto"/>
        <w:left w:val="none" w:sz="0" w:space="0" w:color="auto"/>
        <w:bottom w:val="none" w:sz="0" w:space="0" w:color="auto"/>
        <w:right w:val="none" w:sz="0" w:space="0" w:color="auto"/>
      </w:divBdr>
    </w:div>
    <w:div w:id="236060984">
      <w:bodyDiv w:val="1"/>
      <w:marLeft w:val="0"/>
      <w:marRight w:val="0"/>
      <w:marTop w:val="0"/>
      <w:marBottom w:val="0"/>
      <w:divBdr>
        <w:top w:val="none" w:sz="0" w:space="0" w:color="auto"/>
        <w:left w:val="none" w:sz="0" w:space="0" w:color="auto"/>
        <w:bottom w:val="none" w:sz="0" w:space="0" w:color="auto"/>
        <w:right w:val="none" w:sz="0" w:space="0" w:color="auto"/>
      </w:divBdr>
    </w:div>
    <w:div w:id="297760392">
      <w:bodyDiv w:val="1"/>
      <w:marLeft w:val="0"/>
      <w:marRight w:val="0"/>
      <w:marTop w:val="0"/>
      <w:marBottom w:val="0"/>
      <w:divBdr>
        <w:top w:val="none" w:sz="0" w:space="0" w:color="auto"/>
        <w:left w:val="none" w:sz="0" w:space="0" w:color="auto"/>
        <w:bottom w:val="none" w:sz="0" w:space="0" w:color="auto"/>
        <w:right w:val="none" w:sz="0" w:space="0" w:color="auto"/>
      </w:divBdr>
    </w:div>
    <w:div w:id="299962824">
      <w:bodyDiv w:val="1"/>
      <w:marLeft w:val="0"/>
      <w:marRight w:val="0"/>
      <w:marTop w:val="0"/>
      <w:marBottom w:val="0"/>
      <w:divBdr>
        <w:top w:val="none" w:sz="0" w:space="0" w:color="auto"/>
        <w:left w:val="none" w:sz="0" w:space="0" w:color="auto"/>
        <w:bottom w:val="none" w:sz="0" w:space="0" w:color="auto"/>
        <w:right w:val="none" w:sz="0" w:space="0" w:color="auto"/>
      </w:divBdr>
    </w:div>
    <w:div w:id="334234790">
      <w:bodyDiv w:val="1"/>
      <w:marLeft w:val="0"/>
      <w:marRight w:val="0"/>
      <w:marTop w:val="0"/>
      <w:marBottom w:val="0"/>
      <w:divBdr>
        <w:top w:val="none" w:sz="0" w:space="0" w:color="auto"/>
        <w:left w:val="none" w:sz="0" w:space="0" w:color="auto"/>
        <w:bottom w:val="none" w:sz="0" w:space="0" w:color="auto"/>
        <w:right w:val="none" w:sz="0" w:space="0" w:color="auto"/>
      </w:divBdr>
      <w:divsChild>
        <w:div w:id="430009455">
          <w:marLeft w:val="0"/>
          <w:marRight w:val="0"/>
          <w:marTop w:val="0"/>
          <w:marBottom w:val="0"/>
          <w:divBdr>
            <w:top w:val="single" w:sz="2" w:space="0" w:color="2E2E2E"/>
            <w:left w:val="single" w:sz="2" w:space="0" w:color="2E2E2E"/>
            <w:bottom w:val="single" w:sz="2" w:space="0" w:color="2E2E2E"/>
            <w:right w:val="single" w:sz="2" w:space="0" w:color="2E2E2E"/>
          </w:divBdr>
          <w:divsChild>
            <w:div w:id="1805736703">
              <w:marLeft w:val="0"/>
              <w:marRight w:val="0"/>
              <w:marTop w:val="0"/>
              <w:marBottom w:val="0"/>
              <w:divBdr>
                <w:top w:val="single" w:sz="6" w:space="0" w:color="C9C9C9"/>
                <w:left w:val="none" w:sz="0" w:space="0" w:color="auto"/>
                <w:bottom w:val="none" w:sz="0" w:space="0" w:color="auto"/>
                <w:right w:val="none" w:sz="0" w:space="0" w:color="auto"/>
              </w:divBdr>
              <w:divsChild>
                <w:div w:id="1192917654">
                  <w:marLeft w:val="0"/>
                  <w:marRight w:val="0"/>
                  <w:marTop w:val="0"/>
                  <w:marBottom w:val="0"/>
                  <w:divBdr>
                    <w:top w:val="none" w:sz="0" w:space="0" w:color="auto"/>
                    <w:left w:val="none" w:sz="0" w:space="0" w:color="auto"/>
                    <w:bottom w:val="none" w:sz="0" w:space="0" w:color="auto"/>
                    <w:right w:val="none" w:sz="0" w:space="0" w:color="auto"/>
                  </w:divBdr>
                  <w:divsChild>
                    <w:div w:id="1068111161">
                      <w:marLeft w:val="0"/>
                      <w:marRight w:val="0"/>
                      <w:marTop w:val="0"/>
                      <w:marBottom w:val="0"/>
                      <w:divBdr>
                        <w:top w:val="none" w:sz="0" w:space="0" w:color="auto"/>
                        <w:left w:val="none" w:sz="0" w:space="0" w:color="auto"/>
                        <w:bottom w:val="none" w:sz="0" w:space="0" w:color="auto"/>
                        <w:right w:val="none" w:sz="0" w:space="0" w:color="auto"/>
                      </w:divBdr>
                      <w:divsChild>
                        <w:div w:id="1857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90198">
      <w:bodyDiv w:val="1"/>
      <w:marLeft w:val="0"/>
      <w:marRight w:val="0"/>
      <w:marTop w:val="0"/>
      <w:marBottom w:val="0"/>
      <w:divBdr>
        <w:top w:val="none" w:sz="0" w:space="0" w:color="auto"/>
        <w:left w:val="none" w:sz="0" w:space="0" w:color="auto"/>
        <w:bottom w:val="none" w:sz="0" w:space="0" w:color="auto"/>
        <w:right w:val="none" w:sz="0" w:space="0" w:color="auto"/>
      </w:divBdr>
    </w:div>
    <w:div w:id="375084227">
      <w:bodyDiv w:val="1"/>
      <w:marLeft w:val="0"/>
      <w:marRight w:val="0"/>
      <w:marTop w:val="0"/>
      <w:marBottom w:val="0"/>
      <w:divBdr>
        <w:top w:val="none" w:sz="0" w:space="0" w:color="auto"/>
        <w:left w:val="none" w:sz="0" w:space="0" w:color="auto"/>
        <w:bottom w:val="none" w:sz="0" w:space="0" w:color="auto"/>
        <w:right w:val="none" w:sz="0" w:space="0" w:color="auto"/>
      </w:divBdr>
    </w:div>
    <w:div w:id="381448159">
      <w:bodyDiv w:val="1"/>
      <w:marLeft w:val="0"/>
      <w:marRight w:val="0"/>
      <w:marTop w:val="0"/>
      <w:marBottom w:val="0"/>
      <w:divBdr>
        <w:top w:val="none" w:sz="0" w:space="0" w:color="auto"/>
        <w:left w:val="none" w:sz="0" w:space="0" w:color="auto"/>
        <w:bottom w:val="none" w:sz="0" w:space="0" w:color="auto"/>
        <w:right w:val="none" w:sz="0" w:space="0" w:color="auto"/>
      </w:divBdr>
    </w:div>
    <w:div w:id="385883575">
      <w:bodyDiv w:val="1"/>
      <w:marLeft w:val="0"/>
      <w:marRight w:val="0"/>
      <w:marTop w:val="0"/>
      <w:marBottom w:val="0"/>
      <w:divBdr>
        <w:top w:val="none" w:sz="0" w:space="0" w:color="auto"/>
        <w:left w:val="none" w:sz="0" w:space="0" w:color="auto"/>
        <w:bottom w:val="none" w:sz="0" w:space="0" w:color="auto"/>
        <w:right w:val="none" w:sz="0" w:space="0" w:color="auto"/>
      </w:divBdr>
    </w:div>
    <w:div w:id="400757945">
      <w:bodyDiv w:val="1"/>
      <w:marLeft w:val="0"/>
      <w:marRight w:val="0"/>
      <w:marTop w:val="0"/>
      <w:marBottom w:val="0"/>
      <w:divBdr>
        <w:top w:val="none" w:sz="0" w:space="0" w:color="auto"/>
        <w:left w:val="none" w:sz="0" w:space="0" w:color="auto"/>
        <w:bottom w:val="none" w:sz="0" w:space="0" w:color="auto"/>
        <w:right w:val="none" w:sz="0" w:space="0" w:color="auto"/>
      </w:divBdr>
    </w:div>
    <w:div w:id="429200381">
      <w:bodyDiv w:val="1"/>
      <w:marLeft w:val="0"/>
      <w:marRight w:val="0"/>
      <w:marTop w:val="0"/>
      <w:marBottom w:val="0"/>
      <w:divBdr>
        <w:top w:val="none" w:sz="0" w:space="0" w:color="auto"/>
        <w:left w:val="none" w:sz="0" w:space="0" w:color="auto"/>
        <w:bottom w:val="none" w:sz="0" w:space="0" w:color="auto"/>
        <w:right w:val="none" w:sz="0" w:space="0" w:color="auto"/>
      </w:divBdr>
    </w:div>
    <w:div w:id="448595925">
      <w:bodyDiv w:val="1"/>
      <w:marLeft w:val="0"/>
      <w:marRight w:val="0"/>
      <w:marTop w:val="0"/>
      <w:marBottom w:val="0"/>
      <w:divBdr>
        <w:top w:val="none" w:sz="0" w:space="0" w:color="auto"/>
        <w:left w:val="none" w:sz="0" w:space="0" w:color="auto"/>
        <w:bottom w:val="none" w:sz="0" w:space="0" w:color="auto"/>
        <w:right w:val="none" w:sz="0" w:space="0" w:color="auto"/>
      </w:divBdr>
    </w:div>
    <w:div w:id="452945617">
      <w:bodyDiv w:val="1"/>
      <w:marLeft w:val="0"/>
      <w:marRight w:val="0"/>
      <w:marTop w:val="0"/>
      <w:marBottom w:val="0"/>
      <w:divBdr>
        <w:top w:val="none" w:sz="0" w:space="0" w:color="auto"/>
        <w:left w:val="none" w:sz="0" w:space="0" w:color="auto"/>
        <w:bottom w:val="none" w:sz="0" w:space="0" w:color="auto"/>
        <w:right w:val="none" w:sz="0" w:space="0" w:color="auto"/>
      </w:divBdr>
    </w:div>
    <w:div w:id="490371899">
      <w:bodyDiv w:val="1"/>
      <w:marLeft w:val="0"/>
      <w:marRight w:val="0"/>
      <w:marTop w:val="0"/>
      <w:marBottom w:val="0"/>
      <w:divBdr>
        <w:top w:val="none" w:sz="0" w:space="0" w:color="auto"/>
        <w:left w:val="none" w:sz="0" w:space="0" w:color="auto"/>
        <w:bottom w:val="none" w:sz="0" w:space="0" w:color="auto"/>
        <w:right w:val="none" w:sz="0" w:space="0" w:color="auto"/>
      </w:divBdr>
    </w:div>
    <w:div w:id="517357790">
      <w:bodyDiv w:val="1"/>
      <w:marLeft w:val="0"/>
      <w:marRight w:val="0"/>
      <w:marTop w:val="0"/>
      <w:marBottom w:val="0"/>
      <w:divBdr>
        <w:top w:val="none" w:sz="0" w:space="0" w:color="auto"/>
        <w:left w:val="none" w:sz="0" w:space="0" w:color="auto"/>
        <w:bottom w:val="none" w:sz="0" w:space="0" w:color="auto"/>
        <w:right w:val="none" w:sz="0" w:space="0" w:color="auto"/>
      </w:divBdr>
    </w:div>
    <w:div w:id="551160592">
      <w:bodyDiv w:val="1"/>
      <w:marLeft w:val="0"/>
      <w:marRight w:val="0"/>
      <w:marTop w:val="0"/>
      <w:marBottom w:val="0"/>
      <w:divBdr>
        <w:top w:val="none" w:sz="0" w:space="0" w:color="auto"/>
        <w:left w:val="none" w:sz="0" w:space="0" w:color="auto"/>
        <w:bottom w:val="none" w:sz="0" w:space="0" w:color="auto"/>
        <w:right w:val="none" w:sz="0" w:space="0" w:color="auto"/>
      </w:divBdr>
    </w:div>
    <w:div w:id="605383175">
      <w:bodyDiv w:val="1"/>
      <w:marLeft w:val="0"/>
      <w:marRight w:val="0"/>
      <w:marTop w:val="0"/>
      <w:marBottom w:val="0"/>
      <w:divBdr>
        <w:top w:val="none" w:sz="0" w:space="0" w:color="auto"/>
        <w:left w:val="none" w:sz="0" w:space="0" w:color="auto"/>
        <w:bottom w:val="none" w:sz="0" w:space="0" w:color="auto"/>
        <w:right w:val="none" w:sz="0" w:space="0" w:color="auto"/>
      </w:divBdr>
    </w:div>
    <w:div w:id="610553528">
      <w:bodyDiv w:val="1"/>
      <w:marLeft w:val="0"/>
      <w:marRight w:val="0"/>
      <w:marTop w:val="0"/>
      <w:marBottom w:val="0"/>
      <w:divBdr>
        <w:top w:val="none" w:sz="0" w:space="0" w:color="auto"/>
        <w:left w:val="none" w:sz="0" w:space="0" w:color="auto"/>
        <w:bottom w:val="none" w:sz="0" w:space="0" w:color="auto"/>
        <w:right w:val="none" w:sz="0" w:space="0" w:color="auto"/>
      </w:divBdr>
    </w:div>
    <w:div w:id="613097400">
      <w:bodyDiv w:val="1"/>
      <w:marLeft w:val="0"/>
      <w:marRight w:val="0"/>
      <w:marTop w:val="0"/>
      <w:marBottom w:val="0"/>
      <w:divBdr>
        <w:top w:val="none" w:sz="0" w:space="0" w:color="auto"/>
        <w:left w:val="none" w:sz="0" w:space="0" w:color="auto"/>
        <w:bottom w:val="none" w:sz="0" w:space="0" w:color="auto"/>
        <w:right w:val="none" w:sz="0" w:space="0" w:color="auto"/>
      </w:divBdr>
    </w:div>
    <w:div w:id="704478410">
      <w:bodyDiv w:val="1"/>
      <w:marLeft w:val="0"/>
      <w:marRight w:val="0"/>
      <w:marTop w:val="0"/>
      <w:marBottom w:val="0"/>
      <w:divBdr>
        <w:top w:val="none" w:sz="0" w:space="0" w:color="auto"/>
        <w:left w:val="none" w:sz="0" w:space="0" w:color="auto"/>
        <w:bottom w:val="none" w:sz="0" w:space="0" w:color="auto"/>
        <w:right w:val="none" w:sz="0" w:space="0" w:color="auto"/>
      </w:divBdr>
    </w:div>
    <w:div w:id="707418762">
      <w:bodyDiv w:val="1"/>
      <w:marLeft w:val="0"/>
      <w:marRight w:val="0"/>
      <w:marTop w:val="0"/>
      <w:marBottom w:val="0"/>
      <w:divBdr>
        <w:top w:val="none" w:sz="0" w:space="0" w:color="auto"/>
        <w:left w:val="none" w:sz="0" w:space="0" w:color="auto"/>
        <w:bottom w:val="none" w:sz="0" w:space="0" w:color="auto"/>
        <w:right w:val="none" w:sz="0" w:space="0" w:color="auto"/>
      </w:divBdr>
    </w:div>
    <w:div w:id="726033882">
      <w:bodyDiv w:val="1"/>
      <w:marLeft w:val="0"/>
      <w:marRight w:val="0"/>
      <w:marTop w:val="0"/>
      <w:marBottom w:val="0"/>
      <w:divBdr>
        <w:top w:val="none" w:sz="0" w:space="0" w:color="auto"/>
        <w:left w:val="none" w:sz="0" w:space="0" w:color="auto"/>
        <w:bottom w:val="none" w:sz="0" w:space="0" w:color="auto"/>
        <w:right w:val="none" w:sz="0" w:space="0" w:color="auto"/>
      </w:divBdr>
    </w:div>
    <w:div w:id="747504551">
      <w:bodyDiv w:val="1"/>
      <w:marLeft w:val="0"/>
      <w:marRight w:val="0"/>
      <w:marTop w:val="0"/>
      <w:marBottom w:val="0"/>
      <w:divBdr>
        <w:top w:val="none" w:sz="0" w:space="0" w:color="auto"/>
        <w:left w:val="none" w:sz="0" w:space="0" w:color="auto"/>
        <w:bottom w:val="none" w:sz="0" w:space="0" w:color="auto"/>
        <w:right w:val="none" w:sz="0" w:space="0" w:color="auto"/>
      </w:divBdr>
    </w:div>
    <w:div w:id="749235834">
      <w:bodyDiv w:val="1"/>
      <w:marLeft w:val="0"/>
      <w:marRight w:val="0"/>
      <w:marTop w:val="0"/>
      <w:marBottom w:val="0"/>
      <w:divBdr>
        <w:top w:val="none" w:sz="0" w:space="0" w:color="auto"/>
        <w:left w:val="none" w:sz="0" w:space="0" w:color="auto"/>
        <w:bottom w:val="none" w:sz="0" w:space="0" w:color="auto"/>
        <w:right w:val="none" w:sz="0" w:space="0" w:color="auto"/>
      </w:divBdr>
    </w:div>
    <w:div w:id="756944755">
      <w:bodyDiv w:val="1"/>
      <w:marLeft w:val="0"/>
      <w:marRight w:val="0"/>
      <w:marTop w:val="0"/>
      <w:marBottom w:val="0"/>
      <w:divBdr>
        <w:top w:val="none" w:sz="0" w:space="0" w:color="auto"/>
        <w:left w:val="none" w:sz="0" w:space="0" w:color="auto"/>
        <w:bottom w:val="none" w:sz="0" w:space="0" w:color="auto"/>
        <w:right w:val="none" w:sz="0" w:space="0" w:color="auto"/>
      </w:divBdr>
    </w:div>
    <w:div w:id="765271597">
      <w:bodyDiv w:val="1"/>
      <w:marLeft w:val="0"/>
      <w:marRight w:val="0"/>
      <w:marTop w:val="0"/>
      <w:marBottom w:val="0"/>
      <w:divBdr>
        <w:top w:val="none" w:sz="0" w:space="0" w:color="auto"/>
        <w:left w:val="none" w:sz="0" w:space="0" w:color="auto"/>
        <w:bottom w:val="none" w:sz="0" w:space="0" w:color="auto"/>
        <w:right w:val="none" w:sz="0" w:space="0" w:color="auto"/>
      </w:divBdr>
    </w:div>
    <w:div w:id="771163764">
      <w:bodyDiv w:val="1"/>
      <w:marLeft w:val="0"/>
      <w:marRight w:val="0"/>
      <w:marTop w:val="0"/>
      <w:marBottom w:val="0"/>
      <w:divBdr>
        <w:top w:val="none" w:sz="0" w:space="0" w:color="auto"/>
        <w:left w:val="none" w:sz="0" w:space="0" w:color="auto"/>
        <w:bottom w:val="none" w:sz="0" w:space="0" w:color="auto"/>
        <w:right w:val="none" w:sz="0" w:space="0" w:color="auto"/>
      </w:divBdr>
    </w:div>
    <w:div w:id="866214640">
      <w:bodyDiv w:val="1"/>
      <w:marLeft w:val="0"/>
      <w:marRight w:val="0"/>
      <w:marTop w:val="0"/>
      <w:marBottom w:val="0"/>
      <w:divBdr>
        <w:top w:val="none" w:sz="0" w:space="0" w:color="auto"/>
        <w:left w:val="none" w:sz="0" w:space="0" w:color="auto"/>
        <w:bottom w:val="none" w:sz="0" w:space="0" w:color="auto"/>
        <w:right w:val="none" w:sz="0" w:space="0" w:color="auto"/>
      </w:divBdr>
    </w:div>
    <w:div w:id="876937499">
      <w:bodyDiv w:val="1"/>
      <w:marLeft w:val="0"/>
      <w:marRight w:val="0"/>
      <w:marTop w:val="0"/>
      <w:marBottom w:val="0"/>
      <w:divBdr>
        <w:top w:val="none" w:sz="0" w:space="0" w:color="auto"/>
        <w:left w:val="none" w:sz="0" w:space="0" w:color="auto"/>
        <w:bottom w:val="none" w:sz="0" w:space="0" w:color="auto"/>
        <w:right w:val="none" w:sz="0" w:space="0" w:color="auto"/>
      </w:divBdr>
    </w:div>
    <w:div w:id="907181672">
      <w:bodyDiv w:val="1"/>
      <w:marLeft w:val="0"/>
      <w:marRight w:val="0"/>
      <w:marTop w:val="0"/>
      <w:marBottom w:val="0"/>
      <w:divBdr>
        <w:top w:val="none" w:sz="0" w:space="0" w:color="auto"/>
        <w:left w:val="none" w:sz="0" w:space="0" w:color="auto"/>
        <w:bottom w:val="none" w:sz="0" w:space="0" w:color="auto"/>
        <w:right w:val="none" w:sz="0" w:space="0" w:color="auto"/>
      </w:divBdr>
    </w:div>
    <w:div w:id="920022632">
      <w:bodyDiv w:val="1"/>
      <w:marLeft w:val="0"/>
      <w:marRight w:val="0"/>
      <w:marTop w:val="0"/>
      <w:marBottom w:val="0"/>
      <w:divBdr>
        <w:top w:val="none" w:sz="0" w:space="0" w:color="auto"/>
        <w:left w:val="none" w:sz="0" w:space="0" w:color="auto"/>
        <w:bottom w:val="none" w:sz="0" w:space="0" w:color="auto"/>
        <w:right w:val="none" w:sz="0" w:space="0" w:color="auto"/>
      </w:divBdr>
    </w:div>
    <w:div w:id="998919662">
      <w:bodyDiv w:val="1"/>
      <w:marLeft w:val="0"/>
      <w:marRight w:val="0"/>
      <w:marTop w:val="0"/>
      <w:marBottom w:val="0"/>
      <w:divBdr>
        <w:top w:val="none" w:sz="0" w:space="0" w:color="auto"/>
        <w:left w:val="none" w:sz="0" w:space="0" w:color="auto"/>
        <w:bottom w:val="none" w:sz="0" w:space="0" w:color="auto"/>
        <w:right w:val="none" w:sz="0" w:space="0" w:color="auto"/>
      </w:divBdr>
    </w:div>
    <w:div w:id="1009677744">
      <w:bodyDiv w:val="1"/>
      <w:marLeft w:val="0"/>
      <w:marRight w:val="0"/>
      <w:marTop w:val="0"/>
      <w:marBottom w:val="0"/>
      <w:divBdr>
        <w:top w:val="none" w:sz="0" w:space="0" w:color="auto"/>
        <w:left w:val="none" w:sz="0" w:space="0" w:color="auto"/>
        <w:bottom w:val="none" w:sz="0" w:space="0" w:color="auto"/>
        <w:right w:val="none" w:sz="0" w:space="0" w:color="auto"/>
      </w:divBdr>
    </w:div>
    <w:div w:id="1041201799">
      <w:bodyDiv w:val="1"/>
      <w:marLeft w:val="0"/>
      <w:marRight w:val="0"/>
      <w:marTop w:val="0"/>
      <w:marBottom w:val="0"/>
      <w:divBdr>
        <w:top w:val="none" w:sz="0" w:space="0" w:color="auto"/>
        <w:left w:val="none" w:sz="0" w:space="0" w:color="auto"/>
        <w:bottom w:val="none" w:sz="0" w:space="0" w:color="auto"/>
        <w:right w:val="none" w:sz="0" w:space="0" w:color="auto"/>
      </w:divBdr>
    </w:div>
    <w:div w:id="1070234095">
      <w:bodyDiv w:val="1"/>
      <w:marLeft w:val="0"/>
      <w:marRight w:val="0"/>
      <w:marTop w:val="0"/>
      <w:marBottom w:val="0"/>
      <w:divBdr>
        <w:top w:val="none" w:sz="0" w:space="0" w:color="auto"/>
        <w:left w:val="none" w:sz="0" w:space="0" w:color="auto"/>
        <w:bottom w:val="none" w:sz="0" w:space="0" w:color="auto"/>
        <w:right w:val="none" w:sz="0" w:space="0" w:color="auto"/>
      </w:divBdr>
    </w:div>
    <w:div w:id="1096252050">
      <w:bodyDiv w:val="1"/>
      <w:marLeft w:val="0"/>
      <w:marRight w:val="0"/>
      <w:marTop w:val="0"/>
      <w:marBottom w:val="0"/>
      <w:divBdr>
        <w:top w:val="none" w:sz="0" w:space="0" w:color="auto"/>
        <w:left w:val="none" w:sz="0" w:space="0" w:color="auto"/>
        <w:bottom w:val="none" w:sz="0" w:space="0" w:color="auto"/>
        <w:right w:val="none" w:sz="0" w:space="0" w:color="auto"/>
      </w:divBdr>
    </w:div>
    <w:div w:id="1137264576">
      <w:bodyDiv w:val="1"/>
      <w:marLeft w:val="0"/>
      <w:marRight w:val="0"/>
      <w:marTop w:val="0"/>
      <w:marBottom w:val="0"/>
      <w:divBdr>
        <w:top w:val="none" w:sz="0" w:space="0" w:color="auto"/>
        <w:left w:val="none" w:sz="0" w:space="0" w:color="auto"/>
        <w:bottom w:val="none" w:sz="0" w:space="0" w:color="auto"/>
        <w:right w:val="none" w:sz="0" w:space="0" w:color="auto"/>
      </w:divBdr>
    </w:div>
    <w:div w:id="1205098358">
      <w:bodyDiv w:val="1"/>
      <w:marLeft w:val="0"/>
      <w:marRight w:val="0"/>
      <w:marTop w:val="0"/>
      <w:marBottom w:val="0"/>
      <w:divBdr>
        <w:top w:val="none" w:sz="0" w:space="0" w:color="auto"/>
        <w:left w:val="none" w:sz="0" w:space="0" w:color="auto"/>
        <w:bottom w:val="none" w:sz="0" w:space="0" w:color="auto"/>
        <w:right w:val="none" w:sz="0" w:space="0" w:color="auto"/>
      </w:divBdr>
    </w:div>
    <w:div w:id="1239484365">
      <w:bodyDiv w:val="1"/>
      <w:marLeft w:val="0"/>
      <w:marRight w:val="0"/>
      <w:marTop w:val="0"/>
      <w:marBottom w:val="0"/>
      <w:divBdr>
        <w:top w:val="none" w:sz="0" w:space="0" w:color="auto"/>
        <w:left w:val="none" w:sz="0" w:space="0" w:color="auto"/>
        <w:bottom w:val="none" w:sz="0" w:space="0" w:color="auto"/>
        <w:right w:val="none" w:sz="0" w:space="0" w:color="auto"/>
      </w:divBdr>
    </w:div>
    <w:div w:id="1256208652">
      <w:bodyDiv w:val="1"/>
      <w:marLeft w:val="0"/>
      <w:marRight w:val="0"/>
      <w:marTop w:val="0"/>
      <w:marBottom w:val="0"/>
      <w:divBdr>
        <w:top w:val="none" w:sz="0" w:space="0" w:color="auto"/>
        <w:left w:val="none" w:sz="0" w:space="0" w:color="auto"/>
        <w:bottom w:val="none" w:sz="0" w:space="0" w:color="auto"/>
        <w:right w:val="none" w:sz="0" w:space="0" w:color="auto"/>
      </w:divBdr>
    </w:div>
    <w:div w:id="1287541247">
      <w:bodyDiv w:val="1"/>
      <w:marLeft w:val="0"/>
      <w:marRight w:val="0"/>
      <w:marTop w:val="0"/>
      <w:marBottom w:val="0"/>
      <w:divBdr>
        <w:top w:val="none" w:sz="0" w:space="0" w:color="auto"/>
        <w:left w:val="none" w:sz="0" w:space="0" w:color="auto"/>
        <w:bottom w:val="none" w:sz="0" w:space="0" w:color="auto"/>
        <w:right w:val="none" w:sz="0" w:space="0" w:color="auto"/>
      </w:divBdr>
    </w:div>
    <w:div w:id="1319917713">
      <w:bodyDiv w:val="1"/>
      <w:marLeft w:val="0"/>
      <w:marRight w:val="0"/>
      <w:marTop w:val="0"/>
      <w:marBottom w:val="0"/>
      <w:divBdr>
        <w:top w:val="none" w:sz="0" w:space="0" w:color="auto"/>
        <w:left w:val="none" w:sz="0" w:space="0" w:color="auto"/>
        <w:bottom w:val="none" w:sz="0" w:space="0" w:color="auto"/>
        <w:right w:val="none" w:sz="0" w:space="0" w:color="auto"/>
      </w:divBdr>
    </w:div>
    <w:div w:id="1323772829">
      <w:bodyDiv w:val="1"/>
      <w:marLeft w:val="0"/>
      <w:marRight w:val="0"/>
      <w:marTop w:val="0"/>
      <w:marBottom w:val="0"/>
      <w:divBdr>
        <w:top w:val="none" w:sz="0" w:space="0" w:color="auto"/>
        <w:left w:val="none" w:sz="0" w:space="0" w:color="auto"/>
        <w:bottom w:val="none" w:sz="0" w:space="0" w:color="auto"/>
        <w:right w:val="none" w:sz="0" w:space="0" w:color="auto"/>
      </w:divBdr>
    </w:div>
    <w:div w:id="1340305656">
      <w:bodyDiv w:val="1"/>
      <w:marLeft w:val="0"/>
      <w:marRight w:val="0"/>
      <w:marTop w:val="0"/>
      <w:marBottom w:val="0"/>
      <w:divBdr>
        <w:top w:val="none" w:sz="0" w:space="0" w:color="auto"/>
        <w:left w:val="none" w:sz="0" w:space="0" w:color="auto"/>
        <w:bottom w:val="none" w:sz="0" w:space="0" w:color="auto"/>
        <w:right w:val="none" w:sz="0" w:space="0" w:color="auto"/>
      </w:divBdr>
      <w:divsChild>
        <w:div w:id="601960638">
          <w:marLeft w:val="0"/>
          <w:marRight w:val="0"/>
          <w:marTop w:val="0"/>
          <w:marBottom w:val="0"/>
          <w:divBdr>
            <w:top w:val="none" w:sz="0" w:space="0" w:color="auto"/>
            <w:left w:val="none" w:sz="0" w:space="0" w:color="auto"/>
            <w:bottom w:val="none" w:sz="0" w:space="0" w:color="auto"/>
            <w:right w:val="none" w:sz="0" w:space="0" w:color="auto"/>
          </w:divBdr>
        </w:div>
        <w:div w:id="1846166341">
          <w:marLeft w:val="0"/>
          <w:marRight w:val="0"/>
          <w:marTop w:val="0"/>
          <w:marBottom w:val="0"/>
          <w:divBdr>
            <w:top w:val="none" w:sz="0" w:space="0" w:color="auto"/>
            <w:left w:val="none" w:sz="0" w:space="0" w:color="auto"/>
            <w:bottom w:val="none" w:sz="0" w:space="0" w:color="auto"/>
            <w:right w:val="none" w:sz="0" w:space="0" w:color="auto"/>
          </w:divBdr>
        </w:div>
      </w:divsChild>
    </w:div>
    <w:div w:id="1354650659">
      <w:bodyDiv w:val="1"/>
      <w:marLeft w:val="0"/>
      <w:marRight w:val="0"/>
      <w:marTop w:val="0"/>
      <w:marBottom w:val="0"/>
      <w:divBdr>
        <w:top w:val="none" w:sz="0" w:space="0" w:color="auto"/>
        <w:left w:val="none" w:sz="0" w:space="0" w:color="auto"/>
        <w:bottom w:val="none" w:sz="0" w:space="0" w:color="auto"/>
        <w:right w:val="none" w:sz="0" w:space="0" w:color="auto"/>
      </w:divBdr>
    </w:div>
    <w:div w:id="1362585790">
      <w:bodyDiv w:val="1"/>
      <w:marLeft w:val="0"/>
      <w:marRight w:val="0"/>
      <w:marTop w:val="0"/>
      <w:marBottom w:val="0"/>
      <w:divBdr>
        <w:top w:val="none" w:sz="0" w:space="0" w:color="auto"/>
        <w:left w:val="none" w:sz="0" w:space="0" w:color="auto"/>
        <w:bottom w:val="none" w:sz="0" w:space="0" w:color="auto"/>
        <w:right w:val="none" w:sz="0" w:space="0" w:color="auto"/>
      </w:divBdr>
    </w:div>
    <w:div w:id="1384017344">
      <w:bodyDiv w:val="1"/>
      <w:marLeft w:val="0"/>
      <w:marRight w:val="0"/>
      <w:marTop w:val="0"/>
      <w:marBottom w:val="0"/>
      <w:divBdr>
        <w:top w:val="none" w:sz="0" w:space="0" w:color="auto"/>
        <w:left w:val="none" w:sz="0" w:space="0" w:color="auto"/>
        <w:bottom w:val="none" w:sz="0" w:space="0" w:color="auto"/>
        <w:right w:val="none" w:sz="0" w:space="0" w:color="auto"/>
      </w:divBdr>
    </w:div>
    <w:div w:id="1386442316">
      <w:bodyDiv w:val="1"/>
      <w:marLeft w:val="0"/>
      <w:marRight w:val="0"/>
      <w:marTop w:val="0"/>
      <w:marBottom w:val="0"/>
      <w:divBdr>
        <w:top w:val="none" w:sz="0" w:space="0" w:color="auto"/>
        <w:left w:val="none" w:sz="0" w:space="0" w:color="auto"/>
        <w:bottom w:val="none" w:sz="0" w:space="0" w:color="auto"/>
        <w:right w:val="none" w:sz="0" w:space="0" w:color="auto"/>
      </w:divBdr>
    </w:div>
    <w:div w:id="1485929508">
      <w:bodyDiv w:val="1"/>
      <w:marLeft w:val="0"/>
      <w:marRight w:val="0"/>
      <w:marTop w:val="0"/>
      <w:marBottom w:val="0"/>
      <w:divBdr>
        <w:top w:val="none" w:sz="0" w:space="0" w:color="auto"/>
        <w:left w:val="none" w:sz="0" w:space="0" w:color="auto"/>
        <w:bottom w:val="none" w:sz="0" w:space="0" w:color="auto"/>
        <w:right w:val="none" w:sz="0" w:space="0" w:color="auto"/>
      </w:divBdr>
    </w:div>
    <w:div w:id="1516647748">
      <w:bodyDiv w:val="1"/>
      <w:marLeft w:val="0"/>
      <w:marRight w:val="0"/>
      <w:marTop w:val="0"/>
      <w:marBottom w:val="0"/>
      <w:divBdr>
        <w:top w:val="none" w:sz="0" w:space="0" w:color="auto"/>
        <w:left w:val="none" w:sz="0" w:space="0" w:color="auto"/>
        <w:bottom w:val="none" w:sz="0" w:space="0" w:color="auto"/>
        <w:right w:val="none" w:sz="0" w:space="0" w:color="auto"/>
      </w:divBdr>
    </w:div>
    <w:div w:id="1537158347">
      <w:bodyDiv w:val="1"/>
      <w:marLeft w:val="0"/>
      <w:marRight w:val="0"/>
      <w:marTop w:val="0"/>
      <w:marBottom w:val="0"/>
      <w:divBdr>
        <w:top w:val="none" w:sz="0" w:space="0" w:color="auto"/>
        <w:left w:val="none" w:sz="0" w:space="0" w:color="auto"/>
        <w:bottom w:val="none" w:sz="0" w:space="0" w:color="auto"/>
        <w:right w:val="none" w:sz="0" w:space="0" w:color="auto"/>
      </w:divBdr>
    </w:div>
    <w:div w:id="1537963402">
      <w:bodyDiv w:val="1"/>
      <w:marLeft w:val="0"/>
      <w:marRight w:val="0"/>
      <w:marTop w:val="0"/>
      <w:marBottom w:val="0"/>
      <w:divBdr>
        <w:top w:val="none" w:sz="0" w:space="0" w:color="auto"/>
        <w:left w:val="none" w:sz="0" w:space="0" w:color="auto"/>
        <w:bottom w:val="none" w:sz="0" w:space="0" w:color="auto"/>
        <w:right w:val="none" w:sz="0" w:space="0" w:color="auto"/>
      </w:divBdr>
    </w:div>
    <w:div w:id="1615670605">
      <w:bodyDiv w:val="1"/>
      <w:marLeft w:val="0"/>
      <w:marRight w:val="0"/>
      <w:marTop w:val="0"/>
      <w:marBottom w:val="0"/>
      <w:divBdr>
        <w:top w:val="none" w:sz="0" w:space="0" w:color="auto"/>
        <w:left w:val="none" w:sz="0" w:space="0" w:color="auto"/>
        <w:bottom w:val="none" w:sz="0" w:space="0" w:color="auto"/>
        <w:right w:val="none" w:sz="0" w:space="0" w:color="auto"/>
      </w:divBdr>
    </w:div>
    <w:div w:id="1638337308">
      <w:bodyDiv w:val="1"/>
      <w:marLeft w:val="0"/>
      <w:marRight w:val="0"/>
      <w:marTop w:val="0"/>
      <w:marBottom w:val="0"/>
      <w:divBdr>
        <w:top w:val="none" w:sz="0" w:space="0" w:color="auto"/>
        <w:left w:val="none" w:sz="0" w:space="0" w:color="auto"/>
        <w:bottom w:val="none" w:sz="0" w:space="0" w:color="auto"/>
        <w:right w:val="none" w:sz="0" w:space="0" w:color="auto"/>
      </w:divBdr>
    </w:div>
    <w:div w:id="1669792043">
      <w:bodyDiv w:val="1"/>
      <w:marLeft w:val="0"/>
      <w:marRight w:val="0"/>
      <w:marTop w:val="0"/>
      <w:marBottom w:val="0"/>
      <w:divBdr>
        <w:top w:val="none" w:sz="0" w:space="0" w:color="auto"/>
        <w:left w:val="none" w:sz="0" w:space="0" w:color="auto"/>
        <w:bottom w:val="none" w:sz="0" w:space="0" w:color="auto"/>
        <w:right w:val="none" w:sz="0" w:space="0" w:color="auto"/>
      </w:divBdr>
    </w:div>
    <w:div w:id="1670133400">
      <w:bodyDiv w:val="1"/>
      <w:marLeft w:val="0"/>
      <w:marRight w:val="0"/>
      <w:marTop w:val="0"/>
      <w:marBottom w:val="0"/>
      <w:divBdr>
        <w:top w:val="none" w:sz="0" w:space="0" w:color="auto"/>
        <w:left w:val="none" w:sz="0" w:space="0" w:color="auto"/>
        <w:bottom w:val="none" w:sz="0" w:space="0" w:color="auto"/>
        <w:right w:val="none" w:sz="0" w:space="0" w:color="auto"/>
      </w:divBdr>
    </w:div>
    <w:div w:id="1688673845">
      <w:bodyDiv w:val="1"/>
      <w:marLeft w:val="0"/>
      <w:marRight w:val="0"/>
      <w:marTop w:val="0"/>
      <w:marBottom w:val="0"/>
      <w:divBdr>
        <w:top w:val="none" w:sz="0" w:space="0" w:color="auto"/>
        <w:left w:val="none" w:sz="0" w:space="0" w:color="auto"/>
        <w:bottom w:val="none" w:sz="0" w:space="0" w:color="auto"/>
        <w:right w:val="none" w:sz="0" w:space="0" w:color="auto"/>
      </w:divBdr>
    </w:div>
    <w:div w:id="1764179133">
      <w:bodyDiv w:val="1"/>
      <w:marLeft w:val="0"/>
      <w:marRight w:val="0"/>
      <w:marTop w:val="0"/>
      <w:marBottom w:val="0"/>
      <w:divBdr>
        <w:top w:val="none" w:sz="0" w:space="0" w:color="auto"/>
        <w:left w:val="none" w:sz="0" w:space="0" w:color="auto"/>
        <w:bottom w:val="none" w:sz="0" w:space="0" w:color="auto"/>
        <w:right w:val="none" w:sz="0" w:space="0" w:color="auto"/>
      </w:divBdr>
    </w:div>
    <w:div w:id="1776442652">
      <w:bodyDiv w:val="1"/>
      <w:marLeft w:val="0"/>
      <w:marRight w:val="0"/>
      <w:marTop w:val="0"/>
      <w:marBottom w:val="0"/>
      <w:divBdr>
        <w:top w:val="none" w:sz="0" w:space="0" w:color="auto"/>
        <w:left w:val="none" w:sz="0" w:space="0" w:color="auto"/>
        <w:bottom w:val="none" w:sz="0" w:space="0" w:color="auto"/>
        <w:right w:val="none" w:sz="0" w:space="0" w:color="auto"/>
      </w:divBdr>
    </w:div>
    <w:div w:id="1776559996">
      <w:bodyDiv w:val="1"/>
      <w:marLeft w:val="0"/>
      <w:marRight w:val="0"/>
      <w:marTop w:val="0"/>
      <w:marBottom w:val="0"/>
      <w:divBdr>
        <w:top w:val="none" w:sz="0" w:space="0" w:color="auto"/>
        <w:left w:val="none" w:sz="0" w:space="0" w:color="auto"/>
        <w:bottom w:val="none" w:sz="0" w:space="0" w:color="auto"/>
        <w:right w:val="none" w:sz="0" w:space="0" w:color="auto"/>
      </w:divBdr>
    </w:div>
    <w:div w:id="1777871323">
      <w:bodyDiv w:val="1"/>
      <w:marLeft w:val="0"/>
      <w:marRight w:val="0"/>
      <w:marTop w:val="0"/>
      <w:marBottom w:val="0"/>
      <w:divBdr>
        <w:top w:val="none" w:sz="0" w:space="0" w:color="auto"/>
        <w:left w:val="none" w:sz="0" w:space="0" w:color="auto"/>
        <w:bottom w:val="none" w:sz="0" w:space="0" w:color="auto"/>
        <w:right w:val="none" w:sz="0" w:space="0" w:color="auto"/>
      </w:divBdr>
    </w:div>
    <w:div w:id="1784375857">
      <w:bodyDiv w:val="1"/>
      <w:marLeft w:val="0"/>
      <w:marRight w:val="0"/>
      <w:marTop w:val="0"/>
      <w:marBottom w:val="0"/>
      <w:divBdr>
        <w:top w:val="none" w:sz="0" w:space="0" w:color="auto"/>
        <w:left w:val="none" w:sz="0" w:space="0" w:color="auto"/>
        <w:bottom w:val="none" w:sz="0" w:space="0" w:color="auto"/>
        <w:right w:val="none" w:sz="0" w:space="0" w:color="auto"/>
      </w:divBdr>
    </w:div>
    <w:div w:id="1841576195">
      <w:bodyDiv w:val="1"/>
      <w:marLeft w:val="0"/>
      <w:marRight w:val="0"/>
      <w:marTop w:val="0"/>
      <w:marBottom w:val="0"/>
      <w:divBdr>
        <w:top w:val="none" w:sz="0" w:space="0" w:color="auto"/>
        <w:left w:val="none" w:sz="0" w:space="0" w:color="auto"/>
        <w:bottom w:val="none" w:sz="0" w:space="0" w:color="auto"/>
        <w:right w:val="none" w:sz="0" w:space="0" w:color="auto"/>
      </w:divBdr>
    </w:div>
    <w:div w:id="1855068384">
      <w:bodyDiv w:val="1"/>
      <w:marLeft w:val="0"/>
      <w:marRight w:val="0"/>
      <w:marTop w:val="0"/>
      <w:marBottom w:val="0"/>
      <w:divBdr>
        <w:top w:val="none" w:sz="0" w:space="0" w:color="auto"/>
        <w:left w:val="none" w:sz="0" w:space="0" w:color="auto"/>
        <w:bottom w:val="none" w:sz="0" w:space="0" w:color="auto"/>
        <w:right w:val="none" w:sz="0" w:space="0" w:color="auto"/>
      </w:divBdr>
    </w:div>
    <w:div w:id="1872692410">
      <w:bodyDiv w:val="1"/>
      <w:marLeft w:val="0"/>
      <w:marRight w:val="0"/>
      <w:marTop w:val="0"/>
      <w:marBottom w:val="0"/>
      <w:divBdr>
        <w:top w:val="none" w:sz="0" w:space="0" w:color="auto"/>
        <w:left w:val="none" w:sz="0" w:space="0" w:color="auto"/>
        <w:bottom w:val="none" w:sz="0" w:space="0" w:color="auto"/>
        <w:right w:val="none" w:sz="0" w:space="0" w:color="auto"/>
      </w:divBdr>
      <w:divsChild>
        <w:div w:id="206140300">
          <w:marLeft w:val="0"/>
          <w:marRight w:val="0"/>
          <w:marTop w:val="0"/>
          <w:marBottom w:val="0"/>
          <w:divBdr>
            <w:top w:val="single" w:sz="2" w:space="0" w:color="2E2E2E"/>
            <w:left w:val="single" w:sz="2" w:space="0" w:color="2E2E2E"/>
            <w:bottom w:val="single" w:sz="2" w:space="0" w:color="2E2E2E"/>
            <w:right w:val="single" w:sz="2" w:space="0" w:color="2E2E2E"/>
          </w:divBdr>
          <w:divsChild>
            <w:div w:id="1475830804">
              <w:marLeft w:val="0"/>
              <w:marRight w:val="0"/>
              <w:marTop w:val="0"/>
              <w:marBottom w:val="0"/>
              <w:divBdr>
                <w:top w:val="single" w:sz="6" w:space="0" w:color="C9C9C9"/>
                <w:left w:val="none" w:sz="0" w:space="0" w:color="auto"/>
                <w:bottom w:val="none" w:sz="0" w:space="0" w:color="auto"/>
                <w:right w:val="none" w:sz="0" w:space="0" w:color="auto"/>
              </w:divBdr>
              <w:divsChild>
                <w:div w:id="1912808806">
                  <w:marLeft w:val="0"/>
                  <w:marRight w:val="0"/>
                  <w:marTop w:val="0"/>
                  <w:marBottom w:val="0"/>
                  <w:divBdr>
                    <w:top w:val="none" w:sz="0" w:space="0" w:color="auto"/>
                    <w:left w:val="none" w:sz="0" w:space="0" w:color="auto"/>
                    <w:bottom w:val="none" w:sz="0" w:space="0" w:color="auto"/>
                    <w:right w:val="none" w:sz="0" w:space="0" w:color="auto"/>
                  </w:divBdr>
                  <w:divsChild>
                    <w:div w:id="635642185">
                      <w:marLeft w:val="0"/>
                      <w:marRight w:val="0"/>
                      <w:marTop w:val="0"/>
                      <w:marBottom w:val="0"/>
                      <w:divBdr>
                        <w:top w:val="none" w:sz="0" w:space="0" w:color="auto"/>
                        <w:left w:val="none" w:sz="0" w:space="0" w:color="auto"/>
                        <w:bottom w:val="none" w:sz="0" w:space="0" w:color="auto"/>
                        <w:right w:val="none" w:sz="0" w:space="0" w:color="auto"/>
                      </w:divBdr>
                      <w:divsChild>
                        <w:div w:id="7306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613">
      <w:bodyDiv w:val="1"/>
      <w:marLeft w:val="0"/>
      <w:marRight w:val="0"/>
      <w:marTop w:val="0"/>
      <w:marBottom w:val="0"/>
      <w:divBdr>
        <w:top w:val="none" w:sz="0" w:space="0" w:color="auto"/>
        <w:left w:val="none" w:sz="0" w:space="0" w:color="auto"/>
        <w:bottom w:val="none" w:sz="0" w:space="0" w:color="auto"/>
        <w:right w:val="none" w:sz="0" w:space="0" w:color="auto"/>
      </w:divBdr>
    </w:div>
    <w:div w:id="1953439066">
      <w:bodyDiv w:val="1"/>
      <w:marLeft w:val="0"/>
      <w:marRight w:val="0"/>
      <w:marTop w:val="0"/>
      <w:marBottom w:val="0"/>
      <w:divBdr>
        <w:top w:val="none" w:sz="0" w:space="0" w:color="auto"/>
        <w:left w:val="none" w:sz="0" w:space="0" w:color="auto"/>
        <w:bottom w:val="none" w:sz="0" w:space="0" w:color="auto"/>
        <w:right w:val="none" w:sz="0" w:space="0" w:color="auto"/>
      </w:divBdr>
    </w:div>
    <w:div w:id="1982926026">
      <w:bodyDiv w:val="1"/>
      <w:marLeft w:val="0"/>
      <w:marRight w:val="0"/>
      <w:marTop w:val="0"/>
      <w:marBottom w:val="0"/>
      <w:divBdr>
        <w:top w:val="none" w:sz="0" w:space="0" w:color="auto"/>
        <w:left w:val="none" w:sz="0" w:space="0" w:color="auto"/>
        <w:bottom w:val="none" w:sz="0" w:space="0" w:color="auto"/>
        <w:right w:val="none" w:sz="0" w:space="0" w:color="auto"/>
      </w:divBdr>
      <w:divsChild>
        <w:div w:id="208105116">
          <w:marLeft w:val="0"/>
          <w:marRight w:val="0"/>
          <w:marTop w:val="0"/>
          <w:marBottom w:val="0"/>
          <w:divBdr>
            <w:top w:val="single" w:sz="2" w:space="0" w:color="2E2E2E"/>
            <w:left w:val="single" w:sz="2" w:space="0" w:color="2E2E2E"/>
            <w:bottom w:val="single" w:sz="2" w:space="0" w:color="2E2E2E"/>
            <w:right w:val="single" w:sz="2" w:space="0" w:color="2E2E2E"/>
          </w:divBdr>
          <w:divsChild>
            <w:div w:id="1578513909">
              <w:marLeft w:val="0"/>
              <w:marRight w:val="0"/>
              <w:marTop w:val="0"/>
              <w:marBottom w:val="0"/>
              <w:divBdr>
                <w:top w:val="single" w:sz="6" w:space="0" w:color="C9C9C9"/>
                <w:left w:val="none" w:sz="0" w:space="0" w:color="auto"/>
                <w:bottom w:val="none" w:sz="0" w:space="0" w:color="auto"/>
                <w:right w:val="none" w:sz="0" w:space="0" w:color="auto"/>
              </w:divBdr>
              <w:divsChild>
                <w:div w:id="663822347">
                  <w:marLeft w:val="0"/>
                  <w:marRight w:val="0"/>
                  <w:marTop w:val="0"/>
                  <w:marBottom w:val="0"/>
                  <w:divBdr>
                    <w:top w:val="none" w:sz="0" w:space="0" w:color="auto"/>
                    <w:left w:val="none" w:sz="0" w:space="0" w:color="auto"/>
                    <w:bottom w:val="none" w:sz="0" w:space="0" w:color="auto"/>
                    <w:right w:val="none" w:sz="0" w:space="0" w:color="auto"/>
                  </w:divBdr>
                  <w:divsChild>
                    <w:div w:id="1181554334">
                      <w:marLeft w:val="0"/>
                      <w:marRight w:val="0"/>
                      <w:marTop w:val="0"/>
                      <w:marBottom w:val="0"/>
                      <w:divBdr>
                        <w:top w:val="none" w:sz="0" w:space="0" w:color="auto"/>
                        <w:left w:val="none" w:sz="0" w:space="0" w:color="auto"/>
                        <w:bottom w:val="none" w:sz="0" w:space="0" w:color="auto"/>
                        <w:right w:val="none" w:sz="0" w:space="0" w:color="auto"/>
                      </w:divBdr>
                      <w:divsChild>
                        <w:div w:id="1098864471">
                          <w:marLeft w:val="0"/>
                          <w:marRight w:val="0"/>
                          <w:marTop w:val="225"/>
                          <w:marBottom w:val="315"/>
                          <w:divBdr>
                            <w:top w:val="single" w:sz="6" w:space="0" w:color="D7D7D7"/>
                            <w:left w:val="single" w:sz="2" w:space="0" w:color="D7D7D7"/>
                            <w:bottom w:val="single" w:sz="6" w:space="0" w:color="D7D7D7"/>
                            <w:right w:val="single" w:sz="2" w:space="0" w:color="D7D7D7"/>
                          </w:divBdr>
                          <w:divsChild>
                            <w:div w:id="53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19045">
      <w:bodyDiv w:val="1"/>
      <w:marLeft w:val="0"/>
      <w:marRight w:val="0"/>
      <w:marTop w:val="0"/>
      <w:marBottom w:val="0"/>
      <w:divBdr>
        <w:top w:val="none" w:sz="0" w:space="0" w:color="auto"/>
        <w:left w:val="none" w:sz="0" w:space="0" w:color="auto"/>
        <w:bottom w:val="none" w:sz="0" w:space="0" w:color="auto"/>
        <w:right w:val="none" w:sz="0" w:space="0" w:color="auto"/>
      </w:divBdr>
    </w:div>
    <w:div w:id="2032607584">
      <w:bodyDiv w:val="1"/>
      <w:marLeft w:val="0"/>
      <w:marRight w:val="0"/>
      <w:marTop w:val="0"/>
      <w:marBottom w:val="0"/>
      <w:divBdr>
        <w:top w:val="none" w:sz="0" w:space="0" w:color="auto"/>
        <w:left w:val="none" w:sz="0" w:space="0" w:color="auto"/>
        <w:bottom w:val="none" w:sz="0" w:space="0" w:color="auto"/>
        <w:right w:val="none" w:sz="0" w:space="0" w:color="auto"/>
      </w:divBdr>
    </w:div>
    <w:div w:id="2088961240">
      <w:bodyDiv w:val="1"/>
      <w:marLeft w:val="0"/>
      <w:marRight w:val="0"/>
      <w:marTop w:val="0"/>
      <w:marBottom w:val="0"/>
      <w:divBdr>
        <w:top w:val="none" w:sz="0" w:space="0" w:color="auto"/>
        <w:left w:val="none" w:sz="0" w:space="0" w:color="auto"/>
        <w:bottom w:val="none" w:sz="0" w:space="0" w:color="auto"/>
        <w:right w:val="none" w:sz="0" w:space="0" w:color="auto"/>
      </w:divBdr>
    </w:div>
    <w:div w:id="2093888435">
      <w:bodyDiv w:val="1"/>
      <w:marLeft w:val="0"/>
      <w:marRight w:val="0"/>
      <w:marTop w:val="0"/>
      <w:marBottom w:val="0"/>
      <w:divBdr>
        <w:top w:val="none" w:sz="0" w:space="0" w:color="auto"/>
        <w:left w:val="none" w:sz="0" w:space="0" w:color="auto"/>
        <w:bottom w:val="none" w:sz="0" w:space="0" w:color="auto"/>
        <w:right w:val="none" w:sz="0" w:space="0" w:color="auto"/>
      </w:divBdr>
    </w:div>
    <w:div w:id="21214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ndrew.Ferguson@ut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B1BB-4A88-4EAA-AEEC-D8B79600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8290</Words>
  <Characters>47255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and cute</dc:creator>
  <cp:lastModifiedBy>Matthew Grosse</cp:lastModifiedBy>
  <cp:revision>2</cp:revision>
  <cp:lastPrinted>2013-10-16T19:22:00Z</cp:lastPrinted>
  <dcterms:created xsi:type="dcterms:W3CDTF">2016-10-11T01:08:00Z</dcterms:created>
  <dcterms:modified xsi:type="dcterms:W3CDTF">2016-10-11T01:08:00Z</dcterms:modified>
</cp:coreProperties>
</file>