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0F21" w14:textId="77777777" w:rsidR="003F76F4" w:rsidRPr="00335FD4" w:rsidRDefault="00854B12" w:rsidP="00854B12">
      <w:pPr>
        <w:jc w:val="center"/>
        <w:rPr>
          <w:rFonts w:ascii="Book Antiqua" w:eastAsia="Times New Roman" w:hAnsi="Book Antiqua"/>
          <w:color w:val="000000" w:themeColor="text1"/>
        </w:rPr>
      </w:pPr>
      <w:bookmarkStart w:id="0" w:name="_GoBack"/>
      <w:bookmarkEnd w:id="0"/>
      <w:r w:rsidRPr="00335FD4">
        <w:rPr>
          <w:rFonts w:ascii="Book Antiqua" w:hAnsi="Book Antiqua"/>
          <w:b/>
          <w:smallCaps/>
          <w:color w:val="000000" w:themeColor="text1"/>
          <w:lang w:val="en-AU"/>
        </w:rPr>
        <w:t>The Search for a</w:t>
      </w:r>
      <w:r w:rsidR="007E0FFE" w:rsidRPr="00335FD4">
        <w:rPr>
          <w:rFonts w:ascii="Book Antiqua" w:hAnsi="Book Antiqua"/>
          <w:b/>
          <w:smallCaps/>
          <w:color w:val="000000" w:themeColor="text1"/>
          <w:lang w:val="en-AU"/>
        </w:rPr>
        <w:t xml:space="preserve"> </w:t>
      </w:r>
      <w:r w:rsidR="003F76F4" w:rsidRPr="00335FD4">
        <w:rPr>
          <w:rFonts w:ascii="Book Antiqua" w:hAnsi="Book Antiqua"/>
          <w:b/>
          <w:smallCaps/>
          <w:color w:val="000000" w:themeColor="text1"/>
          <w:lang w:val="en-AU"/>
        </w:rPr>
        <w:t xml:space="preserve">Long-term </w:t>
      </w:r>
      <w:r w:rsidR="007E0FFE" w:rsidRPr="00335FD4">
        <w:rPr>
          <w:rFonts w:ascii="Book Antiqua" w:hAnsi="Book Antiqua"/>
          <w:b/>
          <w:smallCaps/>
          <w:color w:val="000000" w:themeColor="text1"/>
          <w:lang w:val="en-AU"/>
        </w:rPr>
        <w:t>Solution to Short-term Rentals</w:t>
      </w:r>
      <w:r w:rsidRPr="00335FD4">
        <w:rPr>
          <w:rFonts w:ascii="Book Antiqua" w:hAnsi="Book Antiqua"/>
          <w:b/>
          <w:smallCaps/>
          <w:color w:val="000000" w:themeColor="text1"/>
          <w:lang w:val="en-AU"/>
        </w:rPr>
        <w:t>:</w:t>
      </w:r>
    </w:p>
    <w:p w14:paraId="283767E4" w14:textId="77777777" w:rsidR="00854B12" w:rsidRPr="00335FD4" w:rsidRDefault="00854B12" w:rsidP="00854B12">
      <w:pPr>
        <w:tabs>
          <w:tab w:val="left" w:pos="1977"/>
          <w:tab w:val="center" w:pos="4510"/>
        </w:tabs>
        <w:jc w:val="center"/>
        <w:rPr>
          <w:rFonts w:ascii="Book Antiqua" w:hAnsi="Book Antiqua"/>
          <w:b/>
          <w:smallCaps/>
          <w:color w:val="000000" w:themeColor="text1"/>
          <w:lang w:val="en-AU"/>
        </w:rPr>
      </w:pPr>
      <w:r w:rsidRPr="00335FD4">
        <w:rPr>
          <w:rFonts w:ascii="Book Antiqua" w:hAnsi="Book Antiqua"/>
          <w:b/>
          <w:smallCaps/>
          <w:color w:val="000000" w:themeColor="text1"/>
          <w:lang w:val="en-AU"/>
        </w:rPr>
        <w:t>the Rise of Airbnb and the Sharing Economy</w:t>
      </w:r>
    </w:p>
    <w:p w14:paraId="709955E4" w14:textId="77777777" w:rsidR="007707AD" w:rsidRPr="00335FD4" w:rsidRDefault="007707AD" w:rsidP="007707AD">
      <w:pPr>
        <w:tabs>
          <w:tab w:val="left" w:pos="1977"/>
          <w:tab w:val="center" w:pos="4510"/>
        </w:tabs>
        <w:jc w:val="center"/>
        <w:rPr>
          <w:rFonts w:ascii="Book Antiqua" w:hAnsi="Book Antiqua"/>
          <w:smallCaps/>
          <w:color w:val="000000" w:themeColor="text1"/>
          <w:lang w:val="en-AU"/>
        </w:rPr>
      </w:pPr>
      <w:r w:rsidRPr="00335FD4">
        <w:rPr>
          <w:rFonts w:ascii="Book Antiqua" w:hAnsi="Book Antiqua"/>
          <w:smallCaps/>
          <w:color w:val="000000" w:themeColor="text1"/>
          <w:lang w:val="en-AU"/>
        </w:rPr>
        <w:t>Christopher Pearce</w:t>
      </w:r>
      <w:r w:rsidR="00B47130" w:rsidRPr="00335FD4">
        <w:rPr>
          <w:rStyle w:val="FootnoteReference"/>
          <w:rFonts w:ascii="Book Antiqua" w:hAnsi="Book Antiqua"/>
          <w:smallCaps/>
          <w:color w:val="000000" w:themeColor="text1"/>
          <w:lang w:val="en-AU"/>
        </w:rPr>
        <w:footnoteReference w:customMarkFollows="1" w:id="1"/>
        <w:t>*</w:t>
      </w:r>
    </w:p>
    <w:p w14:paraId="4580F148" w14:textId="77777777" w:rsidR="003F76F4" w:rsidRPr="00335FD4" w:rsidRDefault="003F76F4" w:rsidP="003F76F4">
      <w:pPr>
        <w:rPr>
          <w:rFonts w:ascii="Book Antiqua" w:hAnsi="Book Antiqua"/>
          <w:b/>
          <w:color w:val="000000" w:themeColor="text1"/>
          <w:u w:val="single"/>
          <w:lang w:val="en-AU"/>
        </w:rPr>
      </w:pPr>
    </w:p>
    <w:p w14:paraId="7EB52EE5" w14:textId="77777777" w:rsidR="003F76F4" w:rsidRPr="00335FD4" w:rsidRDefault="003F76F4" w:rsidP="00EC7F34">
      <w:pPr>
        <w:ind w:left="340" w:right="340"/>
        <w:jc w:val="both"/>
        <w:rPr>
          <w:rFonts w:ascii="Book Antiqua" w:hAnsi="Book Antiqua"/>
          <w:b/>
          <w:iCs/>
          <w:color w:val="000000" w:themeColor="text1"/>
        </w:rPr>
      </w:pPr>
      <w:r w:rsidRPr="00335FD4">
        <w:rPr>
          <w:rFonts w:ascii="Book Antiqua" w:hAnsi="Book Antiqua"/>
          <w:b/>
          <w:iCs/>
          <w:color w:val="000000" w:themeColor="text1"/>
        </w:rPr>
        <w:t>The relatively recent phenomenon of short-term letting of residential properties has gifted home owners a potential goldmine</w:t>
      </w:r>
      <w:r w:rsidR="00380F02" w:rsidRPr="00335FD4">
        <w:rPr>
          <w:rFonts w:ascii="Book Antiqua" w:hAnsi="Book Antiqua"/>
          <w:b/>
          <w:iCs/>
          <w:color w:val="000000" w:themeColor="text1"/>
        </w:rPr>
        <w:t>,</w:t>
      </w:r>
      <w:r w:rsidRPr="00335FD4">
        <w:rPr>
          <w:rFonts w:ascii="Book Antiqua" w:hAnsi="Book Antiqua"/>
          <w:b/>
          <w:iCs/>
          <w:color w:val="000000" w:themeColor="text1"/>
        </w:rPr>
        <w:t xml:space="preserve"> </w:t>
      </w:r>
      <w:r w:rsidR="00380F02" w:rsidRPr="00335FD4">
        <w:rPr>
          <w:rFonts w:ascii="Book Antiqua" w:hAnsi="Book Antiqua"/>
          <w:b/>
          <w:iCs/>
          <w:color w:val="000000" w:themeColor="text1"/>
        </w:rPr>
        <w:t>while providing</w:t>
      </w:r>
      <w:r w:rsidRPr="00335FD4">
        <w:rPr>
          <w:rFonts w:ascii="Book Antiqua" w:hAnsi="Book Antiqua"/>
          <w:b/>
          <w:iCs/>
          <w:color w:val="000000" w:themeColor="text1"/>
        </w:rPr>
        <w:t xml:space="preserve"> regulators </w:t>
      </w:r>
      <w:r w:rsidR="00380F02" w:rsidRPr="00335FD4">
        <w:rPr>
          <w:rFonts w:ascii="Book Antiqua" w:hAnsi="Book Antiqua"/>
          <w:b/>
          <w:iCs/>
          <w:color w:val="000000" w:themeColor="text1"/>
        </w:rPr>
        <w:t xml:space="preserve">and </w:t>
      </w:r>
      <w:r w:rsidR="002F0DEF" w:rsidRPr="00335FD4">
        <w:rPr>
          <w:rFonts w:ascii="Book Antiqua" w:hAnsi="Book Antiqua"/>
          <w:b/>
          <w:iCs/>
          <w:color w:val="000000" w:themeColor="text1"/>
        </w:rPr>
        <w:t>planning authorities</w:t>
      </w:r>
      <w:r w:rsidR="00380F02" w:rsidRPr="00335FD4">
        <w:rPr>
          <w:rFonts w:ascii="Book Antiqua" w:hAnsi="Book Antiqua"/>
          <w:b/>
          <w:iCs/>
          <w:color w:val="000000" w:themeColor="text1"/>
        </w:rPr>
        <w:t xml:space="preserve"> with a series of </w:t>
      </w:r>
      <w:r w:rsidRPr="00335FD4">
        <w:rPr>
          <w:rFonts w:ascii="Book Antiqua" w:hAnsi="Book Antiqua"/>
          <w:b/>
          <w:iCs/>
          <w:color w:val="000000" w:themeColor="text1"/>
        </w:rPr>
        <w:t>headaches. Debate has been amplified by the popularity of Airbnb and like services, which facilitate the shari</w:t>
      </w:r>
      <w:r w:rsidR="004E70C1" w:rsidRPr="00335FD4">
        <w:rPr>
          <w:rFonts w:ascii="Book Antiqua" w:hAnsi="Book Antiqua"/>
          <w:b/>
          <w:iCs/>
          <w:color w:val="000000" w:themeColor="text1"/>
        </w:rPr>
        <w:t>ng of residential accommodation,</w:t>
      </w:r>
      <w:r w:rsidRPr="00335FD4">
        <w:rPr>
          <w:rFonts w:ascii="Book Antiqua" w:hAnsi="Book Antiqua"/>
          <w:b/>
          <w:iCs/>
          <w:color w:val="000000" w:themeColor="text1"/>
        </w:rPr>
        <w:t xml:space="preserve"> enabling visitors to rent all forms of residential properties</w:t>
      </w:r>
      <w:r w:rsidR="004E70C1" w:rsidRPr="00335FD4">
        <w:rPr>
          <w:rFonts w:ascii="Book Antiqua" w:hAnsi="Book Antiqua"/>
          <w:b/>
          <w:iCs/>
          <w:color w:val="000000" w:themeColor="text1"/>
        </w:rPr>
        <w:t xml:space="preserve"> across the globe</w:t>
      </w:r>
      <w:r w:rsidRPr="00335FD4">
        <w:rPr>
          <w:rFonts w:ascii="Book Antiqua" w:hAnsi="Book Antiqua"/>
          <w:b/>
          <w:i/>
          <w:iCs/>
          <w:color w:val="000000" w:themeColor="text1"/>
        </w:rPr>
        <w:t>.</w:t>
      </w:r>
      <w:r w:rsidRPr="00335FD4">
        <w:rPr>
          <w:rFonts w:ascii="Book Antiqua" w:hAnsi="Book Antiqua"/>
          <w:b/>
          <w:iCs/>
          <w:color w:val="000000" w:themeColor="text1"/>
        </w:rPr>
        <w:t xml:space="preserve"> As this paper will address, attempts have been made in both Australia and abroad to legislate upon the matter, with the NSW Government </w:t>
      </w:r>
      <w:r w:rsidR="00751F17" w:rsidRPr="00335FD4">
        <w:rPr>
          <w:rFonts w:ascii="Book Antiqua" w:hAnsi="Book Antiqua"/>
          <w:b/>
          <w:iCs/>
          <w:color w:val="000000" w:themeColor="text1"/>
        </w:rPr>
        <w:t>currently undertaking its own Parliamentary I</w:t>
      </w:r>
      <w:r w:rsidRPr="00335FD4">
        <w:rPr>
          <w:rFonts w:ascii="Book Antiqua" w:hAnsi="Book Antiqua"/>
          <w:b/>
          <w:iCs/>
          <w:color w:val="000000" w:themeColor="text1"/>
        </w:rPr>
        <w:t xml:space="preserve">nquiry on how to best manage the issue. Short-term letting has </w:t>
      </w:r>
      <w:r w:rsidR="00EC7F34" w:rsidRPr="00335FD4">
        <w:rPr>
          <w:rFonts w:ascii="Book Antiqua" w:hAnsi="Book Antiqua"/>
          <w:b/>
          <w:iCs/>
          <w:color w:val="000000" w:themeColor="text1"/>
        </w:rPr>
        <w:t>raised a number of questions for both courts and planning authorities as to</w:t>
      </w:r>
      <w:r w:rsidR="00F826F1" w:rsidRPr="00335FD4">
        <w:rPr>
          <w:rFonts w:ascii="Book Antiqua" w:hAnsi="Book Antiqua"/>
          <w:b/>
          <w:iCs/>
          <w:color w:val="000000" w:themeColor="text1"/>
        </w:rPr>
        <w:t xml:space="preserve"> how</w:t>
      </w:r>
      <w:r w:rsidR="00EC7F34" w:rsidRPr="00335FD4">
        <w:rPr>
          <w:rFonts w:ascii="Book Antiqua" w:hAnsi="Book Antiqua"/>
          <w:b/>
          <w:iCs/>
          <w:color w:val="000000" w:themeColor="text1"/>
        </w:rPr>
        <w:t xml:space="preserve"> the practice fits within existing land use definitions and development approval rules. As this paper will examine, it also raises a number of issues for third parties in the context of civil liability, as well as for landlord’s whose properties are rented without their approval. After considering the measures presently employed in other jurisdictions, this paper will advocate an approach </w:t>
      </w:r>
      <w:r w:rsidR="00F826F1" w:rsidRPr="00335FD4">
        <w:rPr>
          <w:rFonts w:ascii="Book Antiqua" w:hAnsi="Book Antiqua"/>
          <w:b/>
          <w:iCs/>
          <w:color w:val="000000" w:themeColor="text1"/>
        </w:rPr>
        <w:t>which</w:t>
      </w:r>
      <w:r w:rsidR="00EC7F34" w:rsidRPr="00335FD4">
        <w:rPr>
          <w:rFonts w:ascii="Book Antiqua" w:hAnsi="Book Antiqua"/>
          <w:b/>
          <w:iCs/>
          <w:color w:val="000000" w:themeColor="text1"/>
        </w:rPr>
        <w:t xml:space="preserve"> this author views as striking a </w:t>
      </w:r>
      <w:r w:rsidR="0051213D" w:rsidRPr="00335FD4">
        <w:rPr>
          <w:rFonts w:ascii="Book Antiqua" w:hAnsi="Book Antiqua"/>
          <w:b/>
          <w:iCs/>
          <w:color w:val="000000" w:themeColor="text1"/>
        </w:rPr>
        <w:t>balance between</w:t>
      </w:r>
      <w:r w:rsidR="00694517" w:rsidRPr="00335FD4">
        <w:rPr>
          <w:rFonts w:ascii="Book Antiqua" w:hAnsi="Book Antiqua"/>
          <w:b/>
          <w:iCs/>
          <w:color w:val="000000" w:themeColor="text1"/>
        </w:rPr>
        <w:t xml:space="preserve"> </w:t>
      </w:r>
      <w:r w:rsidR="0051213D" w:rsidRPr="00335FD4">
        <w:rPr>
          <w:rFonts w:ascii="Book Antiqua" w:hAnsi="Book Antiqua"/>
          <w:b/>
          <w:iCs/>
          <w:color w:val="000000" w:themeColor="text1"/>
        </w:rPr>
        <w:t>embracing</w:t>
      </w:r>
      <w:r w:rsidR="00694517" w:rsidRPr="00335FD4">
        <w:rPr>
          <w:rFonts w:ascii="Book Antiqua" w:hAnsi="Book Antiqua"/>
          <w:b/>
          <w:iCs/>
          <w:color w:val="000000" w:themeColor="text1"/>
        </w:rPr>
        <w:t xml:space="preserve"> the sharing economy, while also protecting the interests of relevant stakeholders. </w:t>
      </w:r>
    </w:p>
    <w:p w14:paraId="07D4FBEF" w14:textId="77777777" w:rsidR="003F76F4" w:rsidRPr="00335FD4" w:rsidRDefault="003F76F4" w:rsidP="003F76F4">
      <w:pPr>
        <w:rPr>
          <w:rFonts w:ascii="Book Antiqua" w:eastAsia="Times New Roman" w:hAnsi="Book Antiqua"/>
          <w:b/>
          <w:color w:val="000000" w:themeColor="text1"/>
        </w:rPr>
      </w:pPr>
    </w:p>
    <w:p w14:paraId="10D1B34E" w14:textId="77777777" w:rsidR="00B11055" w:rsidRDefault="003A7DD8" w:rsidP="003F76F4">
      <w:pPr>
        <w:jc w:val="both"/>
        <w:rPr>
          <w:rFonts w:ascii="Book Antiqua" w:eastAsia="Times New Roman" w:hAnsi="Book Antiqua"/>
          <w:color w:val="000000" w:themeColor="text1"/>
        </w:rPr>
      </w:pPr>
      <w:r w:rsidRPr="00335FD4">
        <w:rPr>
          <w:rFonts w:ascii="Book Antiqua" w:eastAsia="Times New Roman" w:hAnsi="Book Antiqua"/>
          <w:color w:val="000000" w:themeColor="text1"/>
        </w:rPr>
        <w:t xml:space="preserve">The so-called “sharing economy” presents a number of interesting dilemmas for regulators and lawyers alike. </w:t>
      </w:r>
      <w:r w:rsidR="003F76F4" w:rsidRPr="00335FD4">
        <w:rPr>
          <w:rFonts w:ascii="Book Antiqua" w:eastAsia="Times New Roman" w:hAnsi="Book Antiqua"/>
          <w:color w:val="000000" w:themeColor="text1"/>
        </w:rPr>
        <w:t xml:space="preserve">The introduction of services such as Airbnb and Uber </w:t>
      </w:r>
      <w:r w:rsidRPr="00335FD4">
        <w:rPr>
          <w:rFonts w:ascii="Book Antiqua" w:eastAsia="Times New Roman" w:hAnsi="Book Antiqua"/>
          <w:color w:val="000000" w:themeColor="text1"/>
        </w:rPr>
        <w:t>has</w:t>
      </w:r>
      <w:r w:rsidR="003F76F4" w:rsidRPr="00335FD4">
        <w:rPr>
          <w:rFonts w:ascii="Book Antiqua" w:eastAsia="Times New Roman" w:hAnsi="Book Antiqua"/>
          <w:color w:val="000000" w:themeColor="text1"/>
        </w:rPr>
        <w:t xml:space="preserve"> altered the landscape in the accommodation and transportation fields respectively, drawing the ire of </w:t>
      </w:r>
      <w:r w:rsidRPr="00335FD4">
        <w:rPr>
          <w:rFonts w:ascii="Book Antiqua" w:eastAsia="Times New Roman" w:hAnsi="Book Antiqua"/>
          <w:color w:val="000000" w:themeColor="text1"/>
        </w:rPr>
        <w:t>established</w:t>
      </w:r>
      <w:r w:rsidR="003F76F4" w:rsidRPr="00335FD4">
        <w:rPr>
          <w:rFonts w:ascii="Book Antiqua" w:eastAsia="Times New Roman" w:hAnsi="Book Antiqua"/>
          <w:color w:val="000000" w:themeColor="text1"/>
        </w:rPr>
        <w:t xml:space="preserve"> competitors while exciting consumers. </w:t>
      </w:r>
      <w:r w:rsidR="006516BE">
        <w:rPr>
          <w:rFonts w:ascii="Book Antiqua" w:eastAsia="Times New Roman" w:hAnsi="Book Antiqua"/>
          <w:color w:val="000000" w:themeColor="text1"/>
        </w:rPr>
        <w:t xml:space="preserve">Yet, while these services have rapidly expanded, the law is yet to catch up. This delay in the passing of a legal framework, particularly with respect to Airbnb, has created a regulatory blackhole, with users and planning authorities alike unclear of their legality. </w:t>
      </w:r>
      <w:r w:rsidR="000C473C">
        <w:rPr>
          <w:rFonts w:ascii="Book Antiqua" w:eastAsia="Times New Roman" w:hAnsi="Book Antiqua"/>
          <w:color w:val="000000" w:themeColor="text1"/>
        </w:rPr>
        <w:t xml:space="preserve">This question </w:t>
      </w:r>
      <w:r w:rsidR="00450F91">
        <w:rPr>
          <w:rFonts w:ascii="Book Antiqua" w:eastAsia="Times New Roman" w:hAnsi="Book Antiqua"/>
          <w:color w:val="000000" w:themeColor="text1"/>
        </w:rPr>
        <w:t>is not</w:t>
      </w:r>
      <w:r w:rsidR="000C473C">
        <w:rPr>
          <w:rFonts w:ascii="Book Antiqua" w:eastAsia="Times New Roman" w:hAnsi="Book Antiqua"/>
          <w:color w:val="000000" w:themeColor="text1"/>
        </w:rPr>
        <w:t xml:space="preserve"> </w:t>
      </w:r>
      <w:r w:rsidR="000C473C">
        <w:rPr>
          <w:rFonts w:ascii="Book Antiqua" w:eastAsia="Times New Roman" w:hAnsi="Book Antiqua"/>
          <w:i/>
          <w:color w:val="000000" w:themeColor="text1"/>
        </w:rPr>
        <w:t xml:space="preserve">if </w:t>
      </w:r>
      <w:r w:rsidR="00450F91">
        <w:rPr>
          <w:rFonts w:ascii="Book Antiqua" w:eastAsia="Times New Roman" w:hAnsi="Book Antiqua"/>
          <w:color w:val="000000" w:themeColor="text1"/>
        </w:rPr>
        <w:t>regulation</w:t>
      </w:r>
      <w:r w:rsidR="000C473C">
        <w:rPr>
          <w:rFonts w:ascii="Book Antiqua" w:eastAsia="Times New Roman" w:hAnsi="Book Antiqua"/>
          <w:color w:val="000000" w:themeColor="text1"/>
        </w:rPr>
        <w:t xml:space="preserve"> is required, but rather </w:t>
      </w:r>
      <w:r w:rsidR="00BB480B">
        <w:rPr>
          <w:rFonts w:ascii="Book Antiqua" w:eastAsia="Times New Roman" w:hAnsi="Book Antiqua"/>
          <w:i/>
          <w:color w:val="000000" w:themeColor="text1"/>
        </w:rPr>
        <w:t>which</w:t>
      </w:r>
      <w:r w:rsidR="000C473C">
        <w:rPr>
          <w:rFonts w:ascii="Book Antiqua" w:eastAsia="Times New Roman" w:hAnsi="Book Antiqua"/>
          <w:color w:val="000000" w:themeColor="text1"/>
        </w:rPr>
        <w:t xml:space="preserve"> form of regulation should be introduced to govern the short-term rental market</w:t>
      </w:r>
      <w:r w:rsidR="00450F91">
        <w:rPr>
          <w:rFonts w:ascii="Book Antiqua" w:eastAsia="Times New Roman" w:hAnsi="Book Antiqua"/>
          <w:color w:val="000000" w:themeColor="text1"/>
        </w:rPr>
        <w:t>.</w:t>
      </w:r>
      <w:r w:rsidR="006809AA">
        <w:rPr>
          <w:rFonts w:ascii="Book Antiqua" w:eastAsia="Times New Roman" w:hAnsi="Book Antiqua"/>
          <w:color w:val="000000" w:themeColor="text1"/>
        </w:rPr>
        <w:t xml:space="preserve"> As short-term renting expands across the globe, a number of international, as well as local, jurisdictions have initiated measures to regulate the issue, ranging from laissez-faire responses to more stringent schemes.</w:t>
      </w:r>
    </w:p>
    <w:p w14:paraId="57D862A5" w14:textId="77777777" w:rsidR="006809AA" w:rsidRPr="00335FD4" w:rsidRDefault="006809AA" w:rsidP="003F76F4">
      <w:pPr>
        <w:jc w:val="both"/>
        <w:rPr>
          <w:rFonts w:ascii="Book Antiqua" w:eastAsia="Times New Roman" w:hAnsi="Book Antiqua"/>
          <w:color w:val="000000" w:themeColor="text1"/>
        </w:rPr>
      </w:pPr>
    </w:p>
    <w:p w14:paraId="234D2D55" w14:textId="77777777" w:rsidR="003F76F4" w:rsidRPr="00335FD4" w:rsidRDefault="003F76F4" w:rsidP="003F76F4">
      <w:pPr>
        <w:jc w:val="both"/>
        <w:rPr>
          <w:rFonts w:ascii="Book Antiqua" w:eastAsia="Times New Roman" w:hAnsi="Book Antiqua"/>
          <w:color w:val="000000" w:themeColor="text1"/>
        </w:rPr>
      </w:pPr>
      <w:r w:rsidRPr="00335FD4">
        <w:rPr>
          <w:rFonts w:ascii="Book Antiqua" w:eastAsia="Times New Roman" w:hAnsi="Book Antiqua"/>
          <w:color w:val="000000" w:themeColor="text1"/>
        </w:rPr>
        <w:t xml:space="preserve">This paper will begin by examining </w:t>
      </w:r>
      <w:r w:rsidR="00DE65B8" w:rsidRPr="00335FD4">
        <w:rPr>
          <w:rFonts w:ascii="Book Antiqua" w:eastAsia="Times New Roman" w:hAnsi="Book Antiqua"/>
          <w:color w:val="000000" w:themeColor="text1"/>
        </w:rPr>
        <w:t>how jurisdictions in both Australia and abroad have defined short-term accommodation, and the flexibility of any development approval requirements in place. This paper will then turn to examine additional issues raised by short-term letting, particularly the need for planning councils and neighbouring property owners to be able to obtain redress in cases of damage to property or amenity. T</w:t>
      </w:r>
      <w:r w:rsidR="004018FD" w:rsidRPr="00335FD4">
        <w:rPr>
          <w:rFonts w:ascii="Book Antiqua" w:eastAsia="Times New Roman" w:hAnsi="Book Antiqua"/>
          <w:color w:val="000000" w:themeColor="text1"/>
        </w:rPr>
        <w:t xml:space="preserve">his paper will </w:t>
      </w:r>
      <w:r w:rsidR="00DE65B8" w:rsidRPr="00335FD4">
        <w:rPr>
          <w:rFonts w:ascii="Book Antiqua" w:eastAsia="Times New Roman" w:hAnsi="Book Antiqua"/>
          <w:color w:val="000000" w:themeColor="text1"/>
        </w:rPr>
        <w:t>also</w:t>
      </w:r>
      <w:r w:rsidR="004018FD" w:rsidRPr="00335FD4">
        <w:rPr>
          <w:rFonts w:ascii="Book Antiqua" w:eastAsia="Times New Roman" w:hAnsi="Book Antiqua"/>
          <w:color w:val="000000" w:themeColor="text1"/>
        </w:rPr>
        <w:t xml:space="preserve"> look to other areas of law impacted upon by short-term rental agreements, such as tortious liability for injury and the rights of tenants under the various Residential Tenancy laws throughout Australia.</w:t>
      </w:r>
      <w:r w:rsidRPr="00335FD4">
        <w:rPr>
          <w:rFonts w:ascii="Book Antiqua" w:eastAsia="Times New Roman" w:hAnsi="Book Antiqua"/>
          <w:color w:val="000000" w:themeColor="text1"/>
        </w:rPr>
        <w:t xml:space="preserve"> </w:t>
      </w:r>
      <w:r w:rsidR="00DE65B8" w:rsidRPr="00335FD4">
        <w:rPr>
          <w:rFonts w:ascii="Book Antiqua" w:eastAsia="Times New Roman" w:hAnsi="Book Antiqua"/>
          <w:color w:val="000000" w:themeColor="text1"/>
        </w:rPr>
        <w:t>Finally, this</w:t>
      </w:r>
      <w:r w:rsidRPr="00335FD4">
        <w:rPr>
          <w:rFonts w:ascii="Book Antiqua" w:eastAsia="Times New Roman" w:hAnsi="Book Antiqua"/>
          <w:color w:val="000000" w:themeColor="text1"/>
        </w:rPr>
        <w:t xml:space="preserve"> paper will conclude by examining the </w:t>
      </w:r>
      <w:r w:rsidR="004018FD" w:rsidRPr="00335FD4">
        <w:rPr>
          <w:rFonts w:ascii="Book Antiqua" w:eastAsia="Times New Roman" w:hAnsi="Book Antiqua"/>
          <w:color w:val="000000" w:themeColor="text1"/>
        </w:rPr>
        <w:t>most</w:t>
      </w:r>
      <w:r w:rsidRPr="00335FD4">
        <w:rPr>
          <w:rFonts w:ascii="Book Antiqua" w:eastAsia="Times New Roman" w:hAnsi="Book Antiqua"/>
          <w:color w:val="000000" w:themeColor="text1"/>
        </w:rPr>
        <w:t xml:space="preserve"> appropriate means available to </w:t>
      </w:r>
      <w:r w:rsidRPr="00335FD4">
        <w:rPr>
          <w:rFonts w:ascii="Book Antiqua" w:eastAsia="Times New Roman" w:hAnsi="Book Antiqua"/>
          <w:color w:val="000000" w:themeColor="text1"/>
        </w:rPr>
        <w:lastRenderedPageBreak/>
        <w:t>manage the issue, and whether any existing legal principles ma</w:t>
      </w:r>
      <w:r w:rsidR="004018FD" w:rsidRPr="00335FD4">
        <w:rPr>
          <w:rFonts w:ascii="Book Antiqua" w:eastAsia="Times New Roman" w:hAnsi="Book Antiqua"/>
          <w:color w:val="000000" w:themeColor="text1"/>
        </w:rPr>
        <w:t xml:space="preserve">y exist that </w:t>
      </w:r>
      <w:r w:rsidR="00B11055" w:rsidRPr="00335FD4">
        <w:rPr>
          <w:rFonts w:ascii="Book Antiqua" w:eastAsia="Times New Roman" w:hAnsi="Book Antiqua"/>
          <w:color w:val="000000" w:themeColor="text1"/>
        </w:rPr>
        <w:t>can</w:t>
      </w:r>
      <w:r w:rsidR="004018FD" w:rsidRPr="00335FD4">
        <w:rPr>
          <w:rFonts w:ascii="Book Antiqua" w:eastAsia="Times New Roman" w:hAnsi="Book Antiqua"/>
          <w:color w:val="000000" w:themeColor="text1"/>
        </w:rPr>
        <w:t xml:space="preserve"> be drawn upon by courts in the absence of an express legislative framework. </w:t>
      </w:r>
    </w:p>
    <w:p w14:paraId="62D0E41A" w14:textId="77777777" w:rsidR="003F76F4" w:rsidRPr="00335FD4" w:rsidRDefault="003F76F4" w:rsidP="003F76F4">
      <w:pPr>
        <w:rPr>
          <w:rFonts w:ascii="Book Antiqua" w:eastAsia="Times New Roman" w:hAnsi="Book Antiqua"/>
          <w:b/>
          <w:color w:val="000000" w:themeColor="text1"/>
        </w:rPr>
      </w:pPr>
    </w:p>
    <w:p w14:paraId="02CBAB91" w14:textId="77777777" w:rsidR="003F76F4" w:rsidRPr="00335FD4" w:rsidRDefault="003F76F4" w:rsidP="00441E6C">
      <w:pPr>
        <w:jc w:val="center"/>
        <w:rPr>
          <w:rFonts w:ascii="Book Antiqua" w:eastAsia="Times New Roman" w:hAnsi="Book Antiqua"/>
          <w:b/>
          <w:color w:val="000000" w:themeColor="text1"/>
        </w:rPr>
      </w:pPr>
      <w:r w:rsidRPr="00335FD4">
        <w:rPr>
          <w:rFonts w:ascii="Book Antiqua" w:hAnsi="Book Antiqua"/>
          <w:b/>
          <w:smallCaps/>
          <w:color w:val="000000" w:themeColor="text1"/>
          <w:lang w:val="en-AU"/>
        </w:rPr>
        <w:t>I Short-term Letting and the Sharing Economy</w:t>
      </w:r>
    </w:p>
    <w:p w14:paraId="5A817F4A" w14:textId="77777777" w:rsidR="003F76F4" w:rsidRPr="00335FD4" w:rsidRDefault="003F76F4" w:rsidP="003F76F4">
      <w:pPr>
        <w:rPr>
          <w:rFonts w:ascii="Book Antiqua" w:eastAsia="Times New Roman" w:hAnsi="Book Antiqua"/>
          <w:color w:val="000000" w:themeColor="text1"/>
        </w:rPr>
      </w:pPr>
    </w:p>
    <w:p w14:paraId="34FD1AC5" w14:textId="77777777" w:rsidR="003F76F4" w:rsidRPr="00335FD4" w:rsidRDefault="003F76F4" w:rsidP="003F76F4">
      <w:pPr>
        <w:jc w:val="both"/>
        <w:rPr>
          <w:rFonts w:ascii="Book Antiqua" w:eastAsia="Times New Roman" w:hAnsi="Book Antiqua"/>
          <w:b/>
          <w:color w:val="000000" w:themeColor="text1"/>
        </w:rPr>
      </w:pPr>
      <w:r w:rsidRPr="00335FD4">
        <w:rPr>
          <w:rFonts w:ascii="Book Antiqua" w:eastAsia="Times New Roman" w:hAnsi="Book Antiqua"/>
          <w:color w:val="000000" w:themeColor="text1"/>
        </w:rPr>
        <w:t>In a time where just about anything can be acquired with the mere tap of a finger</w:t>
      </w:r>
      <w:r w:rsidR="0008539B" w:rsidRPr="00335FD4">
        <w:rPr>
          <w:rFonts w:ascii="Book Antiqua" w:eastAsia="Times New Roman" w:hAnsi="Book Antiqua"/>
          <w:color w:val="000000" w:themeColor="text1"/>
        </w:rPr>
        <w:t>,</w:t>
      </w:r>
      <w:r w:rsidR="006F0F46" w:rsidRPr="00335FD4">
        <w:rPr>
          <w:rFonts w:ascii="Book Antiqua" w:eastAsia="Times New Roman" w:hAnsi="Book Antiqua"/>
          <w:color w:val="000000" w:themeColor="text1"/>
        </w:rPr>
        <w:t xml:space="preserve"> it i</w:t>
      </w:r>
      <w:r w:rsidRPr="00335FD4">
        <w:rPr>
          <w:rFonts w:ascii="Book Antiqua" w:eastAsia="Times New Roman" w:hAnsi="Book Antiqua"/>
          <w:color w:val="000000" w:themeColor="text1"/>
        </w:rPr>
        <w:t xml:space="preserve">s not surprising to see </w:t>
      </w:r>
      <w:r w:rsidR="0008539B" w:rsidRPr="00335FD4">
        <w:rPr>
          <w:rFonts w:ascii="Book Antiqua" w:eastAsia="Times New Roman" w:hAnsi="Book Antiqua"/>
          <w:color w:val="000000" w:themeColor="text1"/>
        </w:rPr>
        <w:t>a</w:t>
      </w:r>
      <w:r w:rsidRPr="00335FD4">
        <w:rPr>
          <w:rFonts w:ascii="Book Antiqua" w:eastAsia="Times New Roman" w:hAnsi="Book Antiqua"/>
          <w:color w:val="000000" w:themeColor="text1"/>
        </w:rPr>
        <w:t xml:space="preserve"> shift occur</w:t>
      </w:r>
      <w:r w:rsidR="0008539B" w:rsidRPr="00335FD4">
        <w:rPr>
          <w:rFonts w:ascii="Book Antiqua" w:eastAsia="Times New Roman" w:hAnsi="Book Antiqua"/>
          <w:color w:val="000000" w:themeColor="text1"/>
        </w:rPr>
        <w:t>ring</w:t>
      </w:r>
      <w:r w:rsidRPr="00335FD4">
        <w:rPr>
          <w:rFonts w:ascii="Book Antiqua" w:eastAsia="Times New Roman" w:hAnsi="Book Antiqua"/>
          <w:color w:val="000000" w:themeColor="text1"/>
        </w:rPr>
        <w:t xml:space="preserve"> in the manner by which people consume goods and services. </w:t>
      </w:r>
      <w:r w:rsidR="00187E16" w:rsidRPr="00335FD4">
        <w:rPr>
          <w:rFonts w:ascii="Book Antiqua" w:eastAsia="Times New Roman" w:hAnsi="Book Antiqua"/>
          <w:color w:val="000000" w:themeColor="text1"/>
        </w:rPr>
        <w:t xml:space="preserve">This altered </w:t>
      </w:r>
      <w:r w:rsidR="00CD48B6" w:rsidRPr="00335FD4">
        <w:rPr>
          <w:rFonts w:ascii="Book Antiqua" w:eastAsia="Times New Roman" w:hAnsi="Book Antiqua"/>
          <w:color w:val="000000" w:themeColor="text1"/>
        </w:rPr>
        <w:t xml:space="preserve">commercial </w:t>
      </w:r>
      <w:r w:rsidRPr="00335FD4">
        <w:rPr>
          <w:rFonts w:ascii="Book Antiqua" w:eastAsia="Times New Roman" w:hAnsi="Book Antiqua"/>
          <w:color w:val="000000" w:themeColor="text1"/>
        </w:rPr>
        <w:t xml:space="preserve">landscape has ushered in </w:t>
      </w:r>
      <w:r w:rsidR="00187E16" w:rsidRPr="00335FD4">
        <w:rPr>
          <w:rFonts w:ascii="Book Antiqua" w:eastAsia="Times New Roman" w:hAnsi="Book Antiqua"/>
          <w:color w:val="000000" w:themeColor="text1"/>
        </w:rPr>
        <w:t xml:space="preserve">a new model of trade referred to interchangeably as </w:t>
      </w:r>
      <w:r w:rsidRPr="00335FD4">
        <w:rPr>
          <w:rFonts w:ascii="Book Antiqua" w:eastAsia="Times New Roman" w:hAnsi="Book Antiqua"/>
          <w:color w:val="000000" w:themeColor="text1"/>
        </w:rPr>
        <w:t xml:space="preserve">the ‘sharing economy’, </w:t>
      </w:r>
      <w:r w:rsidR="00187E16" w:rsidRPr="00335FD4">
        <w:rPr>
          <w:rFonts w:ascii="Book Antiqua" w:eastAsia="Times New Roman" w:hAnsi="Book Antiqua"/>
          <w:color w:val="000000" w:themeColor="text1"/>
        </w:rPr>
        <w:t>the ‘collaborative economy’ or the ‘peer-to-peer economy’.</w:t>
      </w:r>
      <w:r w:rsidR="0077577C" w:rsidRPr="00335FD4">
        <w:rPr>
          <w:rStyle w:val="FootnoteReference"/>
          <w:rFonts w:ascii="Book Antiqua" w:eastAsia="Times New Roman" w:hAnsi="Book Antiqua"/>
          <w:color w:val="000000" w:themeColor="text1"/>
        </w:rPr>
        <w:footnoteReference w:id="2"/>
      </w:r>
      <w:r w:rsidR="00187E16" w:rsidRPr="00335FD4">
        <w:rPr>
          <w:rFonts w:ascii="Book Antiqua" w:eastAsia="Times New Roman" w:hAnsi="Book Antiqua"/>
          <w:color w:val="000000" w:themeColor="text1"/>
        </w:rPr>
        <w:t xml:space="preserve"> </w:t>
      </w:r>
      <w:r w:rsidR="0077577C" w:rsidRPr="00335FD4">
        <w:rPr>
          <w:rFonts w:ascii="Book Antiqua" w:eastAsia="Times New Roman" w:hAnsi="Book Antiqua"/>
          <w:color w:val="000000" w:themeColor="text1"/>
        </w:rPr>
        <w:t xml:space="preserve">This model has been described as applying to any marketplace which brings together distributed networks of individuals to share or exchange otherwise </w:t>
      </w:r>
      <w:r w:rsidR="00CD48B6" w:rsidRPr="00335FD4">
        <w:rPr>
          <w:rFonts w:ascii="Book Antiqua" w:eastAsia="Times New Roman" w:hAnsi="Book Antiqua"/>
          <w:color w:val="000000" w:themeColor="text1"/>
        </w:rPr>
        <w:t>underutilised</w:t>
      </w:r>
      <w:r w:rsidR="0077577C" w:rsidRPr="00335FD4">
        <w:rPr>
          <w:rFonts w:ascii="Book Antiqua" w:eastAsia="Times New Roman" w:hAnsi="Book Antiqua"/>
          <w:color w:val="000000" w:themeColor="text1"/>
        </w:rPr>
        <w:t xml:space="preserve"> assets; encompassing all manner of goods or services shared or exchanged for monetary </w:t>
      </w:r>
      <w:r w:rsidR="00187E1F" w:rsidRPr="00335FD4">
        <w:rPr>
          <w:rFonts w:ascii="Book Antiqua" w:eastAsia="Times New Roman" w:hAnsi="Book Antiqua"/>
          <w:color w:val="000000" w:themeColor="text1"/>
        </w:rPr>
        <w:t>or</w:t>
      </w:r>
      <w:r w:rsidR="0077577C" w:rsidRPr="00335FD4">
        <w:rPr>
          <w:rFonts w:ascii="Book Antiqua" w:eastAsia="Times New Roman" w:hAnsi="Book Antiqua"/>
          <w:color w:val="000000" w:themeColor="text1"/>
        </w:rPr>
        <w:t xml:space="preserve"> nonmonetary benefit.</w:t>
      </w:r>
      <w:r w:rsidR="0077577C" w:rsidRPr="00335FD4">
        <w:rPr>
          <w:rStyle w:val="FootnoteReference"/>
          <w:rFonts w:ascii="Book Antiqua" w:eastAsia="Times New Roman" w:hAnsi="Book Antiqua"/>
          <w:color w:val="000000" w:themeColor="text1"/>
        </w:rPr>
        <w:footnoteReference w:id="3"/>
      </w:r>
      <w:r w:rsidR="0077577C" w:rsidRPr="00335FD4">
        <w:rPr>
          <w:rFonts w:ascii="Book Antiqua" w:eastAsia="Times New Roman" w:hAnsi="Book Antiqua"/>
          <w:color w:val="000000" w:themeColor="text1"/>
        </w:rPr>
        <w:t xml:space="preserve"> </w:t>
      </w:r>
      <w:r w:rsidRPr="00335FD4">
        <w:rPr>
          <w:rFonts w:ascii="Book Antiqua" w:eastAsia="Times New Roman" w:hAnsi="Book Antiqua"/>
          <w:color w:val="000000" w:themeColor="text1"/>
        </w:rPr>
        <w:t>Along with the rise of Uber in the transport industry, the sharing economy has also expanded into the rental market, enabling home owners or renters to offer homes or spare rooms for a short period of time</w:t>
      </w:r>
      <w:r w:rsidR="004A6F29" w:rsidRPr="00335FD4">
        <w:rPr>
          <w:rFonts w:ascii="Book Antiqua" w:eastAsia="Times New Roman" w:hAnsi="Book Antiqua"/>
          <w:color w:val="000000" w:themeColor="text1"/>
        </w:rPr>
        <w:t xml:space="preserve"> through services such as Airbnb and Stayz</w:t>
      </w:r>
      <w:r w:rsidRPr="00335FD4">
        <w:rPr>
          <w:rFonts w:ascii="Book Antiqua" w:eastAsia="Times New Roman" w:hAnsi="Book Antiqua"/>
          <w:color w:val="000000" w:themeColor="text1"/>
        </w:rPr>
        <w:t>. According to a report from Deloitte Access Economics, commissioned by the NSW State Government, the sharing economy in NSW was worth around $504 million in 2015, with more than 50% of consumers using a digitally enabled shared product or service including accommodation, transport, education, employment and finance.</w:t>
      </w:r>
      <w:r w:rsidR="0077577C" w:rsidRPr="00335FD4">
        <w:rPr>
          <w:rStyle w:val="FootnoteReference"/>
          <w:rFonts w:ascii="Book Antiqua" w:eastAsia="Times New Roman" w:hAnsi="Book Antiqua"/>
          <w:color w:val="000000" w:themeColor="text1"/>
        </w:rPr>
        <w:footnoteReference w:id="4"/>
      </w:r>
      <w:r w:rsidR="0077577C" w:rsidRPr="00335FD4">
        <w:rPr>
          <w:rFonts w:ascii="Book Antiqua" w:eastAsia="Times New Roman" w:hAnsi="Book Antiqua"/>
          <w:b/>
          <w:color w:val="000000" w:themeColor="text1"/>
        </w:rPr>
        <w:t xml:space="preserve"> </w:t>
      </w:r>
      <w:r w:rsidRPr="00335FD4">
        <w:rPr>
          <w:rFonts w:ascii="Book Antiqua" w:eastAsia="Times New Roman" w:hAnsi="Book Antiqua"/>
          <w:color w:val="000000" w:themeColor="text1"/>
        </w:rPr>
        <w:t xml:space="preserve">At face value, the notion of </w:t>
      </w:r>
      <w:r w:rsidR="004A6F29" w:rsidRPr="00335FD4">
        <w:rPr>
          <w:rFonts w:ascii="Book Antiqua" w:eastAsia="Times New Roman" w:hAnsi="Book Antiqua"/>
          <w:color w:val="000000" w:themeColor="text1"/>
        </w:rPr>
        <w:t>an</w:t>
      </w:r>
      <w:r w:rsidRPr="00335FD4">
        <w:rPr>
          <w:rFonts w:ascii="Book Antiqua" w:eastAsia="Times New Roman" w:hAnsi="Book Antiqua"/>
          <w:color w:val="000000" w:themeColor="text1"/>
        </w:rPr>
        <w:t xml:space="preserve"> otherwise empty property being offered for use during a period of absence by the owner or tenant would seem a smart and cost-effective use of resources. However, issues </w:t>
      </w:r>
      <w:r w:rsidR="004A6F29" w:rsidRPr="00335FD4">
        <w:rPr>
          <w:rFonts w:ascii="Book Antiqua" w:eastAsia="Times New Roman" w:hAnsi="Book Antiqua"/>
          <w:color w:val="000000" w:themeColor="text1"/>
        </w:rPr>
        <w:t xml:space="preserve">can (and do) </w:t>
      </w:r>
      <w:r w:rsidRPr="00335FD4">
        <w:rPr>
          <w:rFonts w:ascii="Book Antiqua" w:eastAsia="Times New Roman" w:hAnsi="Book Antiqua"/>
          <w:color w:val="000000" w:themeColor="text1"/>
        </w:rPr>
        <w:t xml:space="preserve">arise when short-term letting becomes the norm, turning residential properties into commercial enterprises </w:t>
      </w:r>
      <w:r w:rsidR="004A6F29" w:rsidRPr="00335FD4">
        <w:rPr>
          <w:rFonts w:ascii="Book Antiqua" w:eastAsia="Times New Roman" w:hAnsi="Book Antiqua"/>
          <w:color w:val="000000" w:themeColor="text1"/>
        </w:rPr>
        <w:t>or</w:t>
      </w:r>
      <w:r w:rsidRPr="00335FD4">
        <w:rPr>
          <w:rFonts w:ascii="Book Antiqua" w:eastAsia="Times New Roman" w:hAnsi="Book Antiqua"/>
          <w:color w:val="000000" w:themeColor="text1"/>
        </w:rPr>
        <w:t xml:space="preserve"> </w:t>
      </w:r>
      <w:r w:rsidR="00EC62B4" w:rsidRPr="00335FD4">
        <w:rPr>
          <w:rFonts w:ascii="Book Antiqua" w:eastAsia="Times New Roman" w:hAnsi="Book Antiqua"/>
          <w:color w:val="000000" w:themeColor="text1"/>
        </w:rPr>
        <w:t>permanent tourist accommodation</w:t>
      </w:r>
      <w:r w:rsidRPr="00335FD4">
        <w:rPr>
          <w:rFonts w:ascii="Book Antiqua" w:eastAsia="Times New Roman" w:hAnsi="Book Antiqua"/>
          <w:color w:val="000000" w:themeColor="text1"/>
        </w:rPr>
        <w:t xml:space="preserve"> in violation of planning laws. Short-term letting can also cause problems </w:t>
      </w:r>
      <w:r w:rsidR="004A6F29" w:rsidRPr="00335FD4">
        <w:rPr>
          <w:rFonts w:ascii="Book Antiqua" w:eastAsia="Times New Roman" w:hAnsi="Book Antiqua"/>
          <w:color w:val="000000" w:themeColor="text1"/>
        </w:rPr>
        <w:t>for</w:t>
      </w:r>
      <w:r w:rsidRPr="00335FD4">
        <w:rPr>
          <w:rFonts w:ascii="Book Antiqua" w:eastAsia="Times New Roman" w:hAnsi="Book Antiqua"/>
          <w:color w:val="000000" w:themeColor="text1"/>
        </w:rPr>
        <w:t xml:space="preserve"> </w:t>
      </w:r>
      <w:r w:rsidR="004A6F29" w:rsidRPr="00335FD4">
        <w:rPr>
          <w:rFonts w:ascii="Book Antiqua" w:eastAsia="Times New Roman" w:hAnsi="Book Antiqua"/>
          <w:color w:val="000000" w:themeColor="text1"/>
        </w:rPr>
        <w:t>the owners of rental properties</w:t>
      </w:r>
      <w:r w:rsidRPr="00335FD4">
        <w:rPr>
          <w:rFonts w:ascii="Book Antiqua" w:eastAsia="Times New Roman" w:hAnsi="Book Antiqua"/>
          <w:color w:val="000000" w:themeColor="text1"/>
        </w:rPr>
        <w:t xml:space="preserve">, </w:t>
      </w:r>
      <w:r w:rsidR="004A6F29" w:rsidRPr="00335FD4">
        <w:rPr>
          <w:rFonts w:ascii="Book Antiqua" w:eastAsia="Times New Roman" w:hAnsi="Book Antiqua"/>
          <w:color w:val="000000" w:themeColor="text1"/>
        </w:rPr>
        <w:t>when their</w:t>
      </w:r>
      <w:r w:rsidRPr="00335FD4">
        <w:rPr>
          <w:rFonts w:ascii="Book Antiqua" w:eastAsia="Times New Roman" w:hAnsi="Book Antiqua"/>
          <w:color w:val="000000" w:themeColor="text1"/>
        </w:rPr>
        <w:t xml:space="preserve"> tenants rent out rooms or entire apartments without the</w:t>
      </w:r>
      <w:r w:rsidR="004A6F29" w:rsidRPr="00335FD4">
        <w:rPr>
          <w:rFonts w:ascii="Book Antiqua" w:eastAsia="Times New Roman" w:hAnsi="Book Antiqua"/>
          <w:color w:val="000000" w:themeColor="text1"/>
        </w:rPr>
        <w:t>ir</w:t>
      </w:r>
      <w:r w:rsidRPr="00335FD4">
        <w:rPr>
          <w:rFonts w:ascii="Book Antiqua" w:eastAsia="Times New Roman" w:hAnsi="Book Antiqua"/>
          <w:color w:val="000000" w:themeColor="text1"/>
        </w:rPr>
        <w:t xml:space="preserve"> knowledge or approval. </w:t>
      </w:r>
    </w:p>
    <w:p w14:paraId="6CF8BCB9" w14:textId="77777777" w:rsidR="003F76F4" w:rsidRPr="00335FD4" w:rsidRDefault="003F76F4" w:rsidP="003F76F4">
      <w:pPr>
        <w:jc w:val="both"/>
        <w:rPr>
          <w:rFonts w:ascii="Book Antiqua" w:eastAsia="Times New Roman" w:hAnsi="Book Antiqua"/>
          <w:color w:val="000000" w:themeColor="text1"/>
        </w:rPr>
      </w:pPr>
    </w:p>
    <w:p w14:paraId="1D6CF826" w14:textId="77777777" w:rsidR="009345C4" w:rsidRPr="00335FD4" w:rsidRDefault="0025628D" w:rsidP="00DE65B8">
      <w:pPr>
        <w:jc w:val="both"/>
        <w:rPr>
          <w:rFonts w:ascii="Book Antiqua" w:eastAsia="Times New Roman" w:hAnsi="Book Antiqua"/>
          <w:color w:val="000000" w:themeColor="text1"/>
        </w:rPr>
      </w:pPr>
      <w:r w:rsidRPr="00335FD4">
        <w:rPr>
          <w:rFonts w:ascii="Book Antiqua" w:eastAsia="Times New Roman" w:hAnsi="Book Antiqua"/>
          <w:color w:val="000000" w:themeColor="text1"/>
        </w:rPr>
        <w:t xml:space="preserve">Yet, far from a passing fad, it would appear the sharing economy and short-term rentals by extension are here to stay. </w:t>
      </w:r>
      <w:r w:rsidR="003F76F4" w:rsidRPr="00335FD4">
        <w:rPr>
          <w:rFonts w:ascii="Book Antiqua" w:eastAsia="Times New Roman" w:hAnsi="Book Antiqua"/>
          <w:color w:val="000000" w:themeColor="text1"/>
        </w:rPr>
        <w:t xml:space="preserve">News outlets such as the </w:t>
      </w:r>
      <w:r w:rsidR="003F76F4" w:rsidRPr="00335FD4">
        <w:rPr>
          <w:rFonts w:ascii="Book Antiqua" w:eastAsia="Times New Roman" w:hAnsi="Book Antiqua"/>
          <w:i/>
          <w:color w:val="000000" w:themeColor="text1"/>
        </w:rPr>
        <w:t>Australian Financial Review</w:t>
      </w:r>
      <w:r w:rsidR="003F76F4" w:rsidRPr="00335FD4">
        <w:rPr>
          <w:rFonts w:ascii="Book Antiqua" w:eastAsia="Times New Roman" w:hAnsi="Book Antiqua"/>
          <w:color w:val="000000" w:themeColor="text1"/>
        </w:rPr>
        <w:t xml:space="preserve"> have noted the soaring popularity of the service, with over 40,000 listings on Airbnb in Australia in May 2015 - a 100% increase over the previous 12-month period.</w:t>
      </w:r>
      <w:r w:rsidR="003F76F4" w:rsidRPr="00335FD4">
        <w:rPr>
          <w:rStyle w:val="FootnoteReference"/>
          <w:rFonts w:ascii="Book Antiqua" w:eastAsia="Times New Roman" w:hAnsi="Book Antiqua"/>
          <w:color w:val="000000" w:themeColor="text1"/>
        </w:rPr>
        <w:footnoteReference w:id="5"/>
      </w:r>
      <w:r w:rsidR="003F76F4" w:rsidRPr="00335FD4">
        <w:rPr>
          <w:rFonts w:ascii="Book Antiqua" w:eastAsia="Times New Roman" w:hAnsi="Book Antiqua"/>
          <w:color w:val="000000" w:themeColor="text1"/>
        </w:rPr>
        <w:t xml:space="preserve"> Given </w:t>
      </w:r>
      <w:r w:rsidR="001004E4" w:rsidRPr="00335FD4">
        <w:rPr>
          <w:rFonts w:ascii="Book Antiqua" w:eastAsia="Times New Roman" w:hAnsi="Book Antiqua"/>
          <w:color w:val="000000" w:themeColor="text1"/>
        </w:rPr>
        <w:t>the</w:t>
      </w:r>
      <w:r w:rsidR="003F76F4" w:rsidRPr="00335FD4">
        <w:rPr>
          <w:rFonts w:ascii="Book Antiqua" w:eastAsia="Times New Roman" w:hAnsi="Book Antiqua"/>
          <w:color w:val="000000" w:themeColor="text1"/>
        </w:rPr>
        <w:t xml:space="preserve"> rapid rise in popularity</w:t>
      </w:r>
      <w:r w:rsidR="001004E4" w:rsidRPr="00335FD4">
        <w:rPr>
          <w:rFonts w:ascii="Book Antiqua" w:eastAsia="Times New Roman" w:hAnsi="Book Antiqua"/>
          <w:color w:val="000000" w:themeColor="text1"/>
        </w:rPr>
        <w:t xml:space="preserve"> of these companies</w:t>
      </w:r>
      <w:r w:rsidR="003F76F4" w:rsidRPr="00335FD4">
        <w:rPr>
          <w:rFonts w:ascii="Book Antiqua" w:eastAsia="Times New Roman" w:hAnsi="Book Antiqua"/>
          <w:color w:val="000000" w:themeColor="text1"/>
        </w:rPr>
        <w:t xml:space="preserve">, </w:t>
      </w:r>
      <w:r w:rsidR="00DE65B8" w:rsidRPr="00335FD4">
        <w:rPr>
          <w:rFonts w:ascii="Book Antiqua" w:eastAsia="Times New Roman" w:hAnsi="Book Antiqua"/>
          <w:color w:val="000000" w:themeColor="text1"/>
        </w:rPr>
        <w:t>some</w:t>
      </w:r>
      <w:r w:rsidR="003F76F4" w:rsidRPr="00335FD4">
        <w:rPr>
          <w:rFonts w:ascii="Book Antiqua" w:eastAsia="Times New Roman" w:hAnsi="Book Antiqua"/>
          <w:color w:val="000000" w:themeColor="text1"/>
        </w:rPr>
        <w:t xml:space="preserve"> Australian State</w:t>
      </w:r>
      <w:r w:rsidR="00DE65B8" w:rsidRPr="00335FD4">
        <w:rPr>
          <w:rFonts w:ascii="Book Antiqua" w:eastAsia="Times New Roman" w:hAnsi="Book Antiqua"/>
          <w:color w:val="000000" w:themeColor="text1"/>
        </w:rPr>
        <w:t>s</w:t>
      </w:r>
      <w:r w:rsidR="003F76F4" w:rsidRPr="00335FD4">
        <w:rPr>
          <w:rFonts w:ascii="Book Antiqua" w:eastAsia="Times New Roman" w:hAnsi="Book Antiqua"/>
          <w:color w:val="000000" w:themeColor="text1"/>
        </w:rPr>
        <w:t xml:space="preserve"> legislatures </w:t>
      </w:r>
      <w:r w:rsidR="00DE65B8" w:rsidRPr="00335FD4">
        <w:rPr>
          <w:rFonts w:ascii="Book Antiqua" w:eastAsia="Times New Roman" w:hAnsi="Book Antiqua"/>
          <w:color w:val="000000" w:themeColor="text1"/>
        </w:rPr>
        <w:t>are</w:t>
      </w:r>
      <w:r w:rsidR="003F76F4" w:rsidRPr="00335FD4">
        <w:rPr>
          <w:rFonts w:ascii="Book Antiqua" w:eastAsia="Times New Roman" w:hAnsi="Book Antiqua"/>
          <w:color w:val="000000" w:themeColor="text1"/>
        </w:rPr>
        <w:t xml:space="preserve"> yet to provide a</w:t>
      </w:r>
      <w:r w:rsidR="00364B46" w:rsidRPr="00335FD4">
        <w:rPr>
          <w:rFonts w:ascii="Book Antiqua" w:eastAsia="Times New Roman" w:hAnsi="Book Antiqua"/>
          <w:color w:val="000000" w:themeColor="text1"/>
        </w:rPr>
        <w:t>n</w:t>
      </w:r>
      <w:r w:rsidR="003F76F4" w:rsidRPr="00335FD4">
        <w:rPr>
          <w:rFonts w:ascii="Book Antiqua" w:eastAsia="Times New Roman" w:hAnsi="Book Antiqua"/>
          <w:color w:val="000000" w:themeColor="text1"/>
        </w:rPr>
        <w:t xml:space="preserve"> answer on how best to regulate </w:t>
      </w:r>
      <w:r w:rsidR="001004E4" w:rsidRPr="00335FD4">
        <w:rPr>
          <w:rFonts w:ascii="Book Antiqua" w:eastAsia="Times New Roman" w:hAnsi="Book Antiqua"/>
          <w:color w:val="000000" w:themeColor="text1"/>
        </w:rPr>
        <w:t>the</w:t>
      </w:r>
      <w:r w:rsidR="00DE65B8" w:rsidRPr="00335FD4">
        <w:rPr>
          <w:rFonts w:ascii="Book Antiqua" w:eastAsia="Times New Roman" w:hAnsi="Book Antiqua"/>
          <w:color w:val="000000" w:themeColor="text1"/>
        </w:rPr>
        <w:t xml:space="preserve"> issue. </w:t>
      </w:r>
      <w:r w:rsidR="00125461" w:rsidRPr="00335FD4">
        <w:rPr>
          <w:rFonts w:ascii="Book Antiqua" w:eastAsia="Times New Roman" w:hAnsi="Book Antiqua"/>
          <w:color w:val="000000" w:themeColor="text1"/>
        </w:rPr>
        <w:t xml:space="preserve">At present, there is a complex and confusing web of planning laws across NSW, with each Council given the ability to amend its own Local Environmental Plan. </w:t>
      </w:r>
      <w:r w:rsidR="00DE65B8" w:rsidRPr="00335FD4">
        <w:rPr>
          <w:rFonts w:ascii="Book Antiqua" w:eastAsia="Times New Roman" w:hAnsi="Book Antiqua"/>
          <w:color w:val="000000" w:themeColor="text1"/>
        </w:rPr>
        <w:t xml:space="preserve">In response to the need for a unified approach to the issue, the NSW Government launched its own “Inquiry into the Adequacy of the Regulation of short-term </w:t>
      </w:r>
      <w:r w:rsidR="00DE65B8" w:rsidRPr="00335FD4">
        <w:rPr>
          <w:rFonts w:ascii="Book Antiqua" w:eastAsia="Times New Roman" w:hAnsi="Book Antiqua"/>
          <w:color w:val="000000" w:themeColor="text1"/>
        </w:rPr>
        <w:lastRenderedPageBreak/>
        <w:t>holiday letting in NSW”.</w:t>
      </w:r>
      <w:r w:rsidR="00DE65B8" w:rsidRPr="00335FD4">
        <w:rPr>
          <w:rStyle w:val="FootnoteReference"/>
          <w:rFonts w:ascii="Book Antiqua" w:eastAsia="Times New Roman" w:hAnsi="Book Antiqua"/>
          <w:color w:val="000000" w:themeColor="text1"/>
        </w:rPr>
        <w:footnoteReference w:id="6"/>
      </w:r>
      <w:r w:rsidR="00DE65B8" w:rsidRPr="00335FD4">
        <w:rPr>
          <w:rFonts w:ascii="Book Antiqua" w:eastAsia="Times New Roman" w:hAnsi="Book Antiqua"/>
          <w:color w:val="000000" w:themeColor="text1"/>
        </w:rPr>
        <w:t xml:space="preserve"> The Terms of Reference for the Inquiry are focused upon the current situation in NSW compared to other jurisdictions, the economic impact of the practice and its effects upon the market. The Inquiry is also concerned with the regulatory issues posed by short-term rentals, particularly with respect to land use planning, neighbourhood amenity, licensing and taxation.</w:t>
      </w:r>
      <w:r w:rsidR="00DE65B8" w:rsidRPr="00335FD4">
        <w:rPr>
          <w:rStyle w:val="FootnoteReference"/>
          <w:rFonts w:ascii="Book Antiqua" w:eastAsia="Times New Roman" w:hAnsi="Book Antiqua"/>
          <w:color w:val="000000" w:themeColor="text1"/>
        </w:rPr>
        <w:footnoteReference w:id="7"/>
      </w:r>
      <w:r w:rsidR="00DE65B8" w:rsidRPr="00335FD4">
        <w:rPr>
          <w:rFonts w:ascii="Book Antiqua" w:eastAsia="Times New Roman" w:hAnsi="Book Antiqua"/>
          <w:color w:val="000000" w:themeColor="text1"/>
        </w:rPr>
        <w:t xml:space="preserve"> As the final report of the Inquiry is still in the drafting stages, it remains to be seen which regulatory approach is ultimately favoured by the NSW Government. </w:t>
      </w:r>
      <w:r w:rsidR="009345C4" w:rsidRPr="00335FD4">
        <w:rPr>
          <w:rFonts w:ascii="Book Antiqua" w:eastAsia="Times New Roman" w:hAnsi="Book Antiqua"/>
          <w:color w:val="000000" w:themeColor="text1"/>
        </w:rPr>
        <w:t xml:space="preserve">As this paper will now turn to examine, there are numerous issues raised by short-term rentals that must be taken into consideration before any effective regulation can be passed. </w:t>
      </w:r>
    </w:p>
    <w:p w14:paraId="787895DB" w14:textId="77777777" w:rsidR="001004E4" w:rsidRPr="00335FD4" w:rsidRDefault="001004E4" w:rsidP="003F76F4">
      <w:pPr>
        <w:rPr>
          <w:rFonts w:ascii="Book Antiqua" w:hAnsi="Book Antiqua"/>
          <w:b/>
          <w:smallCaps/>
          <w:color w:val="000000" w:themeColor="text1"/>
          <w:lang w:val="en-AU"/>
        </w:rPr>
      </w:pPr>
    </w:p>
    <w:p w14:paraId="4519DA69" w14:textId="77777777" w:rsidR="003F76F4" w:rsidRPr="00335FD4" w:rsidRDefault="009C5712" w:rsidP="008E13FE">
      <w:pPr>
        <w:jc w:val="center"/>
        <w:rPr>
          <w:rFonts w:ascii="Book Antiqua" w:hAnsi="Book Antiqua"/>
          <w:b/>
          <w:smallCaps/>
          <w:color w:val="000000" w:themeColor="text1"/>
          <w:lang w:val="en-AU"/>
        </w:rPr>
      </w:pPr>
      <w:r w:rsidRPr="00335FD4">
        <w:rPr>
          <w:rFonts w:ascii="Book Antiqua" w:hAnsi="Book Antiqua"/>
          <w:b/>
          <w:smallCaps/>
          <w:color w:val="000000" w:themeColor="text1"/>
          <w:lang w:val="en-AU"/>
        </w:rPr>
        <w:t>II The Regulatory Issues of Short-Term Letting</w:t>
      </w:r>
    </w:p>
    <w:p w14:paraId="0BDCBEB2" w14:textId="77777777" w:rsidR="003F76F4" w:rsidRPr="00335FD4" w:rsidRDefault="003F76F4" w:rsidP="003F76F4">
      <w:pPr>
        <w:rPr>
          <w:rFonts w:ascii="Book Antiqua" w:hAnsi="Book Antiqua"/>
          <w:b/>
          <w:smallCaps/>
          <w:color w:val="000000" w:themeColor="text1"/>
          <w:lang w:val="en-AU"/>
        </w:rPr>
      </w:pPr>
    </w:p>
    <w:p w14:paraId="2E8C7042" w14:textId="77777777" w:rsidR="009C5712" w:rsidRPr="00335FD4" w:rsidRDefault="00AD0BAD" w:rsidP="009C5712">
      <w:pPr>
        <w:jc w:val="both"/>
        <w:rPr>
          <w:rFonts w:ascii="Book Antiqua" w:hAnsi="Book Antiqua"/>
          <w:color w:val="000000" w:themeColor="text1"/>
        </w:rPr>
      </w:pPr>
      <w:r w:rsidRPr="00335FD4">
        <w:rPr>
          <w:rFonts w:ascii="Book Antiqua" w:hAnsi="Book Antiqua"/>
          <w:color w:val="000000" w:themeColor="text1"/>
        </w:rPr>
        <w:t>The next portion of this paper will consider some of the primary problems raised by short-term rentals</w:t>
      </w:r>
      <w:r w:rsidR="003879B4" w:rsidRPr="00335FD4">
        <w:rPr>
          <w:rFonts w:ascii="Book Antiqua" w:hAnsi="Book Antiqua"/>
          <w:color w:val="000000" w:themeColor="text1"/>
        </w:rPr>
        <w:t xml:space="preserve"> that must be taken into consideration by regulatory bodies</w:t>
      </w:r>
      <w:r w:rsidR="009C5712" w:rsidRPr="00335FD4">
        <w:rPr>
          <w:rFonts w:ascii="Book Antiqua" w:hAnsi="Book Antiqua"/>
          <w:color w:val="000000" w:themeColor="text1"/>
        </w:rPr>
        <w:t xml:space="preserve">. In particular, this paper will consider </w:t>
      </w:r>
      <w:r w:rsidR="003879B4" w:rsidRPr="00335FD4">
        <w:rPr>
          <w:rFonts w:ascii="Book Antiqua" w:hAnsi="Book Antiqua"/>
          <w:color w:val="000000" w:themeColor="text1"/>
        </w:rPr>
        <w:t xml:space="preserve">the question of whether planning instruments require a new definition to accommodate ‘short-term rentals’, and, in turn, whether such practices should be considered to amount to a change in a property’s use that would require the approval of a planning authority. </w:t>
      </w:r>
      <w:r w:rsidR="009C5712" w:rsidRPr="00335FD4">
        <w:rPr>
          <w:rFonts w:ascii="Book Antiqua" w:hAnsi="Book Antiqua"/>
          <w:color w:val="000000" w:themeColor="text1"/>
        </w:rPr>
        <w:t xml:space="preserve">In addition, it will be questioned whether measures need to be imposed to protect against unwanted damage to property or the </w:t>
      </w:r>
      <w:r w:rsidR="00AC7375" w:rsidRPr="00335FD4">
        <w:rPr>
          <w:rFonts w:ascii="Book Antiqua" w:hAnsi="Book Antiqua"/>
          <w:color w:val="000000" w:themeColor="text1"/>
        </w:rPr>
        <w:t>amenity of neighbourhoods</w:t>
      </w:r>
      <w:r w:rsidR="009C5712" w:rsidRPr="00335FD4">
        <w:rPr>
          <w:rFonts w:ascii="Book Antiqua" w:hAnsi="Book Antiqua"/>
          <w:color w:val="000000" w:themeColor="text1"/>
        </w:rPr>
        <w:t xml:space="preserve"> where short-term </w:t>
      </w:r>
      <w:r w:rsidR="00AC7375" w:rsidRPr="00335FD4">
        <w:rPr>
          <w:rFonts w:ascii="Book Antiqua" w:hAnsi="Book Antiqua"/>
          <w:color w:val="000000" w:themeColor="text1"/>
        </w:rPr>
        <w:t>renting is occurring</w:t>
      </w:r>
      <w:r w:rsidR="009C5712" w:rsidRPr="00335FD4">
        <w:rPr>
          <w:rFonts w:ascii="Book Antiqua" w:hAnsi="Book Antiqua"/>
          <w:color w:val="000000" w:themeColor="text1"/>
        </w:rPr>
        <w:t xml:space="preserve">, </w:t>
      </w:r>
      <w:r w:rsidR="00AC7375" w:rsidRPr="00335FD4">
        <w:rPr>
          <w:rFonts w:ascii="Book Antiqua" w:hAnsi="Book Antiqua"/>
          <w:color w:val="000000" w:themeColor="text1"/>
        </w:rPr>
        <w:t>and whether the users of sharing platforms such as Airbnb are adequately protected from</w:t>
      </w:r>
      <w:r w:rsidR="009C5712" w:rsidRPr="00335FD4">
        <w:rPr>
          <w:rFonts w:ascii="Book Antiqua" w:hAnsi="Book Antiqua"/>
          <w:color w:val="000000" w:themeColor="text1"/>
        </w:rPr>
        <w:t xml:space="preserve"> liability </w:t>
      </w:r>
      <w:r w:rsidR="00AC7375" w:rsidRPr="00335FD4">
        <w:rPr>
          <w:rFonts w:ascii="Book Antiqua" w:hAnsi="Book Antiqua"/>
          <w:color w:val="000000" w:themeColor="text1"/>
        </w:rPr>
        <w:t>for such actions</w:t>
      </w:r>
      <w:r w:rsidR="009C5712" w:rsidRPr="00335FD4">
        <w:rPr>
          <w:rFonts w:ascii="Book Antiqua" w:hAnsi="Book Antiqua"/>
          <w:color w:val="000000" w:themeColor="text1"/>
        </w:rPr>
        <w:t xml:space="preserve">. Finally, this paper will examine the need to protect the interests of landlords whose properties are sublet without their knowledge, and what steps could be taken to </w:t>
      </w:r>
      <w:r w:rsidR="00AC7375" w:rsidRPr="00335FD4">
        <w:rPr>
          <w:rFonts w:ascii="Book Antiqua" w:hAnsi="Book Antiqua"/>
          <w:color w:val="000000" w:themeColor="text1"/>
        </w:rPr>
        <w:t>prohibit or manage</w:t>
      </w:r>
      <w:r w:rsidR="009C5712" w:rsidRPr="00335FD4">
        <w:rPr>
          <w:rFonts w:ascii="Book Antiqua" w:hAnsi="Book Antiqua"/>
          <w:color w:val="000000" w:themeColor="text1"/>
        </w:rPr>
        <w:t xml:space="preserve"> unauthorized subletting. </w:t>
      </w:r>
    </w:p>
    <w:p w14:paraId="5CBB534A" w14:textId="77777777" w:rsidR="00CE3A38" w:rsidRPr="00335FD4" w:rsidRDefault="00CE3A38" w:rsidP="0045129E">
      <w:pPr>
        <w:rPr>
          <w:rFonts w:ascii="Book Antiqua" w:hAnsi="Book Antiqua"/>
          <w:b/>
          <w:smallCaps/>
          <w:color w:val="000000" w:themeColor="text1"/>
          <w:lang w:val="en-AU"/>
        </w:rPr>
      </w:pPr>
    </w:p>
    <w:p w14:paraId="19772A62" w14:textId="77777777" w:rsidR="00F52420" w:rsidRPr="00335FD4" w:rsidRDefault="00F52420" w:rsidP="00F52420">
      <w:pPr>
        <w:jc w:val="center"/>
        <w:rPr>
          <w:rFonts w:ascii="Book Antiqua" w:hAnsi="Book Antiqua"/>
          <w:b/>
          <w:smallCaps/>
          <w:color w:val="000000" w:themeColor="text1"/>
          <w:lang w:val="en-AU"/>
        </w:rPr>
      </w:pPr>
      <w:r w:rsidRPr="00335FD4">
        <w:rPr>
          <w:rFonts w:ascii="Book Antiqua" w:hAnsi="Book Antiqua"/>
          <w:b/>
          <w:smallCaps/>
          <w:color w:val="000000" w:themeColor="text1"/>
          <w:lang w:val="en-AU"/>
        </w:rPr>
        <w:t xml:space="preserve">A </w:t>
      </w:r>
      <w:r w:rsidRPr="00335FD4">
        <w:rPr>
          <w:rFonts w:ascii="Book Antiqua" w:hAnsi="Book Antiqua"/>
          <w:b/>
          <w:i/>
          <w:color w:val="000000" w:themeColor="text1"/>
          <w:lang w:val="en-AU"/>
        </w:rPr>
        <w:t>A New category for ‘Short-term accommodation’?</w:t>
      </w:r>
    </w:p>
    <w:p w14:paraId="0BA1A5AE" w14:textId="77777777" w:rsidR="00F52420" w:rsidRPr="00335FD4" w:rsidRDefault="00F52420" w:rsidP="00F52420">
      <w:pPr>
        <w:rPr>
          <w:rFonts w:ascii="Book Antiqua" w:hAnsi="Book Antiqua"/>
          <w:b/>
          <w:smallCaps/>
          <w:color w:val="000000" w:themeColor="text1"/>
          <w:lang w:val="en-AU"/>
        </w:rPr>
      </w:pPr>
    </w:p>
    <w:p w14:paraId="535DC0E7" w14:textId="77777777" w:rsidR="00F52420" w:rsidRPr="00335FD4" w:rsidRDefault="00F52420" w:rsidP="00B15C94">
      <w:pPr>
        <w:jc w:val="both"/>
        <w:rPr>
          <w:rFonts w:ascii="Book Antiqua" w:hAnsi="Book Antiqua"/>
          <w:b/>
          <w:smallCaps/>
          <w:color w:val="000000" w:themeColor="text1"/>
          <w:lang w:val="en-AU"/>
        </w:rPr>
      </w:pPr>
      <w:r w:rsidRPr="00335FD4">
        <w:rPr>
          <w:rFonts w:ascii="Book Antiqua" w:hAnsi="Book Antiqua"/>
          <w:color w:val="000000" w:themeColor="text1"/>
        </w:rPr>
        <w:t xml:space="preserve">At present a number of Australian jurisdictions are without an apt category of use to appropriately classify short-term rentals. </w:t>
      </w:r>
      <w:r w:rsidR="00B15C94" w:rsidRPr="00335FD4">
        <w:rPr>
          <w:rFonts w:ascii="Book Antiqua" w:hAnsi="Book Antiqua"/>
          <w:color w:val="000000" w:themeColor="text1"/>
        </w:rPr>
        <w:t xml:space="preserve">This has proven problematic for both residents and courts, who must attempt </w:t>
      </w:r>
      <w:r w:rsidR="000E5B5C" w:rsidRPr="00335FD4">
        <w:rPr>
          <w:rFonts w:ascii="Book Antiqua" w:hAnsi="Book Antiqua"/>
          <w:color w:val="000000" w:themeColor="text1"/>
        </w:rPr>
        <w:t xml:space="preserve">either </w:t>
      </w:r>
      <w:r w:rsidR="00B15C94" w:rsidRPr="00335FD4">
        <w:rPr>
          <w:rFonts w:ascii="Book Antiqua" w:hAnsi="Book Antiqua"/>
          <w:color w:val="000000" w:themeColor="text1"/>
        </w:rPr>
        <w:t>to fit short-term letting into ill-fitting existing categories of use</w:t>
      </w:r>
      <w:r w:rsidR="000E5B5C" w:rsidRPr="00335FD4">
        <w:rPr>
          <w:rFonts w:ascii="Book Antiqua" w:hAnsi="Book Antiqua"/>
          <w:color w:val="000000" w:themeColor="text1"/>
        </w:rPr>
        <w:t xml:space="preserve">, or to instead treat the practice as being automatically precluded. </w:t>
      </w:r>
    </w:p>
    <w:p w14:paraId="4EBE3CB4" w14:textId="77777777" w:rsidR="00F52420" w:rsidRPr="00335FD4" w:rsidRDefault="00F52420" w:rsidP="00F52420">
      <w:pPr>
        <w:rPr>
          <w:rFonts w:ascii="Book Antiqua" w:hAnsi="Book Antiqua"/>
          <w:b/>
          <w:smallCaps/>
          <w:color w:val="000000" w:themeColor="text1"/>
          <w:lang w:val="en-AU"/>
        </w:rPr>
      </w:pPr>
    </w:p>
    <w:p w14:paraId="732B969C" w14:textId="77777777" w:rsidR="00F52420" w:rsidRPr="00335FD4" w:rsidRDefault="00F52420" w:rsidP="00F52420">
      <w:pPr>
        <w:rPr>
          <w:rFonts w:ascii="Book Antiqua" w:hAnsi="Book Antiqua"/>
          <w:b/>
          <w:i/>
          <w:color w:val="000000" w:themeColor="text1"/>
          <w:lang w:val="en-AU"/>
        </w:rPr>
      </w:pPr>
      <w:r w:rsidRPr="00335FD4">
        <w:rPr>
          <w:rFonts w:ascii="Book Antiqua" w:hAnsi="Book Antiqua"/>
          <w:b/>
          <w:smallCaps/>
          <w:color w:val="000000" w:themeColor="text1"/>
          <w:lang w:val="en-AU"/>
        </w:rPr>
        <w:t>1</w:t>
      </w:r>
      <w:r w:rsidRPr="00335FD4">
        <w:rPr>
          <w:rFonts w:ascii="Book Antiqua" w:hAnsi="Book Antiqua"/>
          <w:b/>
          <w:i/>
          <w:color w:val="000000" w:themeColor="text1"/>
          <w:lang w:val="en-AU"/>
        </w:rPr>
        <w:t xml:space="preserve"> No right fit</w:t>
      </w:r>
    </w:p>
    <w:p w14:paraId="6A3DDAFA" w14:textId="77777777" w:rsidR="00F52420" w:rsidRPr="00335FD4" w:rsidRDefault="00F52420" w:rsidP="00F52420">
      <w:pPr>
        <w:rPr>
          <w:rFonts w:ascii="Book Antiqua" w:hAnsi="Book Antiqua"/>
          <w:b/>
          <w:smallCaps/>
          <w:color w:val="000000" w:themeColor="text1"/>
          <w:lang w:val="en-AU"/>
        </w:rPr>
      </w:pPr>
    </w:p>
    <w:p w14:paraId="62068FD8" w14:textId="77777777" w:rsidR="00F52420" w:rsidRPr="00335FD4" w:rsidRDefault="008960ED" w:rsidP="008960ED">
      <w:pPr>
        <w:jc w:val="both"/>
        <w:rPr>
          <w:rFonts w:ascii="Book Antiqua" w:eastAsia="Times New Roman" w:hAnsi="Book Antiqua"/>
          <w:color w:val="000000" w:themeColor="text1"/>
        </w:rPr>
      </w:pPr>
      <w:r w:rsidRPr="00335FD4">
        <w:rPr>
          <w:rFonts w:ascii="Book Antiqua" w:eastAsia="Times New Roman" w:hAnsi="Book Antiqua"/>
          <w:color w:val="000000" w:themeColor="text1"/>
        </w:rPr>
        <w:t xml:space="preserve">One of the most problematic elements of the present regulatory system is the lack of an express definition for short-term rental arrangements. </w:t>
      </w:r>
      <w:r w:rsidR="00F52420" w:rsidRPr="00335FD4">
        <w:rPr>
          <w:rFonts w:ascii="Book Antiqua" w:eastAsia="Times New Roman" w:hAnsi="Book Antiqua"/>
          <w:color w:val="000000" w:themeColor="text1"/>
        </w:rPr>
        <w:t>The NSW Land and Environment Court</w:t>
      </w:r>
      <w:r w:rsidRPr="00335FD4">
        <w:rPr>
          <w:rFonts w:ascii="Book Antiqua" w:eastAsia="Times New Roman" w:hAnsi="Book Antiqua"/>
          <w:color w:val="000000" w:themeColor="text1"/>
        </w:rPr>
        <w:t xml:space="preserve"> was confronted with this issue in determining whether or not a home rented out as a holiday home fell within the definition of a ‘dwelling’ or was a different type of use requiring development approval. </w:t>
      </w:r>
      <w:r w:rsidR="00F52420" w:rsidRPr="00335FD4">
        <w:rPr>
          <w:rFonts w:ascii="Book Antiqua" w:eastAsia="Times New Roman" w:hAnsi="Book Antiqua"/>
          <w:color w:val="000000" w:themeColor="text1"/>
        </w:rPr>
        <w:t xml:space="preserve">In </w:t>
      </w:r>
      <w:r w:rsidR="00F52420" w:rsidRPr="00335FD4">
        <w:rPr>
          <w:rStyle w:val="Emphasis"/>
          <w:rFonts w:ascii="Book Antiqua" w:hAnsi="Book Antiqua"/>
          <w:color w:val="000000" w:themeColor="text1"/>
        </w:rPr>
        <w:t>Dobrohotoff v Bennic,</w:t>
      </w:r>
      <w:r w:rsidR="00F52420" w:rsidRPr="00335FD4">
        <w:rPr>
          <w:rStyle w:val="FootnoteReference"/>
          <w:rFonts w:ascii="Book Antiqua" w:hAnsi="Book Antiqua"/>
          <w:i/>
          <w:iCs/>
          <w:color w:val="000000" w:themeColor="text1"/>
        </w:rPr>
        <w:footnoteReference w:id="8"/>
      </w:r>
      <w:r w:rsidR="00F52420" w:rsidRPr="00335FD4">
        <w:rPr>
          <w:rStyle w:val="Emphasis"/>
          <w:rFonts w:ascii="Book Antiqua" w:hAnsi="Book Antiqua"/>
          <w:i w:val="0"/>
          <w:color w:val="000000" w:themeColor="text1"/>
        </w:rPr>
        <w:t xml:space="preserve"> a home owner in Terrigal raised a complaint in relation to disturbances caused as a result of their neighbouring property being rented out for short-term periods. The </w:t>
      </w:r>
      <w:r w:rsidR="00F52420" w:rsidRPr="00335FD4">
        <w:rPr>
          <w:rStyle w:val="Emphasis"/>
          <w:rFonts w:ascii="Book Antiqua" w:hAnsi="Book Antiqua"/>
          <w:i w:val="0"/>
          <w:color w:val="000000" w:themeColor="text1"/>
        </w:rPr>
        <w:lastRenderedPageBreak/>
        <w:t xml:space="preserve">property had been rented out on a number of occasions and used for parties and other events. The home owners argued that the use of the land as a short-term rental meant that it was not being used for its primary permitted purpose, namely, as a dwelling. The relevant </w:t>
      </w:r>
      <w:r w:rsidR="00F52420" w:rsidRPr="00335FD4">
        <w:rPr>
          <w:rStyle w:val="Emphasis"/>
          <w:rFonts w:ascii="Book Antiqua" w:hAnsi="Book Antiqua"/>
          <w:color w:val="000000" w:themeColor="text1"/>
        </w:rPr>
        <w:t xml:space="preserve">Gosford Planning Scheme Ordinance </w:t>
      </w:r>
      <w:r w:rsidR="00F52420" w:rsidRPr="00335FD4">
        <w:rPr>
          <w:rStyle w:val="Emphasis"/>
          <w:rFonts w:ascii="Book Antiqua" w:hAnsi="Book Antiqua"/>
          <w:i w:val="0"/>
          <w:color w:val="000000" w:themeColor="text1"/>
        </w:rPr>
        <w:t xml:space="preserve">classified the property as being in a 2(a) Residential Zone permitting it to be used as a ‘residential dwelling’, however the Ordinance made no reference to </w:t>
      </w:r>
      <w:r w:rsidR="00462E92" w:rsidRPr="00335FD4">
        <w:rPr>
          <w:rFonts w:ascii="Book Antiqua" w:hAnsi="Book Antiqua" w:cs="Arial"/>
          <w:color w:val="000000" w:themeColor="text1"/>
        </w:rPr>
        <w:t>‘</w:t>
      </w:r>
      <w:r w:rsidR="00F52420" w:rsidRPr="00335FD4">
        <w:rPr>
          <w:rFonts w:ascii="Book Antiqua" w:hAnsi="Book Antiqua" w:cs="Arial"/>
          <w:color w:val="000000" w:themeColor="text1"/>
        </w:rPr>
        <w:t>holiday letting’ or ‘</w:t>
      </w:r>
      <w:r w:rsidR="000227B7" w:rsidRPr="00335FD4">
        <w:rPr>
          <w:rFonts w:ascii="Book Antiqua" w:hAnsi="Book Antiqua" w:cs="Arial"/>
          <w:color w:val="000000" w:themeColor="text1"/>
        </w:rPr>
        <w:t>short-term</w:t>
      </w:r>
      <w:r w:rsidR="00F52420" w:rsidRPr="00335FD4">
        <w:rPr>
          <w:rFonts w:ascii="Book Antiqua" w:hAnsi="Book Antiqua" w:cs="Arial"/>
          <w:color w:val="000000" w:themeColor="text1"/>
        </w:rPr>
        <w:t xml:space="preserve"> accommodation’ as permissible land uses in the zone.</w:t>
      </w:r>
      <w:r w:rsidR="00F52420" w:rsidRPr="00335FD4">
        <w:rPr>
          <w:rStyle w:val="FootnoteReference"/>
          <w:rFonts w:ascii="Book Antiqua" w:hAnsi="Book Antiqua" w:cs="Arial"/>
          <w:color w:val="000000" w:themeColor="text1"/>
        </w:rPr>
        <w:footnoteReference w:id="9"/>
      </w:r>
      <w:r w:rsidR="00F52420" w:rsidRPr="00335FD4">
        <w:rPr>
          <w:rFonts w:ascii="Book Antiqua" w:hAnsi="Book Antiqua" w:cs="Arial"/>
          <w:color w:val="000000" w:themeColor="text1"/>
        </w:rPr>
        <w:t xml:space="preserve"> The landlord who had purchased the home as an investment property and rented it out contended that his actions were perfectly lawful, as the classification of the property as a ‘dwelling house’ carried no requirement that the property be inhabited by any particular set of individuals. </w:t>
      </w:r>
    </w:p>
    <w:p w14:paraId="30C9484E" w14:textId="77777777" w:rsidR="00F52420" w:rsidRPr="00335FD4" w:rsidRDefault="00F52420" w:rsidP="00F52420">
      <w:pPr>
        <w:jc w:val="both"/>
        <w:rPr>
          <w:rFonts w:ascii="Book Antiqua" w:hAnsi="Book Antiqua" w:cs="Arial"/>
          <w:color w:val="000000" w:themeColor="text1"/>
        </w:rPr>
      </w:pPr>
    </w:p>
    <w:p w14:paraId="34E7B553" w14:textId="77777777" w:rsidR="00F52420" w:rsidRPr="00335FD4" w:rsidRDefault="00F52420" w:rsidP="00F52420">
      <w:pPr>
        <w:pStyle w:val="NormalWeb"/>
        <w:shd w:val="clear" w:color="auto" w:fill="FFFFFF"/>
        <w:spacing w:before="0" w:beforeAutospacing="0" w:after="150" w:afterAutospacing="0"/>
        <w:jc w:val="both"/>
        <w:rPr>
          <w:rFonts w:ascii="Book Antiqua" w:hAnsi="Book Antiqua" w:cs="Arial"/>
          <w:color w:val="000000" w:themeColor="text1"/>
        </w:rPr>
      </w:pPr>
      <w:r w:rsidRPr="00335FD4">
        <w:rPr>
          <w:rFonts w:ascii="Book Antiqua" w:hAnsi="Book Antiqua"/>
          <w:color w:val="000000" w:themeColor="text1"/>
        </w:rPr>
        <w:t xml:space="preserve">Her Honour Justice Pepper found that the use of a dwelling for the purpose of </w:t>
      </w:r>
      <w:r w:rsidR="000227B7" w:rsidRPr="00335FD4">
        <w:rPr>
          <w:rFonts w:ascii="Book Antiqua" w:hAnsi="Book Antiqua"/>
          <w:color w:val="000000" w:themeColor="text1"/>
        </w:rPr>
        <w:t>short-term</w:t>
      </w:r>
      <w:r w:rsidRPr="00335FD4">
        <w:rPr>
          <w:rFonts w:ascii="Book Antiqua" w:hAnsi="Book Antiqua"/>
          <w:color w:val="000000" w:themeColor="text1"/>
        </w:rPr>
        <w:t xml:space="preserve"> holiday rentals was effectively a separate and independent planning use, which required development consent under the</w:t>
      </w:r>
      <w:r w:rsidRPr="00335FD4">
        <w:rPr>
          <w:rStyle w:val="apple-converted-space"/>
          <w:rFonts w:ascii="Book Antiqua" w:hAnsi="Book Antiqua"/>
          <w:color w:val="000000" w:themeColor="text1"/>
        </w:rPr>
        <w:t> </w:t>
      </w:r>
      <w:r w:rsidRPr="00335FD4">
        <w:rPr>
          <w:rStyle w:val="Emphasis"/>
          <w:rFonts w:ascii="Book Antiqua" w:hAnsi="Book Antiqua"/>
          <w:color w:val="000000" w:themeColor="text1"/>
        </w:rPr>
        <w:t>Environmental Planning and Assessment Act</w:t>
      </w:r>
      <w:r w:rsidRPr="00335FD4">
        <w:rPr>
          <w:rStyle w:val="apple-converted-space"/>
          <w:rFonts w:ascii="Book Antiqua" w:hAnsi="Book Antiqua"/>
          <w:color w:val="000000" w:themeColor="text1"/>
        </w:rPr>
        <w:t> </w:t>
      </w:r>
      <w:r w:rsidRPr="00335FD4">
        <w:rPr>
          <w:rFonts w:ascii="Book Antiqua" w:hAnsi="Book Antiqua"/>
          <w:color w:val="000000" w:themeColor="text1"/>
        </w:rPr>
        <w:t xml:space="preserve">(1979). Reference to both the relevant Ordinance and the meaning of the word ‘domicile’ as interpreted by King CJ in </w:t>
      </w:r>
      <w:r w:rsidRPr="00335FD4">
        <w:rPr>
          <w:rFonts w:ascii="Book Antiqua" w:hAnsi="Book Antiqua"/>
          <w:i/>
          <w:color w:val="000000" w:themeColor="text1"/>
        </w:rPr>
        <w:t>Masters v Padley,</w:t>
      </w:r>
      <w:r w:rsidRPr="00335FD4">
        <w:rPr>
          <w:rStyle w:val="FootnoteReference"/>
          <w:rFonts w:ascii="Book Antiqua" w:hAnsi="Book Antiqua"/>
          <w:i/>
          <w:color w:val="000000" w:themeColor="text1"/>
        </w:rPr>
        <w:footnoteReference w:id="10"/>
      </w:r>
      <w:r w:rsidRPr="00335FD4">
        <w:rPr>
          <w:rFonts w:ascii="Book Antiqua" w:hAnsi="Book Antiqua"/>
          <w:i/>
          <w:color w:val="000000" w:themeColor="text1"/>
        </w:rPr>
        <w:t xml:space="preserve"> </w:t>
      </w:r>
      <w:r w:rsidRPr="00335FD4">
        <w:rPr>
          <w:rFonts w:ascii="Book Antiqua" w:hAnsi="Book Antiqua"/>
          <w:color w:val="000000" w:themeColor="text1"/>
        </w:rPr>
        <w:t xml:space="preserve">demonstrated that a ‘dwelling’ was defined as </w:t>
      </w:r>
      <w:r w:rsidRPr="00335FD4">
        <w:rPr>
          <w:rFonts w:ascii="Book Antiqua" w:hAnsi="Book Antiqua" w:cs="Arial"/>
          <w:iCs/>
          <w:color w:val="000000" w:themeColor="text1"/>
        </w:rPr>
        <w:t>"a room or number of rooms occupied or used, or so constructed or adapted as to be capable of being occupied or used, as a separate domicile"</w:t>
      </w:r>
      <w:r w:rsidRPr="00335FD4">
        <w:rPr>
          <w:rFonts w:ascii="Book Antiqua" w:hAnsi="Book Antiqua" w:cs="Arial"/>
          <w:color w:val="000000" w:themeColor="text1"/>
        </w:rPr>
        <w:t>.</w:t>
      </w:r>
      <w:r w:rsidRPr="00335FD4">
        <w:rPr>
          <w:rStyle w:val="FootnoteReference"/>
          <w:rFonts w:ascii="Book Antiqua" w:hAnsi="Book Antiqua" w:cs="Arial"/>
          <w:color w:val="000000" w:themeColor="text1"/>
        </w:rPr>
        <w:footnoteReference w:id="11"/>
      </w:r>
      <w:r w:rsidRPr="00335FD4">
        <w:rPr>
          <w:rFonts w:ascii="Book Antiqua" w:hAnsi="Book Antiqua" w:cs="Arial"/>
          <w:color w:val="000000" w:themeColor="text1"/>
        </w:rPr>
        <w:t> The Court accepted the argument of the neighbouring owners that a ‘dwelling’ involves occupation of the property in the same way that a family group in the ordinary way of life would occupy the property, and that such occupation requires, “at the very least, a significant degree of permanence of habitation or occupation”.</w:t>
      </w:r>
      <w:r w:rsidRPr="00335FD4">
        <w:rPr>
          <w:rStyle w:val="FootnoteReference"/>
          <w:rFonts w:ascii="Book Antiqua" w:hAnsi="Book Antiqua" w:cs="Arial"/>
          <w:color w:val="000000" w:themeColor="text1"/>
        </w:rPr>
        <w:footnoteReference w:id="12"/>
      </w:r>
    </w:p>
    <w:p w14:paraId="3823F497" w14:textId="77777777" w:rsidR="00F52420" w:rsidRPr="00335FD4" w:rsidRDefault="00F52420" w:rsidP="00F52420">
      <w:pPr>
        <w:pStyle w:val="NormalWeb"/>
        <w:shd w:val="clear" w:color="auto" w:fill="FFFFFF"/>
        <w:spacing w:before="0" w:beforeAutospacing="0"/>
        <w:jc w:val="both"/>
        <w:rPr>
          <w:rFonts w:ascii="Book Antiqua" w:hAnsi="Book Antiqua" w:cs="Arial"/>
          <w:color w:val="000000" w:themeColor="text1"/>
        </w:rPr>
      </w:pPr>
      <w:r w:rsidRPr="00335FD4">
        <w:rPr>
          <w:rFonts w:ascii="Book Antiqua" w:hAnsi="Book Antiqua" w:cs="Arial"/>
          <w:color w:val="000000" w:themeColor="text1"/>
        </w:rPr>
        <w:t>The Court then concluded that the renting of the property for short periods for the purposes of “bucks and hens nights, parties or for the use of escorts or strippers is not consistent with a use or occupation by a family or household group in the ordinary way of life and therefore not consistent with the use of the property as that of a ‘dwelling-house’”.</w:t>
      </w:r>
      <w:r w:rsidRPr="00335FD4">
        <w:rPr>
          <w:rStyle w:val="FootnoteReference"/>
          <w:rFonts w:ascii="Book Antiqua" w:hAnsi="Book Antiqua" w:cs="Arial"/>
          <w:color w:val="000000" w:themeColor="text1"/>
        </w:rPr>
        <w:footnoteReference w:id="13"/>
      </w:r>
      <w:r w:rsidRPr="00335FD4">
        <w:rPr>
          <w:rFonts w:ascii="Book Antiqua" w:hAnsi="Book Antiqua" w:cs="Arial"/>
          <w:color w:val="000000" w:themeColor="text1"/>
        </w:rPr>
        <w:t xml:space="preserve"> Having concluded that the short-term rental of the property was unlawful the Court made a declaration of unlawfulness and granted an injunction to prohibit the owner from engaging in the practice in the future. </w:t>
      </w:r>
    </w:p>
    <w:p w14:paraId="566B0A9D" w14:textId="77777777" w:rsidR="00F52420" w:rsidRPr="00335FD4" w:rsidRDefault="001A53C4" w:rsidP="00F52420">
      <w:pPr>
        <w:jc w:val="both"/>
        <w:rPr>
          <w:rFonts w:ascii="Book Antiqua" w:eastAsia="Times New Roman" w:hAnsi="Book Antiqua"/>
          <w:color w:val="000000" w:themeColor="text1"/>
        </w:rPr>
      </w:pPr>
      <w:r w:rsidRPr="00335FD4">
        <w:rPr>
          <w:rFonts w:ascii="Book Antiqua" w:hAnsi="Book Antiqua" w:cs="Arial"/>
          <w:color w:val="000000" w:themeColor="text1"/>
        </w:rPr>
        <w:t xml:space="preserve">Interestingly, </w:t>
      </w:r>
      <w:r w:rsidR="00F52420" w:rsidRPr="00335FD4">
        <w:rPr>
          <w:rFonts w:ascii="Book Antiqua" w:hAnsi="Book Antiqua" w:cs="Arial"/>
          <w:color w:val="000000" w:themeColor="text1"/>
        </w:rPr>
        <w:t>Justice Pepper also criticised the Gosford Council for its failure to address the issue earlier, describing its conduct as ‘unsatisfactory’ and “an abrogation by the Council of its fundamental duties and responsibilities”.</w:t>
      </w:r>
      <w:r w:rsidR="00F52420" w:rsidRPr="00335FD4">
        <w:rPr>
          <w:rStyle w:val="FootnoteReference"/>
          <w:rFonts w:ascii="Book Antiqua" w:hAnsi="Book Antiqua" w:cs="Arial"/>
          <w:color w:val="000000" w:themeColor="text1"/>
        </w:rPr>
        <w:footnoteReference w:id="14"/>
      </w:r>
      <w:r w:rsidR="00F52420" w:rsidRPr="00335FD4">
        <w:rPr>
          <w:rFonts w:ascii="Book Antiqua" w:hAnsi="Book Antiqua" w:cs="Arial"/>
          <w:color w:val="000000" w:themeColor="text1"/>
        </w:rPr>
        <w:t xml:space="preserve"> The Council responded quickly, immediately proposing amendments to its Ordinance, resulting in the passing of an amended Local Environment Plan in February 2014.</w:t>
      </w:r>
      <w:r w:rsidR="00F52420" w:rsidRPr="00335FD4">
        <w:rPr>
          <w:rStyle w:val="FootnoteReference"/>
          <w:rFonts w:ascii="Book Antiqua" w:hAnsi="Book Antiqua" w:cs="Arial"/>
          <w:color w:val="000000" w:themeColor="text1"/>
        </w:rPr>
        <w:footnoteReference w:id="15"/>
      </w:r>
      <w:r w:rsidR="00F52420" w:rsidRPr="00335FD4">
        <w:rPr>
          <w:rFonts w:ascii="Book Antiqua" w:hAnsi="Book Antiqua" w:cs="Arial"/>
          <w:color w:val="000000" w:themeColor="text1"/>
        </w:rPr>
        <w:t xml:space="preserve"> Relevantly, the Plan was amended to require development consent for the tempora</w:t>
      </w:r>
      <w:r w:rsidR="009157DD">
        <w:rPr>
          <w:rFonts w:ascii="Book Antiqua" w:hAnsi="Book Antiqua" w:cs="Arial"/>
          <w:color w:val="000000" w:themeColor="text1"/>
        </w:rPr>
        <w:t>ry use of dwellings containing five</w:t>
      </w:r>
      <w:r w:rsidR="00F52420" w:rsidRPr="00335FD4">
        <w:rPr>
          <w:rFonts w:ascii="Book Antiqua" w:hAnsi="Book Antiqua" w:cs="Arial"/>
          <w:color w:val="000000" w:themeColor="text1"/>
        </w:rPr>
        <w:t xml:space="preserve"> or </w:t>
      </w:r>
      <w:r w:rsidR="009157DD">
        <w:rPr>
          <w:rFonts w:ascii="Book Antiqua" w:hAnsi="Book Antiqua" w:cs="Arial"/>
          <w:color w:val="000000" w:themeColor="text1"/>
        </w:rPr>
        <w:t>six</w:t>
      </w:r>
      <w:r w:rsidR="00F52420" w:rsidRPr="00335FD4">
        <w:rPr>
          <w:rFonts w:ascii="Book Antiqua" w:hAnsi="Book Antiqua" w:cs="Arial"/>
          <w:color w:val="000000" w:themeColor="text1"/>
        </w:rPr>
        <w:t xml:space="preserve"> bedrooms as short-term rental accommodation.</w:t>
      </w:r>
      <w:r w:rsidR="00F52420" w:rsidRPr="00335FD4">
        <w:rPr>
          <w:rStyle w:val="FootnoteReference"/>
          <w:rFonts w:ascii="Book Antiqua" w:hAnsi="Book Antiqua" w:cs="Arial"/>
          <w:color w:val="000000" w:themeColor="text1"/>
        </w:rPr>
        <w:footnoteReference w:id="16"/>
      </w:r>
      <w:r w:rsidR="00F52420" w:rsidRPr="00335FD4">
        <w:rPr>
          <w:rFonts w:ascii="Book Antiqua" w:hAnsi="Book Antiqua" w:cs="Arial"/>
          <w:color w:val="000000" w:themeColor="text1"/>
        </w:rPr>
        <w:t xml:space="preserve"> The Gosford Development Control Plan (‘DCP’) also amended its </w:t>
      </w:r>
      <w:r w:rsidR="00F52420" w:rsidRPr="00335FD4">
        <w:rPr>
          <w:rFonts w:ascii="Book Antiqua" w:hAnsi="Book Antiqua" w:cs="Arial"/>
          <w:color w:val="000000" w:themeColor="text1"/>
        </w:rPr>
        <w:lastRenderedPageBreak/>
        <w:t>definition of ‘</w:t>
      </w:r>
      <w:r w:rsidR="000227B7" w:rsidRPr="00335FD4">
        <w:rPr>
          <w:rFonts w:ascii="Book Antiqua" w:hAnsi="Book Antiqua" w:cs="Arial"/>
          <w:color w:val="000000" w:themeColor="text1"/>
        </w:rPr>
        <w:t>short-term</w:t>
      </w:r>
      <w:r w:rsidR="00F52420" w:rsidRPr="00335FD4">
        <w:rPr>
          <w:rFonts w:ascii="Book Antiqua" w:hAnsi="Book Antiqua" w:cs="Arial"/>
          <w:color w:val="000000" w:themeColor="text1"/>
        </w:rPr>
        <w:t xml:space="preserve"> rental accommodation’ to extend to any </w:t>
      </w:r>
      <w:r w:rsidR="00F52420" w:rsidRPr="00335FD4">
        <w:rPr>
          <w:rFonts w:ascii="Book Antiqua" w:eastAsia="Times New Roman" w:hAnsi="Book Antiqua" w:cs="Arial"/>
          <w:color w:val="000000" w:themeColor="text1"/>
          <w:shd w:val="clear" w:color="auto" w:fill="FFFFFF"/>
        </w:rPr>
        <w:t xml:space="preserve">“dwelling that is commercially available for rent as </w:t>
      </w:r>
      <w:r w:rsidR="000227B7" w:rsidRPr="00335FD4">
        <w:rPr>
          <w:rFonts w:ascii="Book Antiqua" w:eastAsia="Times New Roman" w:hAnsi="Book Antiqua" w:cs="Arial"/>
          <w:color w:val="000000" w:themeColor="text1"/>
          <w:shd w:val="clear" w:color="auto" w:fill="FFFFFF"/>
        </w:rPr>
        <w:t>short-term</w:t>
      </w:r>
      <w:r w:rsidR="00F52420" w:rsidRPr="00335FD4">
        <w:rPr>
          <w:rFonts w:ascii="Book Antiqua" w:eastAsia="Times New Roman" w:hAnsi="Book Antiqua" w:cs="Arial"/>
          <w:color w:val="000000" w:themeColor="text1"/>
          <w:shd w:val="clear" w:color="auto" w:fill="FFFFFF"/>
        </w:rPr>
        <w:t xml:space="preserve"> accommodation on a temporary basis for any period up to 3 months.</w:t>
      </w:r>
      <w:r w:rsidR="00F52420" w:rsidRPr="00335FD4">
        <w:rPr>
          <w:rStyle w:val="FootnoteReference"/>
          <w:rFonts w:ascii="Book Antiqua" w:eastAsia="Times New Roman" w:hAnsi="Book Antiqua" w:cs="Arial"/>
          <w:color w:val="000000" w:themeColor="text1"/>
          <w:shd w:val="clear" w:color="auto" w:fill="FFFFFF"/>
        </w:rPr>
        <w:footnoteReference w:id="17"/>
      </w:r>
      <w:r w:rsidR="00F52420" w:rsidRPr="00335FD4">
        <w:rPr>
          <w:rFonts w:ascii="Book Antiqua" w:eastAsia="Times New Roman" w:hAnsi="Book Antiqua" w:cs="Arial"/>
          <w:color w:val="000000" w:themeColor="text1"/>
          <w:shd w:val="clear" w:color="auto" w:fill="FFFFFF"/>
        </w:rPr>
        <w:t xml:space="preserve"> The DCP now also includes provisions regarding the amenities of such properties, providing that if such a dwelling receives more than two written complaints from surrounding property occupants due to its manner of use in any 12 month period the Council may impose further conditions upon the property’s use.</w:t>
      </w:r>
      <w:r w:rsidR="00F52420" w:rsidRPr="00335FD4">
        <w:rPr>
          <w:rStyle w:val="FootnoteReference"/>
          <w:rFonts w:ascii="Book Antiqua" w:eastAsia="Times New Roman" w:hAnsi="Book Antiqua" w:cs="Arial"/>
          <w:color w:val="000000" w:themeColor="text1"/>
          <w:shd w:val="clear" w:color="auto" w:fill="FFFFFF"/>
        </w:rPr>
        <w:footnoteReference w:id="18"/>
      </w:r>
      <w:r w:rsidR="00F52420" w:rsidRPr="00335FD4">
        <w:rPr>
          <w:rFonts w:ascii="Book Antiqua" w:eastAsia="Times New Roman" w:hAnsi="Book Antiqua" w:cs="Arial"/>
          <w:color w:val="000000" w:themeColor="text1"/>
        </w:rPr>
        <w:br/>
      </w:r>
    </w:p>
    <w:p w14:paraId="638306FE" w14:textId="77777777" w:rsidR="00F52420" w:rsidRPr="00335FD4" w:rsidRDefault="00F52420" w:rsidP="00F52420">
      <w:pPr>
        <w:pStyle w:val="NormalWeb"/>
        <w:shd w:val="clear" w:color="auto" w:fill="FFFFFF"/>
        <w:spacing w:before="0" w:beforeAutospacing="0"/>
        <w:jc w:val="both"/>
        <w:rPr>
          <w:rFonts w:ascii="Book Antiqua" w:hAnsi="Book Antiqua" w:cs="Arial"/>
          <w:color w:val="000000" w:themeColor="text1"/>
        </w:rPr>
      </w:pPr>
      <w:r w:rsidRPr="00335FD4">
        <w:rPr>
          <w:rFonts w:ascii="Book Antiqua" w:hAnsi="Book Antiqua" w:cs="Arial"/>
          <w:color w:val="000000" w:themeColor="text1"/>
        </w:rPr>
        <w:t xml:space="preserve">The decision was also embraced by surrounding Councils in NSW. Although each Council’s particular planning scheme is unique and thus not subject to the particular findings of the Court, surrounding Councils had employed similar language in their own LEPs prior to Pepper J’s decision in </w:t>
      </w:r>
      <w:r w:rsidRPr="00335FD4">
        <w:rPr>
          <w:rStyle w:val="Emphasis"/>
          <w:rFonts w:ascii="Book Antiqua" w:hAnsi="Book Antiqua"/>
          <w:color w:val="000000" w:themeColor="text1"/>
        </w:rPr>
        <w:t>Dobrohotoff v Bennic</w:t>
      </w:r>
      <w:r w:rsidRPr="00335FD4">
        <w:rPr>
          <w:rFonts w:ascii="Book Antiqua" w:hAnsi="Book Antiqua" w:cs="Arial"/>
          <w:color w:val="000000" w:themeColor="text1"/>
        </w:rPr>
        <w:t>. For Councils that had already made express provision for terms such as ‘short-term accommodation’ or ‘holiday accommodation’ the decision provided the impetus to simply identify such uses as either permissible or prohibited as occurred in the case of Shoalhaven City and Byron Shire Councils.</w:t>
      </w:r>
      <w:r w:rsidRPr="00335FD4">
        <w:rPr>
          <w:rStyle w:val="FootnoteReference"/>
          <w:rFonts w:ascii="Book Antiqua" w:hAnsi="Book Antiqua" w:cs="Arial"/>
          <w:color w:val="000000" w:themeColor="text1"/>
        </w:rPr>
        <w:footnoteReference w:id="19"/>
      </w:r>
      <w:r w:rsidRPr="00335FD4">
        <w:rPr>
          <w:rFonts w:ascii="Book Antiqua" w:hAnsi="Book Antiqua" w:cs="Arial"/>
          <w:color w:val="000000" w:themeColor="text1"/>
        </w:rPr>
        <w:t xml:space="preserve"> </w:t>
      </w:r>
    </w:p>
    <w:p w14:paraId="34B035EF" w14:textId="77777777" w:rsidR="00F52420" w:rsidRPr="00335FD4" w:rsidRDefault="00F52420" w:rsidP="00F52420">
      <w:pPr>
        <w:rPr>
          <w:rFonts w:ascii="Book Antiqua" w:hAnsi="Book Antiqua"/>
          <w:b/>
          <w:i/>
          <w:color w:val="000000" w:themeColor="text1"/>
          <w:lang w:val="en-AU"/>
        </w:rPr>
      </w:pPr>
      <w:r w:rsidRPr="00335FD4">
        <w:rPr>
          <w:rFonts w:ascii="Book Antiqua" w:hAnsi="Book Antiqua"/>
          <w:b/>
          <w:smallCaps/>
          <w:color w:val="000000" w:themeColor="text1"/>
          <w:lang w:val="en-AU"/>
        </w:rPr>
        <w:t>2</w:t>
      </w:r>
      <w:r w:rsidRPr="00335FD4">
        <w:rPr>
          <w:rFonts w:ascii="Book Antiqua" w:hAnsi="Book Antiqua"/>
          <w:b/>
          <w:i/>
          <w:color w:val="000000" w:themeColor="text1"/>
          <w:lang w:val="en-AU"/>
        </w:rPr>
        <w:t xml:space="preserve"> One or the other? </w:t>
      </w:r>
    </w:p>
    <w:p w14:paraId="6711EEBC" w14:textId="77777777" w:rsidR="00F52420" w:rsidRPr="00335FD4" w:rsidRDefault="00F52420" w:rsidP="00F52420">
      <w:pPr>
        <w:rPr>
          <w:rFonts w:ascii="Book Antiqua" w:hAnsi="Book Antiqua"/>
          <w:b/>
          <w:i/>
          <w:color w:val="000000" w:themeColor="text1"/>
          <w:lang w:val="en-AU"/>
        </w:rPr>
      </w:pPr>
    </w:p>
    <w:p w14:paraId="36008521" w14:textId="77777777" w:rsidR="00F52420" w:rsidRPr="00335FD4" w:rsidRDefault="00D62669" w:rsidP="00D62669">
      <w:pPr>
        <w:jc w:val="both"/>
        <w:rPr>
          <w:rFonts w:ascii="Book Antiqua" w:hAnsi="Book Antiqua"/>
          <w:b/>
          <w:color w:val="000000" w:themeColor="text1"/>
          <w:lang w:val="en-AU"/>
        </w:rPr>
      </w:pPr>
      <w:r w:rsidRPr="00335FD4">
        <w:rPr>
          <w:rFonts w:ascii="Book Antiqua" w:hAnsi="Book Antiqua"/>
          <w:color w:val="000000" w:themeColor="text1"/>
        </w:rPr>
        <w:t xml:space="preserve">In addition to ill-fitting definitions, the lack of an express definition can also cause problems in situations where more than one type of land use may potentially apply under the terms of a planning instrument.  </w:t>
      </w:r>
      <w:r w:rsidR="00F52420" w:rsidRPr="00335FD4">
        <w:rPr>
          <w:rFonts w:ascii="Book Antiqua" w:hAnsi="Book Antiqua"/>
          <w:color w:val="000000" w:themeColor="text1"/>
        </w:rPr>
        <w:t xml:space="preserve">In </w:t>
      </w:r>
      <w:r w:rsidR="00F52420" w:rsidRPr="00335FD4">
        <w:rPr>
          <w:rFonts w:ascii="Book Antiqua" w:hAnsi="Book Antiqua"/>
          <w:i/>
          <w:color w:val="000000" w:themeColor="text1"/>
        </w:rPr>
        <w:t xml:space="preserve">Savage v Cairns, </w:t>
      </w:r>
      <w:r w:rsidR="00F52420" w:rsidRPr="00335FD4">
        <w:rPr>
          <w:rFonts w:ascii="Book Antiqua" w:hAnsi="Book Antiqua"/>
          <w:color w:val="000000" w:themeColor="text1"/>
        </w:rPr>
        <w:t>the Queensland Court of Appeal confirmed a decision of the Planning and Environment Court</w:t>
      </w:r>
      <w:r w:rsidR="00F52420" w:rsidRPr="00335FD4">
        <w:rPr>
          <w:rFonts w:ascii="Book Antiqua" w:hAnsi="Book Antiqua"/>
          <w:i/>
          <w:color w:val="000000" w:themeColor="text1"/>
        </w:rPr>
        <w:t xml:space="preserve"> </w:t>
      </w:r>
      <w:r w:rsidR="00F52420" w:rsidRPr="00335FD4">
        <w:rPr>
          <w:rFonts w:ascii="Book Antiqua" w:hAnsi="Book Antiqua"/>
          <w:color w:val="000000" w:themeColor="text1"/>
        </w:rPr>
        <w:t xml:space="preserve">which concluded that the use of a property as both </w:t>
      </w:r>
      <w:r w:rsidR="000227B7" w:rsidRPr="00335FD4">
        <w:rPr>
          <w:rFonts w:ascii="Book Antiqua" w:hAnsi="Book Antiqua"/>
          <w:color w:val="000000" w:themeColor="text1"/>
        </w:rPr>
        <w:t>short-term</w:t>
      </w:r>
      <w:r w:rsidR="00F52420" w:rsidRPr="00335FD4">
        <w:rPr>
          <w:rFonts w:ascii="Book Antiqua" w:hAnsi="Book Antiqua"/>
          <w:color w:val="000000" w:themeColor="text1"/>
        </w:rPr>
        <w:t xml:space="preserve"> holiday accommodation and permanent residential accommodation was permissible.</w:t>
      </w:r>
      <w:r w:rsidR="00F52420" w:rsidRPr="00335FD4">
        <w:rPr>
          <w:rStyle w:val="FootnoteReference"/>
          <w:rFonts w:ascii="Book Antiqua" w:hAnsi="Book Antiqua"/>
          <w:color w:val="000000" w:themeColor="text1"/>
        </w:rPr>
        <w:footnoteReference w:id="20"/>
      </w:r>
      <w:r w:rsidR="00F52420" w:rsidRPr="00335FD4">
        <w:rPr>
          <w:rFonts w:ascii="Book Antiqua" w:hAnsi="Book Antiqua"/>
          <w:color w:val="000000" w:themeColor="text1"/>
        </w:rPr>
        <w:t xml:space="preserve"> The applicant, Mr Savage, owned a unit in II Centro Cairns, through which he operated a letting business. The other 38 units in the building were also used as such, and were classified as “Holiday Accommodation” under the relevant planning instrument. By 2014 a number of the units were being used as permanent residences, culminating in an application by 24 of the unit owners to the Cairns Regional Council to approve a material change in their use from “Holiday Accommodation” to “Holiday Accommodation/Multiple Dwelling”. Mr Savage sought to challenge the subsequent approval of this change of use, arguing that the decision was unlawful as the two types of use were fundamentally inconsistent. The application and subsequent appeal were both dismissed, with the Court of Appeal concluding that the two types of use were not inconsistent or incompatible, and were capable of being carried on together at the same time or separately at different times.</w:t>
      </w:r>
      <w:r w:rsidR="00F52420" w:rsidRPr="00335FD4">
        <w:rPr>
          <w:rStyle w:val="FootnoteReference"/>
          <w:rFonts w:ascii="Book Antiqua" w:hAnsi="Book Antiqua"/>
          <w:color w:val="000000" w:themeColor="text1"/>
        </w:rPr>
        <w:footnoteReference w:id="21"/>
      </w:r>
      <w:r w:rsidR="00F52420" w:rsidRPr="00335FD4">
        <w:rPr>
          <w:rFonts w:ascii="Book Antiqua" w:hAnsi="Book Antiqua"/>
          <w:color w:val="000000" w:themeColor="text1"/>
        </w:rPr>
        <w:t xml:space="preserve"> Morrison JA held that there was nothing inconsistent or incompatible with an owner of one of the units using their property as a residence for part of the year, and </w:t>
      </w:r>
      <w:r w:rsidR="00F52420" w:rsidRPr="00335FD4">
        <w:rPr>
          <w:rFonts w:ascii="Book Antiqua" w:hAnsi="Book Antiqua"/>
          <w:color w:val="000000" w:themeColor="text1"/>
        </w:rPr>
        <w:lastRenderedPageBreak/>
        <w:t>renting it out for the balance.</w:t>
      </w:r>
      <w:r w:rsidR="00F52420" w:rsidRPr="00335FD4">
        <w:rPr>
          <w:rStyle w:val="FootnoteReference"/>
          <w:rFonts w:ascii="Book Antiqua" w:hAnsi="Book Antiqua"/>
          <w:color w:val="000000" w:themeColor="text1"/>
        </w:rPr>
        <w:footnoteReference w:id="22"/>
      </w:r>
      <w:r w:rsidR="00F52420" w:rsidRPr="00335FD4">
        <w:rPr>
          <w:rFonts w:ascii="Book Antiqua" w:hAnsi="Book Antiqua"/>
          <w:color w:val="000000" w:themeColor="text1"/>
        </w:rPr>
        <w:t xml:space="preserve"> His Honour also noted that just because an owner permanently resides in a unit, does not mean that the same owner letting their unit on a short-term basis while temporarily absent would destroy such permanency.</w:t>
      </w:r>
      <w:r w:rsidR="00F52420" w:rsidRPr="00335FD4">
        <w:rPr>
          <w:rStyle w:val="FootnoteReference"/>
          <w:rFonts w:ascii="Book Antiqua" w:hAnsi="Book Antiqua"/>
          <w:color w:val="000000" w:themeColor="text1"/>
        </w:rPr>
        <w:footnoteReference w:id="23"/>
      </w:r>
    </w:p>
    <w:p w14:paraId="4D000CDE" w14:textId="77777777" w:rsidR="00F52420" w:rsidRPr="00335FD4" w:rsidRDefault="00F52420" w:rsidP="00F52420">
      <w:pPr>
        <w:widowControl w:val="0"/>
        <w:autoSpaceDE w:val="0"/>
        <w:autoSpaceDN w:val="0"/>
        <w:adjustRightInd w:val="0"/>
        <w:jc w:val="both"/>
        <w:rPr>
          <w:rFonts w:ascii="Book Antiqua" w:hAnsi="Book Antiqua"/>
          <w:color w:val="000000" w:themeColor="text1"/>
        </w:rPr>
      </w:pPr>
    </w:p>
    <w:p w14:paraId="15FA7E3D" w14:textId="77777777" w:rsidR="002E6895" w:rsidRPr="00335FD4" w:rsidRDefault="00F52420" w:rsidP="00DE65B8">
      <w:pPr>
        <w:widowControl w:val="0"/>
        <w:autoSpaceDE w:val="0"/>
        <w:autoSpaceDN w:val="0"/>
        <w:adjustRightInd w:val="0"/>
        <w:jc w:val="both"/>
        <w:rPr>
          <w:rFonts w:ascii="Book Antiqua" w:hAnsi="Book Antiqua"/>
          <w:color w:val="000000" w:themeColor="text1"/>
        </w:rPr>
      </w:pPr>
      <w:r w:rsidRPr="00335FD4">
        <w:rPr>
          <w:rFonts w:ascii="Book Antiqua" w:hAnsi="Book Antiqua"/>
          <w:color w:val="000000" w:themeColor="text1"/>
        </w:rPr>
        <w:t xml:space="preserve">Justice P McMurdo agreed, and also examined whether the phrase “for residential purposes” contained within the definition of ‘multiple dwelling’ ought to be read as importing a requirement that the dwelling be used “for </w:t>
      </w:r>
      <w:r w:rsidRPr="00335FD4">
        <w:rPr>
          <w:rFonts w:ascii="Book Antiqua" w:hAnsi="Book Antiqua"/>
          <w:i/>
          <w:color w:val="000000" w:themeColor="text1"/>
        </w:rPr>
        <w:t xml:space="preserve">permanent </w:t>
      </w:r>
      <w:r w:rsidRPr="00335FD4">
        <w:rPr>
          <w:rFonts w:ascii="Book Antiqua" w:hAnsi="Book Antiqua"/>
          <w:color w:val="000000" w:themeColor="text1"/>
        </w:rPr>
        <w:t>residential purposes”.</w:t>
      </w:r>
      <w:r w:rsidRPr="00335FD4">
        <w:rPr>
          <w:rStyle w:val="FootnoteReference"/>
          <w:rFonts w:ascii="Book Antiqua" w:hAnsi="Book Antiqua"/>
          <w:color w:val="000000" w:themeColor="text1"/>
        </w:rPr>
        <w:footnoteReference w:id="24"/>
      </w:r>
      <w:r w:rsidRPr="00335FD4">
        <w:rPr>
          <w:rFonts w:ascii="Book Antiqua" w:hAnsi="Book Antiqua"/>
          <w:color w:val="000000" w:themeColor="text1"/>
        </w:rPr>
        <w:t xml:space="preserve"> His Honour examined the judicial interpretation of “residential purposes” by the Federal Court in </w:t>
      </w:r>
      <w:r w:rsidRPr="00335FD4">
        <w:rPr>
          <w:rFonts w:ascii="Book Antiqua" w:hAnsi="Book Antiqua"/>
          <w:i/>
          <w:color w:val="000000" w:themeColor="text1"/>
        </w:rPr>
        <w:t>Marana Holdings Pty Ltd v Commission of Taxation</w:t>
      </w:r>
      <w:r w:rsidRPr="00335FD4">
        <w:rPr>
          <w:rFonts w:ascii="Book Antiqua" w:hAnsi="Book Antiqua"/>
          <w:color w:val="000000" w:themeColor="text1"/>
        </w:rPr>
        <w:t>, and noted that the court saw the term as “including premises which are occupied as a residence or intended to be” and involve</w:t>
      </w:r>
      <w:r w:rsidR="00B14059">
        <w:rPr>
          <w:rFonts w:ascii="Book Antiqua" w:hAnsi="Book Antiqua"/>
          <w:color w:val="000000" w:themeColor="text1"/>
        </w:rPr>
        <w:t>s</w:t>
      </w:r>
      <w:r w:rsidRPr="00335FD4">
        <w:rPr>
          <w:rFonts w:ascii="Book Antiqua" w:hAnsi="Book Antiqua"/>
          <w:color w:val="000000" w:themeColor="text1"/>
        </w:rPr>
        <w:t xml:space="preserve"> “a degree of permanent or long-term commitment to the occupation of the premises in question.”</w:t>
      </w:r>
      <w:r w:rsidRPr="00335FD4">
        <w:rPr>
          <w:rStyle w:val="FootnoteReference"/>
          <w:rFonts w:ascii="Book Antiqua" w:hAnsi="Book Antiqua"/>
          <w:color w:val="000000" w:themeColor="text1"/>
        </w:rPr>
        <w:footnoteReference w:id="25"/>
      </w:r>
      <w:r w:rsidR="00B14059">
        <w:rPr>
          <w:rFonts w:ascii="Book Antiqua" w:hAnsi="Book Antiqua"/>
          <w:color w:val="000000" w:themeColor="text1"/>
        </w:rPr>
        <w:t xml:space="preserve"> In Justice McMurdo’s opinion,</w:t>
      </w:r>
      <w:r w:rsidRPr="00335FD4">
        <w:rPr>
          <w:rFonts w:ascii="Book Antiqua" w:hAnsi="Book Antiqua"/>
          <w:color w:val="000000" w:themeColor="text1"/>
        </w:rPr>
        <w:t xml:space="preserve"> interpreting “residential purposes” in a way that required permanent </w:t>
      </w:r>
      <w:r w:rsidR="00B14059" w:rsidRPr="00335FD4">
        <w:rPr>
          <w:rFonts w:ascii="Book Antiqua" w:hAnsi="Book Antiqua"/>
          <w:color w:val="000000" w:themeColor="text1"/>
        </w:rPr>
        <w:t>occupation</w:t>
      </w:r>
      <w:r w:rsidRPr="00335FD4">
        <w:rPr>
          <w:rFonts w:ascii="Book Antiqua" w:hAnsi="Book Antiqua"/>
          <w:color w:val="000000" w:themeColor="text1"/>
        </w:rPr>
        <w:t xml:space="preserve"> would confine the expression to a narrower category than its ordinary meaning.</w:t>
      </w:r>
      <w:r w:rsidRPr="00335FD4">
        <w:rPr>
          <w:rStyle w:val="FootnoteReference"/>
          <w:rFonts w:ascii="Book Antiqua" w:hAnsi="Book Antiqua"/>
          <w:color w:val="000000" w:themeColor="text1"/>
        </w:rPr>
        <w:footnoteReference w:id="26"/>
      </w:r>
      <w:r w:rsidRPr="00335FD4">
        <w:rPr>
          <w:rFonts w:ascii="Book Antiqua" w:hAnsi="Book Antiqua"/>
          <w:color w:val="000000" w:themeColor="text1"/>
        </w:rPr>
        <w:t xml:space="preserve"> Consequently, the appeal was dismissed, and the unit owners were permitted to use their properties as both permanent residences and holiday accommodation.</w:t>
      </w:r>
      <w:r w:rsidR="002E6895" w:rsidRPr="00335FD4">
        <w:rPr>
          <w:rFonts w:ascii="Book Antiqua" w:hAnsi="Book Antiqua"/>
          <w:color w:val="000000" w:themeColor="text1"/>
        </w:rPr>
        <w:t xml:space="preserve"> Although this outcome avoided the need to classify the land use into either category, it nevertheless highlights the need for a discrete definition for short-term letting. As a relatively recent type of land use, it is unlikely that future short-term rental arrangements will readily fit within existing frameworks, and will require express provision to cover their own unique characteristics. </w:t>
      </w:r>
    </w:p>
    <w:p w14:paraId="45C9989E" w14:textId="77777777" w:rsidR="00DE65B8" w:rsidRPr="00335FD4" w:rsidRDefault="00DE65B8" w:rsidP="00DE65B8">
      <w:pPr>
        <w:widowControl w:val="0"/>
        <w:autoSpaceDE w:val="0"/>
        <w:autoSpaceDN w:val="0"/>
        <w:adjustRightInd w:val="0"/>
        <w:jc w:val="both"/>
        <w:rPr>
          <w:rFonts w:ascii="Book Antiqua" w:hAnsi="Book Antiqua"/>
          <w:color w:val="000000" w:themeColor="text1"/>
        </w:rPr>
      </w:pPr>
    </w:p>
    <w:p w14:paraId="61F0B08D" w14:textId="77777777" w:rsidR="00F52420" w:rsidRPr="00335FD4" w:rsidRDefault="00F52420" w:rsidP="00F52420">
      <w:pPr>
        <w:rPr>
          <w:rFonts w:ascii="Book Antiqua" w:hAnsi="Book Antiqua"/>
          <w:b/>
          <w:i/>
          <w:color w:val="000000" w:themeColor="text1"/>
          <w:lang w:val="en-AU"/>
        </w:rPr>
      </w:pPr>
      <w:r w:rsidRPr="00335FD4">
        <w:rPr>
          <w:rFonts w:ascii="Book Antiqua" w:hAnsi="Book Antiqua"/>
          <w:b/>
          <w:smallCaps/>
          <w:color w:val="000000" w:themeColor="text1"/>
          <w:lang w:val="en-AU"/>
        </w:rPr>
        <w:t>3</w:t>
      </w:r>
      <w:r w:rsidRPr="00335FD4">
        <w:rPr>
          <w:rFonts w:ascii="Book Antiqua" w:hAnsi="Book Antiqua"/>
          <w:b/>
          <w:i/>
          <w:color w:val="000000" w:themeColor="text1"/>
          <w:lang w:val="en-AU"/>
        </w:rPr>
        <w:t xml:space="preserve"> Finding the appropriate definition</w:t>
      </w:r>
    </w:p>
    <w:p w14:paraId="69B1F22D" w14:textId="77777777" w:rsidR="00F52420" w:rsidRPr="00335FD4" w:rsidRDefault="00F52420" w:rsidP="00F52420">
      <w:pPr>
        <w:rPr>
          <w:rFonts w:ascii="Book Antiqua" w:hAnsi="Book Antiqua"/>
          <w:b/>
          <w:i/>
          <w:color w:val="000000" w:themeColor="text1"/>
          <w:lang w:val="en-AU"/>
        </w:rPr>
      </w:pPr>
    </w:p>
    <w:p w14:paraId="6AA4AA32" w14:textId="77777777" w:rsidR="00F52420" w:rsidRPr="00335FD4" w:rsidRDefault="002E6895" w:rsidP="002E6895">
      <w:pPr>
        <w:jc w:val="both"/>
        <w:rPr>
          <w:rFonts w:ascii="Book Antiqua" w:hAnsi="Book Antiqua"/>
          <w:b/>
          <w:i/>
          <w:color w:val="000000" w:themeColor="text1"/>
          <w:lang w:val="en-AU"/>
        </w:rPr>
      </w:pPr>
      <w:r w:rsidRPr="00335FD4">
        <w:rPr>
          <w:rFonts w:ascii="Book Antiqua" w:hAnsi="Book Antiqua"/>
          <w:color w:val="000000" w:themeColor="text1"/>
        </w:rPr>
        <w:t xml:space="preserve">As the preceding discussion in this paper has looked to the presently problematic lack of definition for short-term rentals, it is only logical to consider those definitions adopted by other jurisdictions in considering potential options for Australian legislatures. </w:t>
      </w:r>
      <w:r w:rsidR="00F52420" w:rsidRPr="00335FD4">
        <w:rPr>
          <w:rFonts w:ascii="Book Antiqua" w:hAnsi="Book Antiqua"/>
          <w:color w:val="000000" w:themeColor="text1"/>
        </w:rPr>
        <w:t>A number of US states have introduced measures to deal with the issue of short-term letting, amending their local planning instruments to include dedicated definitions for such arrangements. For example, the Nashville Metro Council in the state of Tennessee recently approved a new definition for short-term rentals permitting their use under the revised terms of their Metropolitan Code.</w:t>
      </w:r>
      <w:r w:rsidR="00F52420" w:rsidRPr="00335FD4">
        <w:rPr>
          <w:rStyle w:val="FootnoteReference"/>
          <w:rFonts w:ascii="Book Antiqua" w:hAnsi="Book Antiqua"/>
          <w:color w:val="000000" w:themeColor="text1"/>
        </w:rPr>
        <w:footnoteReference w:id="27"/>
      </w:r>
      <w:r w:rsidR="00F52420" w:rsidRPr="00335FD4">
        <w:rPr>
          <w:rFonts w:ascii="Book Antiqua" w:hAnsi="Book Antiqua"/>
          <w:color w:val="000000" w:themeColor="text1"/>
        </w:rPr>
        <w:t xml:space="preserve"> The newly inserted definition of a ‘Short Term Rental Property (STRP)’ applies to properties rented for periods of less than 30 days, and requires property owners to obtain an STRP permit which demonstrates that they have secured liability coverage </w:t>
      </w:r>
      <w:r w:rsidR="00F52420" w:rsidRPr="00335FD4">
        <w:rPr>
          <w:rFonts w:ascii="Book Antiqua" w:hAnsi="Book Antiqua"/>
          <w:color w:val="000000" w:themeColor="text1"/>
        </w:rPr>
        <w:lastRenderedPageBreak/>
        <w:t>for losses of at least $1,000,000.</w:t>
      </w:r>
      <w:r w:rsidR="00F52420" w:rsidRPr="00335FD4">
        <w:rPr>
          <w:rStyle w:val="FootnoteReference"/>
          <w:rFonts w:ascii="Book Antiqua" w:hAnsi="Book Antiqua"/>
          <w:color w:val="000000" w:themeColor="text1"/>
        </w:rPr>
        <w:footnoteReference w:id="28"/>
      </w:r>
      <w:r w:rsidR="00F52420" w:rsidRPr="00335FD4">
        <w:rPr>
          <w:rFonts w:ascii="Book Antiqua" w:hAnsi="Book Antiqua"/>
          <w:color w:val="000000" w:themeColor="text1"/>
        </w:rPr>
        <w:t xml:space="preserve"> The San Jose City Council in California has passed similar measures, albeit with a much larger time period for letting permitted. The San Jose Municipal Code now provides that a host may share their home for the entire year if they themselves are physically present, or for a 180-day limit if they will be absent during the letting period.</w:t>
      </w:r>
      <w:r w:rsidR="00F52420" w:rsidRPr="00335FD4">
        <w:rPr>
          <w:rStyle w:val="FootnoteReference"/>
          <w:rFonts w:ascii="Book Antiqua" w:hAnsi="Book Antiqua"/>
          <w:color w:val="000000" w:themeColor="text1"/>
        </w:rPr>
        <w:t xml:space="preserve"> </w:t>
      </w:r>
      <w:r w:rsidR="00F52420" w:rsidRPr="00335FD4">
        <w:rPr>
          <w:rStyle w:val="FootnoteReference"/>
          <w:rFonts w:ascii="Book Antiqua" w:hAnsi="Book Antiqua"/>
          <w:color w:val="000000" w:themeColor="text1"/>
        </w:rPr>
        <w:footnoteReference w:id="29"/>
      </w:r>
      <w:r w:rsidR="00F52420" w:rsidRPr="00335FD4">
        <w:rPr>
          <w:rFonts w:ascii="Book Antiqua" w:hAnsi="Book Antiqua"/>
          <w:color w:val="000000" w:themeColor="text1"/>
        </w:rPr>
        <w:t xml:space="preserve"> </w:t>
      </w:r>
    </w:p>
    <w:p w14:paraId="4A22380D" w14:textId="77777777" w:rsidR="00F52420" w:rsidRPr="00335FD4" w:rsidRDefault="00F52420" w:rsidP="002E6895">
      <w:pPr>
        <w:jc w:val="both"/>
        <w:rPr>
          <w:rFonts w:ascii="Book Antiqua" w:hAnsi="Book Antiqua"/>
          <w:color w:val="000000" w:themeColor="text1"/>
        </w:rPr>
      </w:pPr>
    </w:p>
    <w:p w14:paraId="1DCD162E" w14:textId="77777777" w:rsidR="00F52420" w:rsidRPr="00E25A92" w:rsidRDefault="00F52420" w:rsidP="002E6895">
      <w:pPr>
        <w:widowControl w:val="0"/>
        <w:autoSpaceDE w:val="0"/>
        <w:autoSpaceDN w:val="0"/>
        <w:adjustRightInd w:val="0"/>
        <w:jc w:val="both"/>
        <w:rPr>
          <w:rFonts w:ascii="Book Antiqua" w:hAnsi="Book Antiqua"/>
          <w:color w:val="000000"/>
        </w:rPr>
      </w:pPr>
      <w:r w:rsidRPr="00335FD4">
        <w:rPr>
          <w:rFonts w:ascii="Book Antiqua" w:hAnsi="Book Antiqua"/>
          <w:color w:val="000000" w:themeColor="text1"/>
        </w:rPr>
        <w:t>These provisions present a stark contrast to the measures adopted by the Victorian and Queensland Governments. Under the Victorian provisions discussed in Part 1 above, t</w:t>
      </w:r>
      <w:r w:rsidRPr="00335FD4">
        <w:rPr>
          <w:rFonts w:ascii="Book Antiqua" w:eastAsia="Times New Roman" w:hAnsi="Book Antiqua" w:cs="Arial"/>
          <w:bCs/>
          <w:color w:val="000000" w:themeColor="text1"/>
          <w:lang w:eastAsia="en-AU"/>
        </w:rPr>
        <w:t>he Act presents a strict definition of “short-stay accommodation arrangement(s)”, to include any lease or licence granted for a maximum period of 7 days and 6 nights.</w:t>
      </w:r>
      <w:r w:rsidRPr="00335FD4">
        <w:rPr>
          <w:rStyle w:val="FootnoteReference"/>
          <w:rFonts w:ascii="Book Antiqua" w:eastAsia="Times New Roman" w:hAnsi="Book Antiqua" w:cs="Arial"/>
          <w:bCs/>
          <w:color w:val="000000" w:themeColor="text1"/>
          <w:lang w:eastAsia="en-AU"/>
        </w:rPr>
        <w:footnoteReference w:id="30"/>
      </w:r>
      <w:r w:rsidRPr="00335FD4">
        <w:rPr>
          <w:rFonts w:ascii="Book Antiqua" w:eastAsia="Times New Roman" w:hAnsi="Book Antiqua" w:cs="Arial"/>
          <w:bCs/>
          <w:color w:val="000000" w:themeColor="text1"/>
          <w:lang w:eastAsia="en-AU"/>
        </w:rPr>
        <w:t xml:space="preserve"> Similarly, the Queensland Government </w:t>
      </w:r>
      <w:r w:rsidRPr="00335FD4">
        <w:rPr>
          <w:rFonts w:ascii="Book Antiqua" w:hAnsi="Book Antiqua"/>
          <w:color w:val="000000" w:themeColor="text1"/>
        </w:rPr>
        <w:t xml:space="preserve">passed amendments to its </w:t>
      </w:r>
      <w:r w:rsidRPr="00335FD4">
        <w:rPr>
          <w:rFonts w:ascii="Book Antiqua" w:hAnsi="Book Antiqua"/>
          <w:i/>
          <w:iCs/>
          <w:color w:val="000000" w:themeColor="text1"/>
        </w:rPr>
        <w:t>Sustainable Planning Act 2009</w:t>
      </w:r>
      <w:r w:rsidRPr="00335FD4">
        <w:rPr>
          <w:rFonts w:ascii="Book Antiqua" w:hAnsi="Book Antiqua"/>
          <w:color w:val="000000" w:themeColor="text1"/>
        </w:rPr>
        <w:t xml:space="preserve"> (Qld), to introduce measures targeting so-called ‘party houses’. The new Pt 7A to the </w:t>
      </w:r>
      <w:r w:rsidRPr="00335FD4">
        <w:rPr>
          <w:rFonts w:ascii="Book Antiqua" w:hAnsi="Book Antiqua"/>
          <w:i/>
          <w:iCs/>
          <w:color w:val="000000" w:themeColor="text1"/>
        </w:rPr>
        <w:t>Sustainable Planning Act 2009</w:t>
      </w:r>
      <w:r w:rsidRPr="00335FD4">
        <w:rPr>
          <w:rFonts w:ascii="Book Antiqua" w:hAnsi="Book Antiqua"/>
          <w:color w:val="000000" w:themeColor="text1"/>
        </w:rPr>
        <w:t xml:space="preserve"> (Qld), defines a ‘party house’ as any premise not occupied by the owner, which is </w:t>
      </w:r>
      <w:r w:rsidRPr="00335FD4">
        <w:rPr>
          <w:rFonts w:ascii="Book Antiqua" w:hAnsi="Book Antiqua"/>
          <w:color w:val="000000"/>
        </w:rPr>
        <w:t>‘regularly used by guests for parties, including, for example, bucks’ nights, hens’ nights, raves, wedding receptions or similar parties’,</w:t>
      </w:r>
      <w:r w:rsidRPr="00335FD4">
        <w:rPr>
          <w:rStyle w:val="FootnoteReference"/>
          <w:rFonts w:ascii="Book Antiqua" w:hAnsi="Book Antiqua"/>
          <w:color w:val="000000"/>
        </w:rPr>
        <w:footnoteReference w:id="31"/>
      </w:r>
      <w:r w:rsidRPr="00335FD4">
        <w:rPr>
          <w:rFonts w:ascii="Book Antiqua" w:hAnsi="Book Antiqua"/>
          <w:color w:val="000000"/>
        </w:rPr>
        <w:t xml:space="preserve"> which are provided for a period of less than 10 days and for a fee.</w:t>
      </w:r>
      <w:r w:rsidRPr="00335FD4">
        <w:rPr>
          <w:rStyle w:val="FootnoteReference"/>
          <w:rFonts w:ascii="Book Antiqua" w:hAnsi="Book Antiqua"/>
          <w:color w:val="000000"/>
        </w:rPr>
        <w:footnoteReference w:id="32"/>
      </w:r>
      <w:r w:rsidR="00E25A92">
        <w:rPr>
          <w:rFonts w:ascii="Book Antiqua" w:hAnsi="Book Antiqua"/>
          <w:color w:val="000000"/>
        </w:rPr>
        <w:t xml:space="preserve"> </w:t>
      </w:r>
      <w:r w:rsidRPr="00335FD4">
        <w:rPr>
          <w:rFonts w:ascii="Book Antiqua" w:hAnsi="Book Antiqua"/>
          <w:color w:val="000000" w:themeColor="text1"/>
        </w:rPr>
        <w:t xml:space="preserve">The new laws require an owner of a ‘party house’ to first obtain the approval of their local council before providing their property for use in such a way. Interestingly, these provisions operate on an opt-in basis, </w:t>
      </w:r>
      <w:r w:rsidRPr="00335FD4">
        <w:rPr>
          <w:rFonts w:ascii="Book Antiqua" w:hAnsi="Book Antiqua"/>
          <w:color w:val="000000"/>
        </w:rPr>
        <w:t>whereby the relevant local council has the option to amend their planning scheme under ‘</w:t>
      </w:r>
      <w:r w:rsidR="008F74AA">
        <w:rPr>
          <w:rFonts w:ascii="Book Antiqua" w:eastAsia="Times New Roman" w:hAnsi="Book Antiqua"/>
        </w:rPr>
        <w:t>s</w:t>
      </w:r>
      <w:r w:rsidRPr="00335FD4">
        <w:rPr>
          <w:rFonts w:ascii="Book Antiqua" w:eastAsia="Times New Roman" w:hAnsi="Book Antiqua"/>
        </w:rPr>
        <w:t>tatutory guideline 04/14</w:t>
      </w:r>
      <w:r w:rsidR="008F74AA">
        <w:rPr>
          <w:rFonts w:ascii="Book Antiqua" w:eastAsia="Times New Roman" w:hAnsi="Book Antiqua"/>
        </w:rPr>
        <w:t xml:space="preserve">: </w:t>
      </w:r>
      <w:r w:rsidRPr="00335FD4">
        <w:rPr>
          <w:rFonts w:ascii="Book Antiqua" w:eastAsia="Times New Roman" w:hAnsi="Book Antiqua"/>
        </w:rPr>
        <w:t>Making and amending local planning instruments’ (MALPI) to include such provisions. Alternatively, a Local Council can elect to make a temporary local planning instrument under the MALPI, providing for such provisions with an option for the Council to engage in a public consultation process.</w:t>
      </w:r>
      <w:r w:rsidRPr="00335FD4">
        <w:rPr>
          <w:rStyle w:val="FootnoteReference"/>
          <w:rFonts w:ascii="Book Antiqua" w:eastAsia="Times New Roman" w:hAnsi="Book Antiqua"/>
        </w:rPr>
        <w:footnoteReference w:id="33"/>
      </w:r>
    </w:p>
    <w:p w14:paraId="5FD892D0" w14:textId="77777777" w:rsidR="00611F82" w:rsidRPr="00335FD4" w:rsidRDefault="00611F82" w:rsidP="002E6895">
      <w:pPr>
        <w:widowControl w:val="0"/>
        <w:autoSpaceDE w:val="0"/>
        <w:autoSpaceDN w:val="0"/>
        <w:adjustRightInd w:val="0"/>
        <w:jc w:val="both"/>
        <w:rPr>
          <w:rFonts w:ascii="Book Antiqua" w:eastAsia="Times New Roman" w:hAnsi="Book Antiqua"/>
        </w:rPr>
      </w:pPr>
    </w:p>
    <w:p w14:paraId="128526EF" w14:textId="77777777" w:rsidR="00F52420" w:rsidRPr="00335FD4" w:rsidRDefault="002F615D" w:rsidP="002F615D">
      <w:pPr>
        <w:widowControl w:val="0"/>
        <w:autoSpaceDE w:val="0"/>
        <w:autoSpaceDN w:val="0"/>
        <w:adjustRightInd w:val="0"/>
        <w:jc w:val="both"/>
        <w:rPr>
          <w:rFonts w:ascii="Book Antiqua" w:eastAsia="Times New Roman" w:hAnsi="Book Antiqua"/>
        </w:rPr>
      </w:pPr>
      <w:r w:rsidRPr="00335FD4">
        <w:rPr>
          <w:rFonts w:ascii="Book Antiqua" w:eastAsia="Times New Roman" w:hAnsi="Book Antiqua"/>
        </w:rPr>
        <w:t>The classification that is ultimately adopted for the purposes of planning laws is crucial to the effective regulation of short-term letting. A poorly defined term, or inappropriate parameters are of little to no assistance to planning authorities and home owners seeking clarity on</w:t>
      </w:r>
      <w:r w:rsidR="00557AE6">
        <w:rPr>
          <w:rFonts w:ascii="Book Antiqua" w:eastAsia="Times New Roman" w:hAnsi="Book Antiqua"/>
        </w:rPr>
        <w:t xml:space="preserve"> the</w:t>
      </w:r>
      <w:r w:rsidRPr="00335FD4">
        <w:rPr>
          <w:rFonts w:ascii="Book Antiqua" w:eastAsia="Times New Roman" w:hAnsi="Book Antiqua"/>
        </w:rPr>
        <w:t xml:space="preserve"> legality </w:t>
      </w:r>
      <w:r w:rsidR="00557AE6" w:rsidRPr="00335FD4">
        <w:rPr>
          <w:rFonts w:ascii="Book Antiqua" w:eastAsia="Times New Roman" w:hAnsi="Book Antiqua"/>
        </w:rPr>
        <w:t xml:space="preserve">their </w:t>
      </w:r>
      <w:r w:rsidRPr="00335FD4">
        <w:rPr>
          <w:rFonts w:ascii="Book Antiqua" w:eastAsia="Times New Roman" w:hAnsi="Book Antiqua"/>
        </w:rPr>
        <w:t xml:space="preserve">of rental arrangements. Furthermore, as this paper will turn to consider, the scope of definition that is adopted will also impact upon the extent to which planning authorities may require or consent to development approval applications.  </w:t>
      </w:r>
    </w:p>
    <w:p w14:paraId="19334B7C" w14:textId="77777777" w:rsidR="009C36F7" w:rsidRPr="00335FD4" w:rsidRDefault="009C36F7" w:rsidP="002F615D">
      <w:pPr>
        <w:widowControl w:val="0"/>
        <w:autoSpaceDE w:val="0"/>
        <w:autoSpaceDN w:val="0"/>
        <w:adjustRightInd w:val="0"/>
        <w:jc w:val="both"/>
        <w:rPr>
          <w:rFonts w:ascii="Book Antiqua" w:hAnsi="Book Antiqua"/>
          <w:color w:val="000000" w:themeColor="text1"/>
        </w:rPr>
      </w:pPr>
    </w:p>
    <w:p w14:paraId="5FE39169" w14:textId="77777777" w:rsidR="00F5574F" w:rsidRPr="00335FD4" w:rsidRDefault="00F52420" w:rsidP="00F5574F">
      <w:pPr>
        <w:jc w:val="center"/>
        <w:rPr>
          <w:rFonts w:ascii="Book Antiqua" w:hAnsi="Book Antiqua"/>
          <w:b/>
          <w:smallCaps/>
          <w:color w:val="000000" w:themeColor="text1"/>
          <w:lang w:val="en-AU"/>
        </w:rPr>
      </w:pPr>
      <w:r w:rsidRPr="00335FD4">
        <w:rPr>
          <w:rFonts w:ascii="Book Antiqua" w:hAnsi="Book Antiqua"/>
          <w:b/>
          <w:smallCaps/>
          <w:color w:val="000000" w:themeColor="text1"/>
          <w:lang w:val="en-AU"/>
        </w:rPr>
        <w:t>B</w:t>
      </w:r>
      <w:r w:rsidR="00F5574F" w:rsidRPr="00335FD4">
        <w:rPr>
          <w:rFonts w:ascii="Book Antiqua" w:hAnsi="Book Antiqua"/>
          <w:b/>
          <w:smallCaps/>
          <w:color w:val="000000" w:themeColor="text1"/>
          <w:lang w:val="en-AU"/>
        </w:rPr>
        <w:t xml:space="preserve"> </w:t>
      </w:r>
      <w:r w:rsidR="002F615D" w:rsidRPr="00335FD4">
        <w:rPr>
          <w:rFonts w:ascii="Book Antiqua" w:hAnsi="Book Antiqua"/>
          <w:b/>
          <w:i/>
          <w:color w:val="000000" w:themeColor="text1"/>
          <w:lang w:val="en-AU"/>
        </w:rPr>
        <w:t>A need for</w:t>
      </w:r>
      <w:r w:rsidR="00F5574F" w:rsidRPr="00335FD4">
        <w:rPr>
          <w:rFonts w:ascii="Book Antiqua" w:hAnsi="Book Antiqua"/>
          <w:b/>
          <w:i/>
          <w:color w:val="000000" w:themeColor="text1"/>
          <w:lang w:val="en-AU"/>
        </w:rPr>
        <w:t xml:space="preserve"> Development Approval</w:t>
      </w:r>
      <w:r w:rsidR="002F615D" w:rsidRPr="00335FD4">
        <w:rPr>
          <w:rFonts w:ascii="Book Antiqua" w:hAnsi="Book Antiqua"/>
          <w:b/>
          <w:i/>
          <w:color w:val="000000" w:themeColor="text1"/>
          <w:lang w:val="en-AU"/>
        </w:rPr>
        <w:t>?</w:t>
      </w:r>
    </w:p>
    <w:p w14:paraId="384E6048" w14:textId="77777777" w:rsidR="00F5574F" w:rsidRPr="00335FD4" w:rsidRDefault="00F5574F" w:rsidP="009C5712">
      <w:pPr>
        <w:jc w:val="both"/>
        <w:rPr>
          <w:rFonts w:ascii="Book Antiqua" w:hAnsi="Book Antiqua"/>
          <w:b/>
          <w:smallCaps/>
          <w:color w:val="000000" w:themeColor="text1"/>
          <w:lang w:val="en-AU"/>
        </w:rPr>
      </w:pPr>
    </w:p>
    <w:p w14:paraId="31D07CA7" w14:textId="77777777" w:rsidR="00E276CA" w:rsidRPr="00335FD4" w:rsidRDefault="00E276CA" w:rsidP="009C5712">
      <w:pPr>
        <w:jc w:val="both"/>
        <w:rPr>
          <w:rFonts w:ascii="Book Antiqua" w:hAnsi="Book Antiqua"/>
          <w:b/>
          <w:smallCaps/>
          <w:color w:val="000000" w:themeColor="text1"/>
          <w:lang w:val="en-AU"/>
        </w:rPr>
      </w:pPr>
      <w:r w:rsidRPr="00335FD4">
        <w:rPr>
          <w:rFonts w:ascii="Book Antiqua" w:eastAsia="Times New Roman" w:hAnsi="Book Antiqua"/>
          <w:color w:val="000000" w:themeColor="text1"/>
        </w:rPr>
        <w:t xml:space="preserve">A key concern raised by the </w:t>
      </w:r>
      <w:r w:rsidR="00770AD6" w:rsidRPr="00335FD4">
        <w:rPr>
          <w:rFonts w:ascii="Book Antiqua" w:eastAsia="Times New Roman" w:hAnsi="Book Antiqua"/>
          <w:color w:val="000000" w:themeColor="text1"/>
        </w:rPr>
        <w:t>rapid expansion</w:t>
      </w:r>
      <w:r w:rsidRPr="00335FD4">
        <w:rPr>
          <w:rFonts w:ascii="Book Antiqua" w:eastAsia="Times New Roman" w:hAnsi="Book Antiqua"/>
          <w:color w:val="000000" w:themeColor="text1"/>
        </w:rPr>
        <w:t xml:space="preserve"> of the short-term rental market is how to </w:t>
      </w:r>
      <w:r w:rsidR="007E4FF7" w:rsidRPr="00335FD4">
        <w:rPr>
          <w:rFonts w:ascii="Book Antiqua" w:eastAsia="Times New Roman" w:hAnsi="Book Antiqua"/>
          <w:color w:val="000000" w:themeColor="text1"/>
        </w:rPr>
        <w:t xml:space="preserve">best </w:t>
      </w:r>
      <w:r w:rsidRPr="00335FD4">
        <w:rPr>
          <w:rFonts w:ascii="Book Antiqua" w:eastAsia="Times New Roman" w:hAnsi="Book Antiqua"/>
          <w:color w:val="000000" w:themeColor="text1"/>
        </w:rPr>
        <w:t>regulate</w:t>
      </w:r>
      <w:r w:rsidR="007E4FF7" w:rsidRPr="00335FD4">
        <w:rPr>
          <w:rFonts w:ascii="Book Antiqua" w:eastAsia="Times New Roman" w:hAnsi="Book Antiqua"/>
          <w:color w:val="000000" w:themeColor="text1"/>
        </w:rPr>
        <w:t xml:space="preserve"> a practice whi</w:t>
      </w:r>
      <w:r w:rsidR="00C139FD" w:rsidRPr="00335FD4">
        <w:rPr>
          <w:rFonts w:ascii="Book Antiqua" w:eastAsia="Times New Roman" w:hAnsi="Book Antiqua"/>
          <w:color w:val="000000" w:themeColor="text1"/>
        </w:rPr>
        <w:t>ch can have the effect of changing</w:t>
      </w:r>
      <w:r w:rsidR="007E4FF7" w:rsidRPr="00335FD4">
        <w:rPr>
          <w:rFonts w:ascii="Book Antiqua" w:eastAsia="Times New Roman" w:hAnsi="Book Antiqua"/>
          <w:color w:val="000000" w:themeColor="text1"/>
        </w:rPr>
        <w:t xml:space="preserve"> a property’s use and </w:t>
      </w:r>
      <w:r w:rsidR="007E4FF7" w:rsidRPr="00335FD4">
        <w:rPr>
          <w:rFonts w:ascii="Book Antiqua" w:eastAsia="Times New Roman" w:hAnsi="Book Antiqua"/>
          <w:color w:val="000000" w:themeColor="text1"/>
        </w:rPr>
        <w:lastRenderedPageBreak/>
        <w:t>character.</w:t>
      </w:r>
      <w:r w:rsidRPr="00335FD4">
        <w:rPr>
          <w:rFonts w:ascii="Book Antiqua" w:eastAsia="Times New Roman" w:hAnsi="Book Antiqua"/>
          <w:color w:val="000000" w:themeColor="text1"/>
        </w:rPr>
        <w:t xml:space="preserve"> </w:t>
      </w:r>
      <w:r w:rsidR="007E4FF7" w:rsidRPr="00335FD4">
        <w:rPr>
          <w:rFonts w:ascii="Book Antiqua" w:eastAsia="Times New Roman" w:hAnsi="Book Antiqua"/>
          <w:color w:val="000000" w:themeColor="text1"/>
        </w:rPr>
        <w:t xml:space="preserve">As this paper will discuss, solutions adopted in some foreign jurisdictions have taken a flexible approach, </w:t>
      </w:r>
      <w:r w:rsidR="007E4FF7" w:rsidRPr="00335FD4">
        <w:rPr>
          <w:rFonts w:ascii="Book Antiqua" w:hAnsi="Book Antiqua"/>
          <w:color w:val="000000" w:themeColor="text1"/>
        </w:rPr>
        <w:t xml:space="preserve">providing a clear regulatory framework as a comfort to existing businesses and home owners, while also allowing consumers a greater freedom of choice in how to monetise an otherwise underutilized asset.  </w:t>
      </w:r>
    </w:p>
    <w:p w14:paraId="264AEBFC" w14:textId="77777777" w:rsidR="005A1D8F" w:rsidRPr="00335FD4" w:rsidRDefault="005A1D8F" w:rsidP="005A1D8F">
      <w:pPr>
        <w:rPr>
          <w:rFonts w:ascii="Book Antiqua" w:hAnsi="Book Antiqua"/>
          <w:b/>
          <w:smallCaps/>
          <w:color w:val="000000" w:themeColor="text1"/>
          <w:lang w:val="en-AU"/>
        </w:rPr>
      </w:pPr>
    </w:p>
    <w:p w14:paraId="234BE9CE" w14:textId="77777777" w:rsidR="005A1D8F" w:rsidRPr="00335FD4" w:rsidRDefault="005A1D8F" w:rsidP="005A1D8F">
      <w:pPr>
        <w:rPr>
          <w:rFonts w:ascii="Book Antiqua" w:hAnsi="Book Antiqua"/>
          <w:b/>
          <w:i/>
          <w:color w:val="000000" w:themeColor="text1"/>
          <w:lang w:val="en-AU"/>
        </w:rPr>
      </w:pPr>
      <w:r w:rsidRPr="00335FD4">
        <w:rPr>
          <w:rFonts w:ascii="Book Antiqua" w:hAnsi="Book Antiqua"/>
          <w:b/>
          <w:smallCaps/>
          <w:color w:val="000000" w:themeColor="text1"/>
          <w:lang w:val="en-AU"/>
        </w:rPr>
        <w:t>1</w:t>
      </w:r>
      <w:r w:rsidRPr="00335FD4">
        <w:rPr>
          <w:rFonts w:ascii="Book Antiqua" w:hAnsi="Book Antiqua"/>
          <w:b/>
          <w:i/>
          <w:color w:val="000000" w:themeColor="text1"/>
          <w:lang w:val="en-AU"/>
        </w:rPr>
        <w:t xml:space="preserve"> A flexible approach? </w:t>
      </w:r>
    </w:p>
    <w:p w14:paraId="325553B6" w14:textId="77777777" w:rsidR="009C5712" w:rsidRPr="00335FD4" w:rsidRDefault="009C5712" w:rsidP="003F76F4">
      <w:pPr>
        <w:rPr>
          <w:rFonts w:ascii="Book Antiqua" w:hAnsi="Book Antiqua"/>
          <w:b/>
          <w:smallCaps/>
          <w:color w:val="000000" w:themeColor="text1"/>
          <w:lang w:val="en-AU"/>
        </w:rPr>
      </w:pPr>
    </w:p>
    <w:p w14:paraId="0E7938B9" w14:textId="77777777" w:rsidR="005A1D8F" w:rsidRPr="00335FD4" w:rsidRDefault="005A1D8F" w:rsidP="005A1D8F">
      <w:pPr>
        <w:jc w:val="both"/>
        <w:rPr>
          <w:rFonts w:ascii="Book Antiqua" w:hAnsi="Book Antiqua"/>
          <w:color w:val="000000" w:themeColor="text1"/>
        </w:rPr>
      </w:pPr>
      <w:r w:rsidRPr="00335FD4">
        <w:rPr>
          <w:rFonts w:ascii="Book Antiqua" w:hAnsi="Book Antiqua"/>
          <w:color w:val="000000" w:themeColor="text1"/>
        </w:rPr>
        <w:t xml:space="preserve">In 2015 the UK Parliament passed the </w:t>
      </w:r>
      <w:r w:rsidRPr="00335FD4">
        <w:rPr>
          <w:rFonts w:ascii="Book Antiqua" w:hAnsi="Book Antiqua"/>
          <w:i/>
          <w:color w:val="000000" w:themeColor="text1"/>
        </w:rPr>
        <w:t xml:space="preserve">Deregulation Act 2015 </w:t>
      </w:r>
      <w:r w:rsidRPr="00335FD4">
        <w:rPr>
          <w:rFonts w:ascii="Book Antiqua" w:hAnsi="Book Antiqua"/>
          <w:color w:val="000000" w:themeColor="text1"/>
        </w:rPr>
        <w:t>(UK)</w:t>
      </w:r>
      <w:r w:rsidRPr="00335FD4">
        <w:rPr>
          <w:rFonts w:ascii="Book Antiqua" w:hAnsi="Book Antiqua"/>
          <w:i/>
          <w:color w:val="000000" w:themeColor="text1"/>
        </w:rPr>
        <w:t xml:space="preserve"> </w:t>
      </w:r>
      <w:r w:rsidRPr="00335FD4">
        <w:rPr>
          <w:rFonts w:ascii="Book Antiqua" w:hAnsi="Book Antiqua"/>
          <w:color w:val="000000" w:themeColor="text1"/>
        </w:rPr>
        <w:t>in response to the need for clarity on the question of short-term letting.</w:t>
      </w:r>
      <w:r w:rsidRPr="00335FD4">
        <w:rPr>
          <w:rStyle w:val="FootnoteReference"/>
          <w:rFonts w:ascii="Book Antiqua" w:hAnsi="Book Antiqua"/>
          <w:color w:val="000000" w:themeColor="text1"/>
        </w:rPr>
        <w:footnoteReference w:id="34"/>
      </w:r>
      <w:r w:rsidRPr="00335FD4">
        <w:rPr>
          <w:rFonts w:ascii="Book Antiqua" w:hAnsi="Book Antiqua"/>
          <w:color w:val="000000" w:themeColor="text1"/>
        </w:rPr>
        <w:t xml:space="preserve"> The Act amends the </w:t>
      </w:r>
      <w:r w:rsidRPr="00335FD4">
        <w:rPr>
          <w:rFonts w:ascii="Book Antiqua" w:hAnsi="Book Antiqua"/>
          <w:i/>
        </w:rPr>
        <w:t xml:space="preserve">Greater London Council (General Powers) Act 1973 </w:t>
      </w:r>
      <w:r w:rsidRPr="00335FD4">
        <w:rPr>
          <w:rFonts w:ascii="Book Antiqua" w:hAnsi="Book Antiqua"/>
        </w:rPr>
        <w:t>(UK)</w:t>
      </w:r>
      <w:r w:rsidRPr="00335FD4">
        <w:rPr>
          <w:rFonts w:ascii="Book Antiqua" w:hAnsi="Book Antiqua"/>
          <w:i/>
        </w:rPr>
        <w:t xml:space="preserve"> </w:t>
      </w:r>
      <w:r w:rsidRPr="00335FD4">
        <w:rPr>
          <w:rFonts w:ascii="Book Antiqua" w:hAnsi="Book Antiqua"/>
        </w:rPr>
        <w:t>which, at present, requires permission</w:t>
      </w:r>
      <w:r w:rsidRPr="00335FD4">
        <w:rPr>
          <w:rFonts w:ascii="Book Antiqua" w:hAnsi="Book Antiqua"/>
          <w:i/>
        </w:rPr>
        <w:t xml:space="preserve"> </w:t>
      </w:r>
      <w:r w:rsidRPr="00335FD4">
        <w:rPr>
          <w:rFonts w:ascii="Book Antiqua" w:hAnsi="Book Antiqua"/>
        </w:rPr>
        <w:t>for any ‘material change of use’ of a property.</w:t>
      </w:r>
      <w:r w:rsidRPr="00335FD4">
        <w:rPr>
          <w:rStyle w:val="FootnoteReference"/>
          <w:rFonts w:ascii="Book Antiqua" w:hAnsi="Book Antiqua"/>
        </w:rPr>
        <w:footnoteReference w:id="35"/>
      </w:r>
      <w:r w:rsidRPr="00335FD4">
        <w:rPr>
          <w:rFonts w:ascii="Book Antiqua" w:hAnsi="Book Antiqua"/>
        </w:rPr>
        <w:t xml:space="preserve"> The newly inserted s 25A provides </w:t>
      </w:r>
      <w:r w:rsidRPr="00335FD4">
        <w:rPr>
          <w:rFonts w:ascii="Book Antiqua" w:hAnsi="Book Antiqua"/>
          <w:color w:val="000000" w:themeColor="text1"/>
        </w:rPr>
        <w:t>that the use of residential properties for short-term letting or holiday accommodation will not automatically require permission as a ‘material change of use’.</w:t>
      </w:r>
      <w:r w:rsidRPr="00335FD4">
        <w:rPr>
          <w:rStyle w:val="FootnoteReference"/>
          <w:rFonts w:ascii="Book Antiqua" w:hAnsi="Book Antiqua"/>
          <w:color w:val="000000" w:themeColor="text1"/>
        </w:rPr>
        <w:footnoteReference w:id="36"/>
      </w:r>
      <w:r w:rsidRPr="00335FD4">
        <w:rPr>
          <w:rFonts w:ascii="Book Antiqua" w:hAnsi="Book Antiqua"/>
          <w:color w:val="000000" w:themeColor="text1"/>
        </w:rPr>
        <w:t xml:space="preserve"> This exception will allo</w:t>
      </w:r>
      <w:r w:rsidR="005A638A" w:rsidRPr="00335FD4">
        <w:rPr>
          <w:rFonts w:ascii="Book Antiqua" w:hAnsi="Book Antiqua"/>
          <w:color w:val="000000" w:themeColor="text1"/>
        </w:rPr>
        <w:t>w for any residential property</w:t>
      </w:r>
      <w:r w:rsidRPr="00335FD4">
        <w:rPr>
          <w:rFonts w:ascii="Book Antiqua" w:hAnsi="Book Antiqua"/>
          <w:color w:val="000000" w:themeColor="text1"/>
        </w:rPr>
        <w:t xml:space="preserve"> to be used as </w:t>
      </w:r>
      <w:r w:rsidR="005A638A" w:rsidRPr="00335FD4">
        <w:rPr>
          <w:rFonts w:ascii="Book Antiqua" w:hAnsi="Book Antiqua"/>
          <w:color w:val="000000" w:themeColor="text1"/>
        </w:rPr>
        <w:t>a short-term rental</w:t>
      </w:r>
      <w:r w:rsidRPr="00335FD4">
        <w:rPr>
          <w:rFonts w:ascii="Book Antiqua" w:hAnsi="Book Antiqua"/>
          <w:color w:val="000000" w:themeColor="text1"/>
        </w:rPr>
        <w:t xml:space="preserve"> for a period of up to 90 days before the need for approval </w:t>
      </w:r>
      <w:r w:rsidR="005A638A" w:rsidRPr="00335FD4">
        <w:rPr>
          <w:rFonts w:ascii="Book Antiqua" w:hAnsi="Book Antiqua"/>
          <w:color w:val="000000" w:themeColor="text1"/>
        </w:rPr>
        <w:t>will arise</w:t>
      </w:r>
      <w:r w:rsidRPr="00335FD4">
        <w:rPr>
          <w:rFonts w:ascii="Book Antiqua" w:hAnsi="Book Antiqua"/>
          <w:color w:val="000000" w:themeColor="text1"/>
        </w:rPr>
        <w:t xml:space="preserve">. </w:t>
      </w:r>
    </w:p>
    <w:p w14:paraId="5B81CF3F" w14:textId="77777777" w:rsidR="005A1D8F" w:rsidRPr="00335FD4" w:rsidRDefault="005A1D8F" w:rsidP="005A1D8F">
      <w:pPr>
        <w:rPr>
          <w:rFonts w:ascii="Book Antiqua" w:hAnsi="Book Antiqua"/>
          <w:b/>
          <w:color w:val="000000" w:themeColor="text1"/>
        </w:rPr>
      </w:pPr>
    </w:p>
    <w:p w14:paraId="1DF88D03" w14:textId="77777777" w:rsidR="005A1D8F" w:rsidRPr="00335FD4" w:rsidRDefault="005A1D8F" w:rsidP="005A1D8F">
      <w:pPr>
        <w:widowControl w:val="0"/>
        <w:autoSpaceDE w:val="0"/>
        <w:autoSpaceDN w:val="0"/>
        <w:adjustRightInd w:val="0"/>
        <w:jc w:val="both"/>
        <w:rPr>
          <w:rFonts w:ascii="Book Antiqua" w:hAnsi="Book Antiqua"/>
          <w:color w:val="000000" w:themeColor="text1"/>
        </w:rPr>
      </w:pPr>
      <w:r w:rsidRPr="00335FD4">
        <w:rPr>
          <w:rFonts w:ascii="Book Antiqua" w:hAnsi="Book Antiqua"/>
          <w:color w:val="000000" w:themeColor="text1"/>
        </w:rPr>
        <w:t xml:space="preserve">The French Government has enacted provisions which extend a tenant or home owner’s right to let their property for an even longer period than that provided for by the UK Government. The </w:t>
      </w:r>
      <w:r w:rsidRPr="00335FD4">
        <w:rPr>
          <w:rFonts w:ascii="Book Antiqua" w:hAnsi="Book Antiqua"/>
          <w:i/>
          <w:color w:val="000000" w:themeColor="text1"/>
        </w:rPr>
        <w:t>Access to Housing and Renovated Town Planning law</w:t>
      </w:r>
      <w:r w:rsidRPr="00335FD4">
        <w:rPr>
          <w:rFonts w:ascii="Book Antiqua" w:hAnsi="Book Antiqua"/>
          <w:color w:val="000000" w:themeColor="text1"/>
        </w:rPr>
        <w:t xml:space="preserve"> was passed by the French Government on 24 May 2014.</w:t>
      </w:r>
      <w:r w:rsidRPr="00335FD4">
        <w:rPr>
          <w:rStyle w:val="FootnoteReference"/>
          <w:rFonts w:ascii="Book Antiqua" w:hAnsi="Book Antiqua"/>
          <w:color w:val="000000" w:themeColor="text1"/>
        </w:rPr>
        <w:footnoteReference w:id="37"/>
      </w:r>
      <w:r w:rsidRPr="00335FD4">
        <w:rPr>
          <w:rFonts w:ascii="Book Antiqua" w:hAnsi="Book Antiqua"/>
          <w:color w:val="000000" w:themeColor="text1"/>
        </w:rPr>
        <w:t xml:space="preserve"> The law clarified the </w:t>
      </w:r>
      <w:r w:rsidR="009F7FE8" w:rsidRPr="00335FD4">
        <w:rPr>
          <w:rFonts w:ascii="Book Antiqua" w:hAnsi="Book Antiqua"/>
          <w:color w:val="000000" w:themeColor="text1"/>
        </w:rPr>
        <w:t xml:space="preserve">scope </w:t>
      </w:r>
      <w:r w:rsidRPr="00335FD4">
        <w:rPr>
          <w:rFonts w:ascii="Book Antiqua" w:hAnsi="Book Antiqua"/>
          <w:color w:val="000000" w:themeColor="text1"/>
        </w:rPr>
        <w:t xml:space="preserve">of the </w:t>
      </w:r>
      <w:r w:rsidRPr="00335FD4">
        <w:rPr>
          <w:rFonts w:ascii="Book Antiqua" w:hAnsi="Book Antiqua"/>
          <w:i/>
          <w:color w:val="000000" w:themeColor="text1"/>
        </w:rPr>
        <w:t>Law of 1989</w:t>
      </w:r>
      <w:r w:rsidRPr="00335FD4">
        <w:rPr>
          <w:rFonts w:ascii="Book Antiqua" w:hAnsi="Book Antiqua"/>
          <w:color w:val="000000" w:themeColor="text1"/>
        </w:rPr>
        <w:t xml:space="preserve"> (Art 2),</w:t>
      </w:r>
      <w:r w:rsidRPr="00335FD4">
        <w:rPr>
          <w:rStyle w:val="FootnoteReference"/>
          <w:rFonts w:ascii="Book Antiqua" w:hAnsi="Book Antiqua"/>
          <w:color w:val="000000" w:themeColor="text1"/>
        </w:rPr>
        <w:t xml:space="preserve"> </w:t>
      </w:r>
      <w:r w:rsidRPr="00335FD4">
        <w:rPr>
          <w:rStyle w:val="FootnoteReference"/>
          <w:rFonts w:ascii="Book Antiqua" w:hAnsi="Book Antiqua"/>
          <w:color w:val="000000" w:themeColor="text1"/>
        </w:rPr>
        <w:footnoteReference w:id="38"/>
      </w:r>
      <w:r w:rsidRPr="00335FD4">
        <w:rPr>
          <w:rFonts w:ascii="Book Antiqua" w:hAnsi="Book Antiqua"/>
          <w:color w:val="000000" w:themeColor="text1"/>
        </w:rPr>
        <w:t xml:space="preserve"> which </w:t>
      </w:r>
      <w:r w:rsidR="009F7FE8" w:rsidRPr="00335FD4">
        <w:rPr>
          <w:rFonts w:ascii="Book Antiqua" w:hAnsi="Book Antiqua"/>
          <w:color w:val="000000" w:themeColor="text1"/>
        </w:rPr>
        <w:t>had previously only</w:t>
      </w:r>
      <w:r w:rsidRPr="00335FD4">
        <w:rPr>
          <w:rFonts w:ascii="Book Antiqua" w:hAnsi="Book Antiqua"/>
          <w:color w:val="000000" w:themeColor="text1"/>
        </w:rPr>
        <w:t xml:space="preserve"> applied to the ‘main residential use’ of a property. The new law has modified its operation to provide that </w:t>
      </w:r>
      <w:r w:rsidR="009F7FE8" w:rsidRPr="00335FD4">
        <w:rPr>
          <w:rFonts w:ascii="Book Antiqua" w:hAnsi="Book Antiqua"/>
          <w:color w:val="000000" w:themeColor="text1"/>
        </w:rPr>
        <w:t>it will regulate the use of any</w:t>
      </w:r>
      <w:r w:rsidRPr="00335FD4">
        <w:rPr>
          <w:rFonts w:ascii="Book Antiqua" w:hAnsi="Book Antiqua"/>
          <w:color w:val="000000" w:themeColor="text1"/>
        </w:rPr>
        <w:t xml:space="preserve"> relevant property</w:t>
      </w:r>
      <w:r w:rsidR="009F7FE8" w:rsidRPr="00335FD4">
        <w:rPr>
          <w:rFonts w:ascii="Book Antiqua" w:hAnsi="Book Antiqua"/>
          <w:color w:val="000000" w:themeColor="text1"/>
        </w:rPr>
        <w:t xml:space="preserve"> so long as it is</w:t>
      </w:r>
      <w:r w:rsidRPr="00335FD4">
        <w:rPr>
          <w:rFonts w:ascii="Book Antiqua" w:hAnsi="Book Antiqua"/>
          <w:color w:val="000000" w:themeColor="text1"/>
        </w:rPr>
        <w:t xml:space="preserve"> </w:t>
      </w:r>
      <w:r w:rsidR="009F7FE8" w:rsidRPr="00335FD4">
        <w:rPr>
          <w:rFonts w:ascii="Book Antiqua" w:hAnsi="Book Antiqua"/>
          <w:color w:val="000000" w:themeColor="text1"/>
        </w:rPr>
        <w:t>the</w:t>
      </w:r>
      <w:r w:rsidRPr="00335FD4">
        <w:rPr>
          <w:rFonts w:ascii="Book Antiqua" w:hAnsi="Book Antiqua"/>
          <w:color w:val="000000" w:themeColor="text1"/>
        </w:rPr>
        <w:t xml:space="preserve"> owner or lessee’s main residence – a factor which requires a residence of at least 8 months per year. The effect of this change is to permit the shared use of such properties</w:t>
      </w:r>
      <w:r w:rsidR="009F7FE8" w:rsidRPr="00335FD4">
        <w:rPr>
          <w:rFonts w:ascii="Book Antiqua" w:hAnsi="Book Antiqua"/>
          <w:color w:val="000000" w:themeColor="text1"/>
        </w:rPr>
        <w:t xml:space="preserve"> for the remaining four months of the year</w:t>
      </w:r>
      <w:r w:rsidRPr="00335FD4">
        <w:rPr>
          <w:rFonts w:ascii="Book Antiqua" w:hAnsi="Book Antiqua"/>
          <w:color w:val="000000" w:themeColor="text1"/>
        </w:rPr>
        <w:t xml:space="preserve"> without </w:t>
      </w:r>
      <w:r w:rsidR="009F7FE8" w:rsidRPr="00335FD4">
        <w:rPr>
          <w:rFonts w:ascii="Book Antiqua" w:hAnsi="Book Antiqua"/>
          <w:color w:val="000000" w:themeColor="text1"/>
        </w:rPr>
        <w:t>any</w:t>
      </w:r>
      <w:r w:rsidRPr="00335FD4">
        <w:rPr>
          <w:rFonts w:ascii="Book Antiqua" w:hAnsi="Book Antiqua"/>
          <w:color w:val="000000" w:themeColor="text1"/>
        </w:rPr>
        <w:t xml:space="preserve"> </w:t>
      </w:r>
      <w:r w:rsidR="009F7FE8" w:rsidRPr="00335FD4">
        <w:rPr>
          <w:rFonts w:ascii="Book Antiqua" w:hAnsi="Book Antiqua"/>
          <w:color w:val="000000" w:themeColor="text1"/>
        </w:rPr>
        <w:t>need</w:t>
      </w:r>
      <w:r w:rsidRPr="00335FD4">
        <w:rPr>
          <w:rFonts w:ascii="Book Antiqua" w:hAnsi="Book Antiqua"/>
          <w:color w:val="000000" w:themeColor="text1"/>
        </w:rPr>
        <w:t xml:space="preserve"> for authorisation from the relevant planning authority. </w:t>
      </w:r>
    </w:p>
    <w:p w14:paraId="63467FDC" w14:textId="77777777" w:rsidR="00DD0CA8" w:rsidRPr="00335FD4" w:rsidRDefault="00DD0CA8" w:rsidP="005A1D8F">
      <w:pPr>
        <w:widowControl w:val="0"/>
        <w:autoSpaceDE w:val="0"/>
        <w:autoSpaceDN w:val="0"/>
        <w:adjustRightInd w:val="0"/>
        <w:jc w:val="both"/>
        <w:rPr>
          <w:rFonts w:ascii="Book Antiqua" w:hAnsi="Book Antiqua"/>
          <w:color w:val="000000" w:themeColor="text1"/>
        </w:rPr>
      </w:pPr>
    </w:p>
    <w:p w14:paraId="22A3F79C" w14:textId="77777777" w:rsidR="00DD0CA8" w:rsidRPr="00335FD4" w:rsidRDefault="00DD0CA8" w:rsidP="00DD0CA8">
      <w:pPr>
        <w:rPr>
          <w:rFonts w:ascii="Book Antiqua" w:hAnsi="Book Antiqua"/>
          <w:b/>
          <w:i/>
          <w:color w:val="000000" w:themeColor="text1"/>
          <w:lang w:val="en-AU"/>
        </w:rPr>
      </w:pPr>
      <w:r w:rsidRPr="00335FD4">
        <w:rPr>
          <w:rFonts w:ascii="Book Antiqua" w:hAnsi="Book Antiqua"/>
          <w:b/>
          <w:smallCaps/>
          <w:color w:val="000000" w:themeColor="text1"/>
          <w:lang w:val="en-AU"/>
        </w:rPr>
        <w:t>2</w:t>
      </w:r>
      <w:r w:rsidRPr="00335FD4">
        <w:rPr>
          <w:rFonts w:ascii="Book Antiqua" w:hAnsi="Book Antiqua"/>
          <w:b/>
          <w:i/>
          <w:color w:val="000000" w:themeColor="text1"/>
          <w:lang w:val="en-AU"/>
        </w:rPr>
        <w:t xml:space="preserve"> A need for greater clarity </w:t>
      </w:r>
    </w:p>
    <w:p w14:paraId="075EE99A" w14:textId="77777777" w:rsidR="005A1D8F" w:rsidRPr="00335FD4" w:rsidRDefault="005A1D8F" w:rsidP="005A1D8F">
      <w:pPr>
        <w:rPr>
          <w:rFonts w:ascii="Book Antiqua" w:hAnsi="Book Antiqua"/>
          <w:color w:val="000000" w:themeColor="text1"/>
        </w:rPr>
      </w:pPr>
    </w:p>
    <w:p w14:paraId="5F3468D3" w14:textId="77777777" w:rsidR="00300F9D" w:rsidRPr="00335FD4" w:rsidRDefault="00300F9D" w:rsidP="002323FA">
      <w:pPr>
        <w:jc w:val="both"/>
        <w:rPr>
          <w:rFonts w:ascii="Book Antiqua" w:eastAsia="Times New Roman" w:hAnsi="Book Antiqua"/>
          <w:color w:val="000000" w:themeColor="text1"/>
        </w:rPr>
      </w:pPr>
      <w:r w:rsidRPr="00335FD4">
        <w:rPr>
          <w:rFonts w:ascii="Book Antiqua" w:eastAsia="Times New Roman" w:hAnsi="Book Antiqua"/>
          <w:color w:val="000000" w:themeColor="text1"/>
        </w:rPr>
        <w:t>The absence of a clear statutory definition applicable to short-term letting arrangements can cause great problems for local planning authorities</w:t>
      </w:r>
      <w:r w:rsidR="002323FA" w:rsidRPr="00335FD4">
        <w:rPr>
          <w:rFonts w:ascii="Book Antiqua" w:eastAsia="Times New Roman" w:hAnsi="Book Antiqua"/>
          <w:color w:val="000000" w:themeColor="text1"/>
        </w:rPr>
        <w:t xml:space="preserve"> in attempting to approve the use of properties in such a way</w:t>
      </w:r>
      <w:r w:rsidRPr="00335FD4">
        <w:rPr>
          <w:rFonts w:ascii="Book Antiqua" w:eastAsia="Times New Roman" w:hAnsi="Book Antiqua"/>
          <w:color w:val="000000" w:themeColor="text1"/>
        </w:rPr>
        <w:t xml:space="preserve">. For example, </w:t>
      </w:r>
      <w:r w:rsidR="002323FA" w:rsidRPr="00335FD4">
        <w:rPr>
          <w:rFonts w:ascii="Book Antiqua" w:eastAsia="Times New Roman" w:hAnsi="Book Antiqua"/>
          <w:color w:val="000000" w:themeColor="text1"/>
        </w:rPr>
        <w:t xml:space="preserve">a submission </w:t>
      </w:r>
      <w:r w:rsidRPr="00335FD4">
        <w:rPr>
          <w:rFonts w:ascii="Book Antiqua" w:eastAsia="Times New Roman" w:hAnsi="Book Antiqua"/>
          <w:color w:val="000000" w:themeColor="text1"/>
        </w:rPr>
        <w:t xml:space="preserve">received in response to the </w:t>
      </w:r>
      <w:r w:rsidR="00A066B4" w:rsidRPr="00335FD4">
        <w:rPr>
          <w:rFonts w:ascii="Book Antiqua" w:eastAsia="Times New Roman" w:hAnsi="Book Antiqua"/>
          <w:color w:val="000000" w:themeColor="text1"/>
        </w:rPr>
        <w:t xml:space="preserve">NSW </w:t>
      </w:r>
      <w:r w:rsidRPr="00335FD4">
        <w:rPr>
          <w:rFonts w:ascii="Book Antiqua" w:eastAsia="Times New Roman" w:hAnsi="Book Antiqua"/>
          <w:color w:val="000000" w:themeColor="text1"/>
        </w:rPr>
        <w:t xml:space="preserve">Parliament’s Inquiry </w:t>
      </w:r>
      <w:r w:rsidR="002323FA" w:rsidRPr="00335FD4">
        <w:rPr>
          <w:rFonts w:ascii="Book Antiqua" w:eastAsia="Times New Roman" w:hAnsi="Book Antiqua"/>
          <w:color w:val="000000" w:themeColor="text1"/>
        </w:rPr>
        <w:t xml:space="preserve">from the </w:t>
      </w:r>
      <w:r w:rsidR="00A066B4">
        <w:rPr>
          <w:rFonts w:ascii="Book Antiqua" w:eastAsia="Times New Roman" w:hAnsi="Book Antiqua"/>
          <w:color w:val="000000" w:themeColor="text1"/>
        </w:rPr>
        <w:t>City of Sydney Council</w:t>
      </w:r>
      <w:r w:rsidR="00DD0CA8" w:rsidRPr="00335FD4">
        <w:rPr>
          <w:rFonts w:ascii="Book Antiqua" w:eastAsia="Times New Roman" w:hAnsi="Book Antiqua"/>
          <w:color w:val="000000" w:themeColor="text1"/>
        </w:rPr>
        <w:t xml:space="preserve"> highlighted a key concern amongst Councils generally that</w:t>
      </w:r>
      <w:r w:rsidR="00A066B4">
        <w:rPr>
          <w:rFonts w:ascii="Book Antiqua" w:eastAsia="Times New Roman" w:hAnsi="Book Antiqua"/>
          <w:color w:val="000000" w:themeColor="text1"/>
        </w:rPr>
        <w:t>,</w:t>
      </w:r>
      <w:r w:rsidRPr="00335FD4">
        <w:rPr>
          <w:rFonts w:ascii="Book Antiqua" w:eastAsia="Times New Roman" w:hAnsi="Book Antiqua"/>
          <w:color w:val="000000" w:themeColor="text1"/>
        </w:rPr>
        <w:t xml:space="preserve"> although it would be ideal for development approval to be required for properties to be utilised in such a way</w:t>
      </w:r>
      <w:r w:rsidR="00A066B4">
        <w:rPr>
          <w:rFonts w:ascii="Book Antiqua" w:eastAsia="Times New Roman" w:hAnsi="Book Antiqua"/>
          <w:color w:val="000000" w:themeColor="text1"/>
        </w:rPr>
        <w:t>,</w:t>
      </w:r>
      <w:r w:rsidRPr="00335FD4">
        <w:rPr>
          <w:rFonts w:ascii="Book Antiqua" w:eastAsia="Times New Roman" w:hAnsi="Book Antiqua"/>
          <w:color w:val="000000" w:themeColor="text1"/>
        </w:rPr>
        <w:t xml:space="preserve"> there is at present no way to classify this type of use.</w:t>
      </w:r>
      <w:r w:rsidR="002323FA" w:rsidRPr="00335FD4">
        <w:rPr>
          <w:rStyle w:val="FootnoteReference"/>
          <w:rFonts w:ascii="Book Antiqua" w:eastAsia="Times New Roman" w:hAnsi="Book Antiqua"/>
          <w:color w:val="000000" w:themeColor="text1"/>
        </w:rPr>
        <w:footnoteReference w:id="39"/>
      </w:r>
      <w:r w:rsidRPr="00335FD4">
        <w:rPr>
          <w:rFonts w:ascii="Book Antiqua" w:eastAsia="Times New Roman" w:hAnsi="Book Antiqua"/>
          <w:color w:val="000000" w:themeColor="text1"/>
        </w:rPr>
        <w:t xml:space="preserve"> Alternatively, the submission noted that even if such use were to be placed under </w:t>
      </w:r>
      <w:r w:rsidR="002323FA" w:rsidRPr="00335FD4">
        <w:rPr>
          <w:rFonts w:ascii="Book Antiqua" w:eastAsia="Times New Roman" w:hAnsi="Book Antiqua"/>
          <w:color w:val="000000" w:themeColor="text1"/>
        </w:rPr>
        <w:t>an</w:t>
      </w:r>
      <w:r w:rsidRPr="00335FD4">
        <w:rPr>
          <w:rFonts w:ascii="Book Antiqua" w:eastAsia="Times New Roman" w:hAnsi="Book Antiqua"/>
          <w:color w:val="000000" w:themeColor="text1"/>
        </w:rPr>
        <w:t xml:space="preserve"> existing </w:t>
      </w:r>
      <w:r w:rsidR="002323FA" w:rsidRPr="00335FD4">
        <w:rPr>
          <w:rFonts w:ascii="Book Antiqua" w:eastAsia="Times New Roman" w:hAnsi="Book Antiqua"/>
          <w:color w:val="000000" w:themeColor="text1"/>
        </w:rPr>
        <w:t>category</w:t>
      </w:r>
      <w:r w:rsidRPr="00335FD4">
        <w:rPr>
          <w:rFonts w:ascii="Book Antiqua" w:eastAsia="Times New Roman" w:hAnsi="Book Antiqua"/>
          <w:color w:val="000000" w:themeColor="text1"/>
        </w:rPr>
        <w:t xml:space="preserve"> of</w:t>
      </w:r>
      <w:r w:rsidR="002323FA" w:rsidRPr="00335FD4">
        <w:rPr>
          <w:rFonts w:ascii="Book Antiqua" w:eastAsia="Times New Roman" w:hAnsi="Book Antiqua"/>
          <w:color w:val="000000" w:themeColor="text1"/>
        </w:rPr>
        <w:t xml:space="preserve"> use such as</w:t>
      </w:r>
      <w:r w:rsidRPr="00335FD4">
        <w:rPr>
          <w:rFonts w:ascii="Book Antiqua" w:eastAsia="Times New Roman" w:hAnsi="Book Antiqua"/>
          <w:color w:val="000000" w:themeColor="text1"/>
        </w:rPr>
        <w:t xml:space="preserve"> ‘tourist and visitor accommodation’ that would not resolve the question adequately. Such a result arises because Sydney’s residential zones do </w:t>
      </w:r>
      <w:r w:rsidR="00DD0CA8" w:rsidRPr="00335FD4">
        <w:rPr>
          <w:rFonts w:ascii="Book Antiqua" w:eastAsia="Times New Roman" w:hAnsi="Book Antiqua"/>
          <w:color w:val="000000" w:themeColor="text1"/>
        </w:rPr>
        <w:t xml:space="preserve">not </w:t>
      </w:r>
      <w:r w:rsidR="00DD0CA8" w:rsidRPr="00335FD4">
        <w:rPr>
          <w:rFonts w:ascii="Book Antiqua" w:eastAsia="Times New Roman" w:hAnsi="Book Antiqua"/>
          <w:color w:val="000000" w:themeColor="text1"/>
        </w:rPr>
        <w:lastRenderedPageBreak/>
        <w:t>permit</w:t>
      </w:r>
      <w:r w:rsidR="004057C4">
        <w:rPr>
          <w:rFonts w:ascii="Book Antiqua" w:eastAsia="Times New Roman" w:hAnsi="Book Antiqua"/>
          <w:color w:val="000000" w:themeColor="text1"/>
        </w:rPr>
        <w:t xml:space="preserve"> owner’s to modify their property’s use to that of</w:t>
      </w:r>
      <w:r w:rsidR="00DD0CA8" w:rsidRPr="00335FD4">
        <w:rPr>
          <w:rFonts w:ascii="Book Antiqua" w:eastAsia="Times New Roman" w:hAnsi="Book Antiqua"/>
          <w:color w:val="000000" w:themeColor="text1"/>
        </w:rPr>
        <w:t xml:space="preserve"> tourist and visitor accommodation, so even though Local Councils would prefer and encourage transparency and openness amongst their residents, such consent </w:t>
      </w:r>
      <w:r w:rsidR="002323FA" w:rsidRPr="00335FD4">
        <w:rPr>
          <w:rFonts w:ascii="Book Antiqua" w:eastAsia="Times New Roman" w:hAnsi="Book Antiqua"/>
          <w:color w:val="000000" w:themeColor="text1"/>
        </w:rPr>
        <w:t>could not in fact be provided</w:t>
      </w:r>
      <w:r w:rsidR="00DD0CA8" w:rsidRPr="00335FD4">
        <w:rPr>
          <w:rFonts w:ascii="Book Antiqua" w:eastAsia="Times New Roman" w:hAnsi="Book Antiqua"/>
          <w:color w:val="000000" w:themeColor="text1"/>
        </w:rPr>
        <w:t>.</w:t>
      </w:r>
      <w:r w:rsidR="00DD0CA8" w:rsidRPr="00335FD4">
        <w:rPr>
          <w:rStyle w:val="FootnoteReference"/>
          <w:rFonts w:ascii="Book Antiqua" w:eastAsia="Times New Roman" w:hAnsi="Book Antiqua"/>
          <w:color w:val="000000" w:themeColor="text1"/>
        </w:rPr>
        <w:footnoteReference w:id="40"/>
      </w:r>
      <w:r w:rsidR="00DD0CA8" w:rsidRPr="00335FD4">
        <w:rPr>
          <w:rFonts w:ascii="Book Antiqua" w:eastAsia="Times New Roman" w:hAnsi="Book Antiqua"/>
          <w:color w:val="000000" w:themeColor="text1"/>
        </w:rPr>
        <w:t xml:space="preserve"> </w:t>
      </w:r>
    </w:p>
    <w:p w14:paraId="78A6431C" w14:textId="77777777" w:rsidR="00DD0CA8" w:rsidRPr="00335FD4" w:rsidRDefault="00DD0CA8" w:rsidP="005A1D8F">
      <w:pPr>
        <w:rPr>
          <w:rFonts w:ascii="Book Antiqua" w:eastAsia="Times New Roman" w:hAnsi="Book Antiqua"/>
          <w:color w:val="000000" w:themeColor="text1"/>
        </w:rPr>
      </w:pPr>
    </w:p>
    <w:p w14:paraId="1D698EEC" w14:textId="77777777" w:rsidR="005A1D8F" w:rsidRPr="00335FD4" w:rsidRDefault="002323FA" w:rsidP="0089703E">
      <w:pPr>
        <w:jc w:val="both"/>
        <w:rPr>
          <w:rFonts w:ascii="Book Antiqua" w:eastAsia="Times New Roman" w:hAnsi="Book Antiqua"/>
          <w:color w:val="000000" w:themeColor="text1"/>
        </w:rPr>
      </w:pPr>
      <w:r w:rsidRPr="00335FD4">
        <w:rPr>
          <w:rFonts w:ascii="Book Antiqua" w:eastAsia="Times New Roman" w:hAnsi="Book Antiqua"/>
          <w:color w:val="000000" w:themeColor="text1"/>
        </w:rPr>
        <w:t xml:space="preserve">Issues have also arisen in relation to residents obtaining approvals under </w:t>
      </w:r>
      <w:r w:rsidRPr="00335FD4">
        <w:rPr>
          <w:rFonts w:ascii="Book Antiqua" w:hAnsi="Book Antiqua"/>
          <w:color w:val="000000" w:themeColor="text1"/>
        </w:rPr>
        <w:t xml:space="preserve">the </w:t>
      </w:r>
      <w:r w:rsidRPr="00335FD4">
        <w:rPr>
          <w:rFonts w:ascii="Book Antiqua" w:hAnsi="Book Antiqua"/>
          <w:i/>
          <w:color w:val="000000" w:themeColor="text1"/>
        </w:rPr>
        <w:t>Building Code of Australia</w:t>
      </w:r>
      <w:r w:rsidRPr="00335FD4">
        <w:rPr>
          <w:rFonts w:ascii="Book Antiqua" w:hAnsi="Book Antiqua"/>
          <w:color w:val="000000" w:themeColor="text1"/>
        </w:rPr>
        <w:t xml:space="preserve"> and owners corporation rules, with </w:t>
      </w:r>
      <w:r w:rsidR="000035F4" w:rsidRPr="00335FD4">
        <w:rPr>
          <w:rFonts w:ascii="Book Antiqua" w:hAnsi="Book Antiqua"/>
          <w:color w:val="000000" w:themeColor="text1"/>
        </w:rPr>
        <w:t>a</w:t>
      </w:r>
      <w:r w:rsidRPr="00335FD4">
        <w:rPr>
          <w:rFonts w:ascii="Book Antiqua" w:hAnsi="Book Antiqua"/>
          <w:color w:val="000000" w:themeColor="text1"/>
        </w:rPr>
        <w:t xml:space="preserve"> </w:t>
      </w:r>
      <w:r w:rsidR="000035F4" w:rsidRPr="00335FD4">
        <w:rPr>
          <w:rFonts w:ascii="Book Antiqua" w:eastAsia="Times New Roman" w:hAnsi="Book Antiqua"/>
          <w:color w:val="000000" w:themeColor="text1"/>
        </w:rPr>
        <w:t>Victorian court</w:t>
      </w:r>
      <w:r w:rsidRPr="00335FD4">
        <w:rPr>
          <w:rFonts w:ascii="Book Antiqua" w:eastAsia="Times New Roman" w:hAnsi="Book Antiqua"/>
          <w:color w:val="000000" w:themeColor="text1"/>
        </w:rPr>
        <w:t xml:space="preserve"> ruling </w:t>
      </w:r>
      <w:r w:rsidR="005A1D8F" w:rsidRPr="00335FD4">
        <w:rPr>
          <w:rFonts w:ascii="Book Antiqua" w:hAnsi="Book Antiqua"/>
          <w:color w:val="000000" w:themeColor="text1"/>
        </w:rPr>
        <w:t xml:space="preserve">that short-term rentals </w:t>
      </w:r>
      <w:r w:rsidR="006D65F0" w:rsidRPr="00335FD4">
        <w:rPr>
          <w:rFonts w:ascii="Book Antiqua" w:hAnsi="Book Antiqua"/>
          <w:color w:val="000000" w:themeColor="text1"/>
        </w:rPr>
        <w:t xml:space="preserve">should be considered to </w:t>
      </w:r>
      <w:r w:rsidRPr="00335FD4">
        <w:rPr>
          <w:rFonts w:ascii="Book Antiqua" w:hAnsi="Book Antiqua"/>
          <w:color w:val="000000" w:themeColor="text1"/>
        </w:rPr>
        <w:t>constitute</w:t>
      </w:r>
      <w:r w:rsidR="005A1D8F" w:rsidRPr="00335FD4">
        <w:rPr>
          <w:rFonts w:ascii="Book Antiqua" w:hAnsi="Book Antiqua"/>
          <w:color w:val="000000" w:themeColor="text1"/>
        </w:rPr>
        <w:t xml:space="preserve"> a permissible use of residential units under </w:t>
      </w:r>
      <w:r w:rsidR="00632BAB">
        <w:rPr>
          <w:rFonts w:ascii="Book Antiqua" w:hAnsi="Book Antiqua"/>
          <w:color w:val="000000" w:themeColor="text1"/>
        </w:rPr>
        <w:t>the relevant rules</w:t>
      </w:r>
      <w:r w:rsidR="005A1D8F" w:rsidRPr="00335FD4">
        <w:rPr>
          <w:rFonts w:ascii="Book Antiqua" w:hAnsi="Book Antiqua"/>
          <w:color w:val="000000" w:themeColor="text1"/>
        </w:rPr>
        <w:t>.</w:t>
      </w:r>
      <w:r w:rsidR="005A1D8F" w:rsidRPr="00335FD4">
        <w:rPr>
          <w:rFonts w:ascii="Book Antiqua" w:eastAsia="Times New Roman" w:hAnsi="Book Antiqua"/>
          <w:b/>
          <w:color w:val="000000" w:themeColor="text1"/>
        </w:rPr>
        <w:t xml:space="preserve"> </w:t>
      </w:r>
      <w:r w:rsidR="005A1D8F" w:rsidRPr="00335FD4">
        <w:rPr>
          <w:rFonts w:ascii="Book Antiqua" w:eastAsia="Times New Roman" w:hAnsi="Book Antiqua"/>
          <w:color w:val="000000" w:themeColor="text1"/>
        </w:rPr>
        <w:t xml:space="preserve">In </w:t>
      </w:r>
      <w:r w:rsidR="005A1D8F" w:rsidRPr="00335FD4">
        <w:rPr>
          <w:rFonts w:ascii="Book Antiqua" w:eastAsia="Times New Roman" w:hAnsi="Book Antiqua"/>
          <w:i/>
          <w:color w:val="000000" w:themeColor="text1"/>
        </w:rPr>
        <w:t>Genco v Salter</w:t>
      </w:r>
      <w:r w:rsidR="005A1D8F" w:rsidRPr="00335FD4">
        <w:rPr>
          <w:rFonts w:ascii="Book Antiqua" w:eastAsia="Times New Roman" w:hAnsi="Book Antiqua"/>
          <w:color w:val="000000" w:themeColor="text1"/>
        </w:rPr>
        <w:t>,</w:t>
      </w:r>
      <w:r w:rsidR="005A1D8F" w:rsidRPr="00335FD4">
        <w:rPr>
          <w:rStyle w:val="FootnoteReference"/>
          <w:rFonts w:ascii="Book Antiqua" w:eastAsia="Times New Roman" w:hAnsi="Book Antiqua"/>
          <w:color w:val="000000" w:themeColor="text1"/>
        </w:rPr>
        <w:footnoteReference w:id="41"/>
      </w:r>
      <w:r w:rsidR="005A1D8F" w:rsidRPr="00335FD4">
        <w:rPr>
          <w:rFonts w:ascii="Book Antiqua" w:eastAsia="Times New Roman" w:hAnsi="Book Antiqua"/>
          <w:color w:val="000000" w:themeColor="text1"/>
        </w:rPr>
        <w:t xml:space="preserve"> the Victorian Court of Appeal, agreeing with the Supreme Court of Victoria, held that a building order issued by the City of Melbourne </w:t>
      </w:r>
      <w:r w:rsidR="008D2637">
        <w:rPr>
          <w:rFonts w:ascii="Book Antiqua" w:eastAsia="Times New Roman" w:hAnsi="Book Antiqua"/>
          <w:color w:val="000000" w:themeColor="text1"/>
        </w:rPr>
        <w:t xml:space="preserve">Council </w:t>
      </w:r>
      <w:r w:rsidR="005A1D8F" w:rsidRPr="00335FD4">
        <w:rPr>
          <w:rFonts w:ascii="Book Antiqua" w:eastAsia="Times New Roman" w:hAnsi="Book Antiqua"/>
          <w:color w:val="000000" w:themeColor="text1"/>
        </w:rPr>
        <w:t>requiring the practice of short-term letting to cease within an apartment block was unlawful.</w:t>
      </w:r>
      <w:r w:rsidR="005A1D8F" w:rsidRPr="00335FD4">
        <w:rPr>
          <w:rStyle w:val="FootnoteReference"/>
          <w:rFonts w:ascii="Book Antiqua" w:eastAsia="Times New Roman" w:hAnsi="Book Antiqua"/>
          <w:color w:val="000000" w:themeColor="text1"/>
        </w:rPr>
        <w:footnoteReference w:id="42"/>
      </w:r>
      <w:r w:rsidR="005A1D8F" w:rsidRPr="00335FD4">
        <w:rPr>
          <w:rFonts w:ascii="Book Antiqua" w:eastAsia="Times New Roman" w:hAnsi="Book Antiqua"/>
          <w:color w:val="000000" w:themeColor="text1"/>
        </w:rPr>
        <w:t xml:space="preserve"> The initial decision before the Building Appeals Board had determined that the use of the properties in such a way amounted to an unauthorised change in the their use.</w:t>
      </w:r>
      <w:r w:rsidR="005A1D8F" w:rsidRPr="00335FD4">
        <w:rPr>
          <w:rStyle w:val="FootnoteReference"/>
          <w:rFonts w:ascii="Book Antiqua" w:eastAsia="Times New Roman" w:hAnsi="Book Antiqua"/>
          <w:color w:val="000000" w:themeColor="text1"/>
        </w:rPr>
        <w:footnoteReference w:id="43"/>
      </w:r>
      <w:r w:rsidR="005A1D8F" w:rsidRPr="00335FD4">
        <w:rPr>
          <w:rFonts w:ascii="Book Antiqua" w:eastAsia="Times New Roman" w:hAnsi="Book Antiqua"/>
          <w:color w:val="000000" w:themeColor="text1"/>
        </w:rPr>
        <w:t xml:space="preserve"> The dispute turned on two classes of building under the </w:t>
      </w:r>
      <w:r w:rsidR="005A1D8F" w:rsidRPr="00335FD4">
        <w:rPr>
          <w:rFonts w:ascii="Book Antiqua" w:eastAsia="Times New Roman" w:hAnsi="Book Antiqua"/>
          <w:i/>
          <w:color w:val="000000" w:themeColor="text1"/>
        </w:rPr>
        <w:t>Building Code of Australia</w:t>
      </w:r>
      <w:r w:rsidR="005A1D8F" w:rsidRPr="00335FD4">
        <w:rPr>
          <w:rFonts w:ascii="Book Antiqua" w:eastAsia="Times New Roman" w:hAnsi="Book Antiqua"/>
          <w:color w:val="000000" w:themeColor="text1"/>
        </w:rPr>
        <w:t>: classes 2 and 3.</w:t>
      </w:r>
      <w:r w:rsidR="005A1D8F" w:rsidRPr="00335FD4">
        <w:rPr>
          <w:rStyle w:val="FootnoteReference"/>
          <w:rFonts w:ascii="Book Antiqua" w:eastAsia="Times New Roman" w:hAnsi="Book Antiqua"/>
          <w:color w:val="000000" w:themeColor="text1"/>
        </w:rPr>
        <w:footnoteReference w:id="44"/>
      </w:r>
      <w:r w:rsidR="005A1D8F" w:rsidRPr="00335FD4">
        <w:rPr>
          <w:rFonts w:ascii="Book Antiqua" w:eastAsia="Times New Roman" w:hAnsi="Book Antiqua"/>
          <w:color w:val="000000" w:themeColor="text1"/>
        </w:rPr>
        <w:t xml:space="preserve"> Class 2 was defined as a building containing two or more units each of which were separate dwellings; while Class 3 applied to residential buildings which were a common place for long term or transient living for a number of people such as boarding houses, hostels, hotels or motels. The Board concluded that the apartments were being used in a manner similar to a motel under Class 3, which was not a permitted use for a Class 2 residential dwelling. </w:t>
      </w:r>
      <w:r w:rsidR="005A1D8F" w:rsidRPr="00335FD4">
        <w:rPr>
          <w:rFonts w:ascii="Book Antiqua" w:eastAsia="Times New Roman" w:hAnsi="Book Antiqua"/>
          <w:color w:val="000000" w:themeColor="text1"/>
        </w:rPr>
        <w:br/>
      </w:r>
    </w:p>
    <w:p w14:paraId="759CB00C" w14:textId="77777777" w:rsidR="004500C0" w:rsidRDefault="005A1D8F" w:rsidP="005A1D8F">
      <w:pPr>
        <w:widowControl w:val="0"/>
        <w:autoSpaceDE w:val="0"/>
        <w:autoSpaceDN w:val="0"/>
        <w:adjustRightInd w:val="0"/>
        <w:jc w:val="both"/>
        <w:rPr>
          <w:rFonts w:ascii="Book Antiqua" w:hAnsi="Book Antiqua"/>
          <w:color w:val="000000"/>
        </w:rPr>
      </w:pPr>
      <w:r w:rsidRPr="00335FD4">
        <w:rPr>
          <w:rFonts w:ascii="Book Antiqua" w:eastAsia="Times New Roman" w:hAnsi="Book Antiqua"/>
          <w:color w:val="000000" w:themeColor="text1"/>
        </w:rPr>
        <w:t>This conclusion was successfully challenged by Mr Salter, an owner of one of the units within the building. The Supreme Court found that the definition of a Class 2 building had been misinterpreted by “importing into the word ‘dwelling’…. temporal requirements”.</w:t>
      </w:r>
      <w:r w:rsidRPr="00335FD4">
        <w:rPr>
          <w:rStyle w:val="FootnoteReference"/>
          <w:rFonts w:ascii="Book Antiqua" w:eastAsia="Times New Roman" w:hAnsi="Book Antiqua"/>
          <w:color w:val="000000" w:themeColor="text1"/>
        </w:rPr>
        <w:footnoteReference w:id="45"/>
      </w:r>
      <w:r w:rsidRPr="00335FD4">
        <w:rPr>
          <w:rFonts w:ascii="Book Antiqua" w:eastAsia="Times New Roman" w:hAnsi="Book Antiqua"/>
          <w:color w:val="000000" w:themeColor="text1"/>
        </w:rPr>
        <w:t xml:space="preserve"> Following from this conclusion, it was also held that such an interpretation would create an inconsistency with other definitions within the Building Code, particularly Class 1(b) buildings which extend to short-term rentals, and that there was “no rational basis for giving the word ‘dwelling’ a more limited meaning in the Class 2 definition.”</w:t>
      </w:r>
      <w:r w:rsidRPr="00335FD4">
        <w:rPr>
          <w:rStyle w:val="FootnoteReference"/>
          <w:rFonts w:ascii="Book Antiqua" w:eastAsia="Times New Roman" w:hAnsi="Book Antiqua"/>
          <w:color w:val="000000" w:themeColor="text1"/>
        </w:rPr>
        <w:footnoteReference w:id="46"/>
      </w:r>
      <w:r w:rsidRPr="00335FD4">
        <w:rPr>
          <w:rFonts w:ascii="Book Antiqua" w:eastAsia="Times New Roman" w:hAnsi="Book Antiqua"/>
          <w:color w:val="000000" w:themeColor="text1"/>
        </w:rPr>
        <w:t xml:space="preserve"> Consequently there had been no relevant change of use by the residents, and thus, no breach of the Building Code. This conclusion was upheld upon appeal, where their Honours noted that a dwelling “</w:t>
      </w:r>
      <w:r w:rsidRPr="00335FD4">
        <w:rPr>
          <w:rFonts w:ascii="Book Antiqua" w:hAnsi="Book Antiqua"/>
          <w:color w:val="000000"/>
        </w:rPr>
        <w:t xml:space="preserve">will remain a dwelling whether or not it is occupied only sporadically…It will remain a dwelling even if it is let for </w:t>
      </w:r>
      <w:r w:rsidR="000227B7" w:rsidRPr="00335FD4">
        <w:rPr>
          <w:rFonts w:ascii="Book Antiqua" w:hAnsi="Book Antiqua"/>
          <w:color w:val="000000"/>
        </w:rPr>
        <w:t>short-term</w:t>
      </w:r>
      <w:r w:rsidRPr="00335FD4">
        <w:rPr>
          <w:rFonts w:ascii="Book Antiqua" w:hAnsi="Book Antiqua"/>
          <w:color w:val="000000"/>
        </w:rPr>
        <w:t xml:space="preserve"> use. There is nothing in the fundamental concept contained in Building Code of Australia clause A3.1 or the ordinary meaning of dwelling which requires that a dwelling be occupied for extended periods of time by the same person.”</w:t>
      </w:r>
      <w:r w:rsidRPr="00335FD4">
        <w:rPr>
          <w:rStyle w:val="FootnoteReference"/>
          <w:rFonts w:ascii="Book Antiqua" w:hAnsi="Book Antiqua"/>
          <w:color w:val="000000"/>
        </w:rPr>
        <w:footnoteReference w:id="47"/>
      </w:r>
      <w:r w:rsidR="001C0EFE" w:rsidRPr="00335FD4">
        <w:rPr>
          <w:rFonts w:ascii="Book Antiqua" w:hAnsi="Book Antiqua"/>
          <w:color w:val="000000"/>
        </w:rPr>
        <w:t xml:space="preserve"> The Court’s decision demonstrates the need for a clear definition of short-term rental arrangements within all relevant planning documents. While the decision may have proven favourable to Mr Salter, </w:t>
      </w:r>
      <w:r w:rsidR="001C0EFE" w:rsidRPr="00335FD4">
        <w:rPr>
          <w:rFonts w:ascii="Book Antiqua" w:hAnsi="Book Antiqua"/>
          <w:color w:val="000000"/>
        </w:rPr>
        <w:lastRenderedPageBreak/>
        <w:t xml:space="preserve">the inclusion of an express category of use to cover short-term rentals of apartments within the complex would have obviated the need for litigation on the matter, and would have given residents certainty as to whether they were unknowingly breaching the applicable planning rules. </w:t>
      </w:r>
    </w:p>
    <w:p w14:paraId="171AC508" w14:textId="77777777" w:rsidR="004500C0" w:rsidRDefault="004500C0" w:rsidP="004500C0">
      <w:pPr>
        <w:rPr>
          <w:rFonts w:ascii="Book Antiqua" w:hAnsi="Book Antiqua"/>
          <w:b/>
          <w:smallCaps/>
          <w:color w:val="000000" w:themeColor="text1"/>
          <w:lang w:val="en-AU"/>
        </w:rPr>
      </w:pPr>
    </w:p>
    <w:p w14:paraId="7905835E" w14:textId="77777777" w:rsidR="004500C0" w:rsidRPr="00335FD4" w:rsidRDefault="004500C0" w:rsidP="004500C0">
      <w:pPr>
        <w:rPr>
          <w:rFonts w:ascii="Book Antiqua" w:hAnsi="Book Antiqua"/>
          <w:b/>
          <w:i/>
          <w:color w:val="000000" w:themeColor="text1"/>
          <w:lang w:val="en-AU"/>
        </w:rPr>
      </w:pPr>
      <w:r>
        <w:rPr>
          <w:rFonts w:ascii="Book Antiqua" w:hAnsi="Book Antiqua"/>
          <w:b/>
          <w:smallCaps/>
          <w:color w:val="000000" w:themeColor="text1"/>
          <w:lang w:val="en-AU"/>
        </w:rPr>
        <w:t>3</w:t>
      </w:r>
      <w:r w:rsidRPr="00335FD4">
        <w:rPr>
          <w:rFonts w:ascii="Book Antiqua" w:hAnsi="Book Antiqua"/>
          <w:b/>
          <w:i/>
          <w:color w:val="000000" w:themeColor="text1"/>
          <w:lang w:val="en-AU"/>
        </w:rPr>
        <w:t xml:space="preserve"> </w:t>
      </w:r>
      <w:r>
        <w:rPr>
          <w:rFonts w:ascii="Book Antiqua" w:hAnsi="Book Antiqua"/>
          <w:b/>
          <w:i/>
          <w:color w:val="000000" w:themeColor="text1"/>
          <w:lang w:val="en-AU"/>
        </w:rPr>
        <w:t>The power to prohibit such use</w:t>
      </w:r>
    </w:p>
    <w:p w14:paraId="638DA794" w14:textId="77777777" w:rsidR="00775B3A" w:rsidRDefault="005A1D8F" w:rsidP="00AE4C44">
      <w:pPr>
        <w:widowControl w:val="0"/>
        <w:autoSpaceDE w:val="0"/>
        <w:autoSpaceDN w:val="0"/>
        <w:adjustRightInd w:val="0"/>
        <w:jc w:val="both"/>
        <w:rPr>
          <w:rFonts w:ascii="Book Antiqua" w:hAnsi="Book Antiqua" w:cs="Arial"/>
          <w:iCs/>
          <w:color w:val="000000" w:themeColor="text1"/>
        </w:rPr>
      </w:pPr>
      <w:r w:rsidRPr="00335FD4">
        <w:rPr>
          <w:rFonts w:ascii="Book Antiqua" w:hAnsi="Book Antiqua"/>
          <w:color w:val="000000"/>
        </w:rPr>
        <w:br/>
        <w:t xml:space="preserve">The Victorian Civil and Administrative Tribunal also considered the effect of Owners Corporations rules which impacted upon the ability of residents to engage in short-term rentals. </w:t>
      </w:r>
      <w:r w:rsidRPr="00335FD4">
        <w:rPr>
          <w:rFonts w:ascii="Book Antiqua" w:eastAsia="Times New Roman" w:hAnsi="Book Antiqua" w:cs="Arial"/>
          <w:bCs/>
          <w:color w:val="000000" w:themeColor="text1"/>
          <w:kern w:val="36"/>
        </w:rPr>
        <w:t>I</w:t>
      </w:r>
      <w:r w:rsidRPr="00335FD4">
        <w:rPr>
          <w:rFonts w:ascii="Book Antiqua" w:hAnsi="Book Antiqua" w:cs="Arial"/>
          <w:color w:val="000000" w:themeColor="text1"/>
        </w:rPr>
        <w:t>n </w:t>
      </w:r>
      <w:r w:rsidRPr="00335FD4">
        <w:rPr>
          <w:rFonts w:ascii="Book Antiqua" w:hAnsi="Book Antiqua" w:cs="Arial"/>
          <w:i/>
          <w:iCs/>
          <w:color w:val="000000" w:themeColor="text1"/>
        </w:rPr>
        <w:t xml:space="preserve">Owners Corporation PS501391P v Balcombe, </w:t>
      </w:r>
      <w:r w:rsidRPr="00335FD4">
        <w:rPr>
          <w:rFonts w:ascii="Book Antiqua" w:hAnsi="Book Antiqua" w:cs="Arial"/>
          <w:color w:val="000000" w:themeColor="text1"/>
        </w:rPr>
        <w:t>the Applicants, on behalf of a majority of apartment owners, had sought to prevent one of the apartment owners from renting their properties for periods of less than 30 days.</w:t>
      </w:r>
      <w:r w:rsidRPr="00335FD4">
        <w:rPr>
          <w:rStyle w:val="FootnoteReference"/>
          <w:rFonts w:ascii="Book Antiqua" w:hAnsi="Book Antiqua" w:cs="Arial"/>
          <w:color w:val="000000" w:themeColor="text1"/>
        </w:rPr>
        <w:footnoteReference w:id="48"/>
      </w:r>
      <w:r w:rsidRPr="00335FD4">
        <w:rPr>
          <w:rFonts w:ascii="Book Antiqua" w:hAnsi="Book Antiqua" w:cs="Arial"/>
          <w:color w:val="000000" w:themeColor="text1"/>
        </w:rPr>
        <w:t xml:space="preserve"> That apartment owner was </w:t>
      </w:r>
      <w:r w:rsidR="002D6F2F" w:rsidRPr="00335FD4">
        <w:rPr>
          <w:rFonts w:ascii="Book Antiqua" w:hAnsi="Book Antiqua" w:cs="Arial"/>
          <w:color w:val="000000" w:themeColor="text1"/>
        </w:rPr>
        <w:t xml:space="preserve">the </w:t>
      </w:r>
      <w:r w:rsidRPr="00335FD4">
        <w:rPr>
          <w:rFonts w:ascii="Book Antiqua" w:hAnsi="Book Antiqua" w:cs="Arial"/>
          <w:color w:val="000000" w:themeColor="text1"/>
        </w:rPr>
        <w:t xml:space="preserve">aforementioned Mr Salter, the operator of Docklands Executive Apartments, who had rented out his own apartments for periods of time varying between two and seven nights. The Applicants relied upon Rule 34 of the </w:t>
      </w:r>
      <w:r w:rsidRPr="00335FD4">
        <w:rPr>
          <w:rFonts w:ascii="Book Antiqua" w:eastAsia="Times New Roman" w:hAnsi="Book Antiqua"/>
          <w:color w:val="000000" w:themeColor="text1"/>
          <w:shd w:val="clear" w:color="auto" w:fill="FFFFFF"/>
        </w:rPr>
        <w:t xml:space="preserve">Additional Rules of the Owners Corporation, which provided an owner or occupier was not to use a lot for any trade, profession or business, </w:t>
      </w:r>
      <w:r w:rsidRPr="00335FD4">
        <w:rPr>
          <w:rFonts w:ascii="Book Antiqua" w:hAnsi="Book Antiqua" w:cs="Arial"/>
          <w:color w:val="000000" w:themeColor="text1"/>
        </w:rPr>
        <w:t>other than letting the lot for residential accommodation to the same party for periods in excess of one month.</w:t>
      </w:r>
      <w:r w:rsidRPr="00335FD4">
        <w:rPr>
          <w:rFonts w:ascii="Book Antiqua" w:eastAsia="Times New Roman" w:hAnsi="Book Antiqua"/>
          <w:color w:val="000000" w:themeColor="text1"/>
          <w:shd w:val="clear" w:color="auto" w:fill="FFFFFF"/>
        </w:rPr>
        <w:t xml:space="preserve"> </w:t>
      </w:r>
      <w:r w:rsidRPr="00335FD4">
        <w:rPr>
          <w:rStyle w:val="FootnoteReference"/>
          <w:rFonts w:ascii="Book Antiqua" w:eastAsia="Times New Roman" w:hAnsi="Book Antiqua"/>
          <w:color w:val="000000" w:themeColor="text1"/>
          <w:shd w:val="clear" w:color="auto" w:fill="FFFFFF"/>
        </w:rPr>
        <w:footnoteReference w:id="49"/>
      </w:r>
      <w:r w:rsidRPr="00335FD4">
        <w:rPr>
          <w:rFonts w:ascii="Book Antiqua" w:eastAsia="Times New Roman" w:hAnsi="Book Antiqua"/>
          <w:color w:val="000000" w:themeColor="text1"/>
          <w:shd w:val="clear" w:color="auto" w:fill="FFFFFF"/>
        </w:rPr>
        <w:t xml:space="preserve"> The Tribunal concluded that Rule 34 was invalid, as </w:t>
      </w:r>
      <w:r w:rsidRPr="00335FD4">
        <w:rPr>
          <w:rFonts w:ascii="Book Antiqua" w:eastAsia="Times New Roman" w:hAnsi="Book Antiqua"/>
          <w:color w:val="000000"/>
          <w:shd w:val="clear" w:color="auto" w:fill="FFFFFF"/>
        </w:rPr>
        <w:t>there was no specific function or power conferred on body corporates to regulate the use of a private lot.</w:t>
      </w:r>
      <w:r w:rsidRPr="00335FD4">
        <w:rPr>
          <w:rStyle w:val="FootnoteReference"/>
          <w:rFonts w:ascii="Book Antiqua" w:eastAsia="Times New Roman" w:hAnsi="Book Antiqua"/>
          <w:color w:val="000000"/>
          <w:shd w:val="clear" w:color="auto" w:fill="FFFFFF"/>
        </w:rPr>
        <w:footnoteReference w:id="50"/>
      </w:r>
      <w:r w:rsidRPr="00335FD4">
        <w:rPr>
          <w:rFonts w:ascii="Book Antiqua" w:eastAsia="Times New Roman" w:hAnsi="Book Antiqua"/>
          <w:color w:val="000000"/>
          <w:shd w:val="clear" w:color="auto" w:fill="FFFFFF"/>
        </w:rPr>
        <w:t xml:space="preserve"> In the Tribunal’s view, the rule was invalid as it was not sufficiently connected to the Standard Rules to fall within the body corporate’s regulatory powers. Further, rather than attempting to regulate the use of the lot, it was seeking to prohibit certain types of uses altogether, </w:t>
      </w:r>
      <w:r w:rsidRPr="00335FD4">
        <w:rPr>
          <w:rFonts w:ascii="Book Antiqua" w:eastAsia="Times New Roman" w:hAnsi="Book Antiqua"/>
          <w:color w:val="000000" w:themeColor="text1"/>
          <w:shd w:val="clear" w:color="auto" w:fill="FFFFFF"/>
        </w:rPr>
        <w:t xml:space="preserve">contrary to the High Court’s rule in </w:t>
      </w:r>
      <w:r w:rsidRPr="00335FD4">
        <w:rPr>
          <w:rFonts w:ascii="Book Antiqua" w:eastAsia="Times New Roman" w:hAnsi="Book Antiqua"/>
          <w:i/>
          <w:color w:val="000000" w:themeColor="text1"/>
          <w:shd w:val="clear" w:color="auto" w:fill="FFFFFF"/>
        </w:rPr>
        <w:t>Swan Hill Corporation v Bradbury</w:t>
      </w:r>
      <w:r w:rsidRPr="00335FD4">
        <w:rPr>
          <w:rFonts w:ascii="Book Antiqua" w:eastAsia="Times New Roman" w:hAnsi="Book Antiqua"/>
          <w:color w:val="000000" w:themeColor="text1"/>
          <w:shd w:val="clear" w:color="auto" w:fill="FFFFFF"/>
        </w:rPr>
        <w:t>.</w:t>
      </w:r>
      <w:r w:rsidRPr="00335FD4">
        <w:rPr>
          <w:rStyle w:val="FootnoteReference"/>
          <w:rFonts w:ascii="Book Antiqua" w:eastAsia="Times New Roman" w:hAnsi="Book Antiqua"/>
          <w:color w:val="000000" w:themeColor="text1"/>
          <w:shd w:val="clear" w:color="auto" w:fill="FFFFFF"/>
        </w:rPr>
        <w:footnoteReference w:id="51"/>
      </w:r>
      <w:r w:rsidR="003A091F" w:rsidRPr="00335FD4">
        <w:rPr>
          <w:rFonts w:ascii="Book Antiqua" w:eastAsia="Times New Roman" w:hAnsi="Book Antiqua"/>
          <w:color w:val="000000" w:themeColor="text1"/>
          <w:shd w:val="clear" w:color="auto" w:fill="FFFFFF"/>
        </w:rPr>
        <w:t xml:space="preserve"> Importantly, the </w:t>
      </w:r>
      <w:r w:rsidRPr="00335FD4">
        <w:rPr>
          <w:rFonts w:ascii="Book Antiqua" w:eastAsia="Times New Roman" w:hAnsi="Book Antiqua"/>
          <w:color w:val="000000" w:themeColor="text1"/>
          <w:shd w:val="clear" w:color="auto" w:fill="FFFFFF"/>
        </w:rPr>
        <w:t xml:space="preserve">Tribunal noted that, “if Parliament </w:t>
      </w:r>
      <w:r w:rsidRPr="00335FD4">
        <w:rPr>
          <w:rFonts w:ascii="Book Antiqua" w:hAnsi="Book Antiqua" w:cs="Arial"/>
          <w:iCs/>
          <w:color w:val="000000" w:themeColor="text1"/>
        </w:rPr>
        <w:t>had intended that owners corporations could make rules which effectively place them in the role of a town planner I would have expected that the conferment of power to be unequivocal… That task is best left to local Councils.”</w:t>
      </w:r>
      <w:r w:rsidRPr="00335FD4">
        <w:rPr>
          <w:rStyle w:val="FootnoteReference"/>
          <w:rFonts w:ascii="Book Antiqua" w:hAnsi="Book Antiqua" w:cs="Arial"/>
          <w:iCs/>
          <w:color w:val="000000" w:themeColor="text1"/>
        </w:rPr>
        <w:footnoteReference w:id="52"/>
      </w:r>
      <w:r w:rsidR="008903CE" w:rsidRPr="00335FD4">
        <w:rPr>
          <w:rFonts w:ascii="Book Antiqua" w:hAnsi="Book Antiqua" w:cs="Arial"/>
          <w:iCs/>
          <w:color w:val="000000" w:themeColor="text1"/>
        </w:rPr>
        <w:t xml:space="preserve"> </w:t>
      </w:r>
    </w:p>
    <w:p w14:paraId="4C62D17A" w14:textId="77777777" w:rsidR="00F5574F" w:rsidRPr="00335FD4" w:rsidRDefault="008903CE" w:rsidP="00AE4C44">
      <w:pPr>
        <w:widowControl w:val="0"/>
        <w:autoSpaceDE w:val="0"/>
        <w:autoSpaceDN w:val="0"/>
        <w:adjustRightInd w:val="0"/>
        <w:jc w:val="both"/>
        <w:rPr>
          <w:rFonts w:ascii="Book Antiqua" w:hAnsi="Book Antiqua" w:cs="Arial"/>
          <w:iCs/>
          <w:color w:val="000000" w:themeColor="text1"/>
        </w:rPr>
      </w:pPr>
      <w:r w:rsidRPr="00335FD4">
        <w:rPr>
          <w:rFonts w:ascii="Book Antiqua" w:hAnsi="Book Antiqua" w:cs="Arial"/>
          <w:iCs/>
          <w:color w:val="000000" w:themeColor="text1"/>
        </w:rPr>
        <w:t xml:space="preserve">Once again, the decision demonstrates the need for legislative direction as to how such a use is to be regulated. The absence of provisions clarifying whether or not short-term renting amounts to a change in the use of the property, and therefore, requires development approval is unsatisfactory. Each of the aforementioned decisions illustrate that planning bodies assume that such uses are capable of being controlled, and that they certainly desire to regulate them accordingly. </w:t>
      </w:r>
      <w:r w:rsidR="00F81CBE" w:rsidRPr="00335FD4">
        <w:rPr>
          <w:rFonts w:ascii="Book Antiqua" w:hAnsi="Book Antiqua" w:cs="Arial"/>
          <w:iCs/>
          <w:color w:val="000000" w:themeColor="text1"/>
        </w:rPr>
        <w:t xml:space="preserve">Irrespective </w:t>
      </w:r>
      <w:r w:rsidR="006C2BDB" w:rsidRPr="00335FD4">
        <w:rPr>
          <w:rFonts w:ascii="Book Antiqua" w:hAnsi="Book Antiqua" w:cs="Arial"/>
          <w:iCs/>
          <w:color w:val="000000" w:themeColor="text1"/>
        </w:rPr>
        <w:t>of the degree to which they choose to embrace the sharing economy, it is clear that those</w:t>
      </w:r>
      <w:r w:rsidR="00F81CBE" w:rsidRPr="00335FD4">
        <w:rPr>
          <w:rFonts w:ascii="Book Antiqua" w:hAnsi="Book Antiqua" w:cs="Arial"/>
          <w:iCs/>
          <w:color w:val="000000" w:themeColor="text1"/>
        </w:rPr>
        <w:t xml:space="preserve"> jurisdictions yet to legislate upon the matter </w:t>
      </w:r>
      <w:r w:rsidR="006142DE" w:rsidRPr="00335FD4">
        <w:rPr>
          <w:rFonts w:ascii="Book Antiqua" w:hAnsi="Book Antiqua" w:cs="Arial"/>
          <w:iCs/>
          <w:color w:val="000000" w:themeColor="text1"/>
        </w:rPr>
        <w:t xml:space="preserve">must </w:t>
      </w:r>
      <w:r w:rsidR="006C2BDB" w:rsidRPr="00335FD4">
        <w:rPr>
          <w:rFonts w:ascii="Book Antiqua" w:hAnsi="Book Antiqua" w:cs="Arial"/>
          <w:iCs/>
          <w:color w:val="000000" w:themeColor="text1"/>
        </w:rPr>
        <w:t>make a</w:t>
      </w:r>
      <w:r w:rsidR="00F81CBE" w:rsidRPr="00335FD4">
        <w:rPr>
          <w:rFonts w:ascii="Book Antiqua" w:hAnsi="Book Antiqua" w:cs="Arial"/>
          <w:iCs/>
          <w:color w:val="000000" w:themeColor="text1"/>
        </w:rPr>
        <w:t xml:space="preserve"> clear</w:t>
      </w:r>
      <w:r w:rsidR="006C2BDB" w:rsidRPr="00335FD4">
        <w:rPr>
          <w:rFonts w:ascii="Book Antiqua" w:hAnsi="Book Antiqua" w:cs="Arial"/>
          <w:iCs/>
          <w:color w:val="000000" w:themeColor="text1"/>
        </w:rPr>
        <w:t xml:space="preserve"> and conclusive statement as to whether development </w:t>
      </w:r>
      <w:r w:rsidR="00EE17E5" w:rsidRPr="00335FD4">
        <w:rPr>
          <w:rFonts w:ascii="Book Antiqua" w:hAnsi="Book Antiqua" w:cs="Arial"/>
          <w:iCs/>
          <w:color w:val="000000" w:themeColor="text1"/>
        </w:rPr>
        <w:t>approval should be required, so as to provide</w:t>
      </w:r>
      <w:r w:rsidR="006C2BDB" w:rsidRPr="00335FD4">
        <w:rPr>
          <w:rFonts w:ascii="Book Antiqua" w:hAnsi="Book Antiqua" w:cs="Arial"/>
          <w:iCs/>
          <w:color w:val="000000" w:themeColor="text1"/>
        </w:rPr>
        <w:t xml:space="preserve"> affected stakeholders </w:t>
      </w:r>
      <w:r w:rsidR="00EE17E5" w:rsidRPr="00335FD4">
        <w:rPr>
          <w:rFonts w:ascii="Book Antiqua" w:hAnsi="Book Antiqua" w:cs="Arial"/>
          <w:iCs/>
          <w:color w:val="000000" w:themeColor="text1"/>
        </w:rPr>
        <w:t>with</w:t>
      </w:r>
      <w:r w:rsidR="00F81CBE" w:rsidRPr="00335FD4">
        <w:rPr>
          <w:rFonts w:ascii="Book Antiqua" w:hAnsi="Book Antiqua" w:cs="Arial"/>
          <w:iCs/>
          <w:color w:val="000000" w:themeColor="text1"/>
        </w:rPr>
        <w:t xml:space="preserve"> certainty</w:t>
      </w:r>
      <w:r w:rsidR="00562641">
        <w:rPr>
          <w:rFonts w:ascii="Book Antiqua" w:hAnsi="Book Antiqua" w:cs="Arial"/>
          <w:iCs/>
          <w:color w:val="000000" w:themeColor="text1"/>
        </w:rPr>
        <w:t xml:space="preserve"> that such practices are being carried out </w:t>
      </w:r>
      <w:r w:rsidR="00562641">
        <w:rPr>
          <w:rFonts w:ascii="Book Antiqua" w:hAnsi="Book Antiqua" w:cs="Arial"/>
          <w:iCs/>
          <w:color w:val="000000" w:themeColor="text1"/>
        </w:rPr>
        <w:lastRenderedPageBreak/>
        <w:t>lawfully</w:t>
      </w:r>
      <w:r w:rsidR="00F81CBE" w:rsidRPr="00335FD4">
        <w:rPr>
          <w:rFonts w:ascii="Book Antiqua" w:hAnsi="Book Antiqua" w:cs="Arial"/>
          <w:iCs/>
          <w:color w:val="000000" w:themeColor="text1"/>
        </w:rPr>
        <w:t xml:space="preserve">. </w:t>
      </w:r>
    </w:p>
    <w:p w14:paraId="060B00B4" w14:textId="77777777" w:rsidR="00561CA9" w:rsidRPr="00335FD4" w:rsidRDefault="00561CA9" w:rsidP="00AE4C44">
      <w:pPr>
        <w:widowControl w:val="0"/>
        <w:autoSpaceDE w:val="0"/>
        <w:autoSpaceDN w:val="0"/>
        <w:adjustRightInd w:val="0"/>
        <w:jc w:val="both"/>
        <w:rPr>
          <w:rFonts w:ascii="Book Antiqua" w:eastAsia="Times New Roman" w:hAnsi="Book Antiqua"/>
          <w:b/>
          <w:color w:val="000000" w:themeColor="text1"/>
        </w:rPr>
      </w:pPr>
    </w:p>
    <w:p w14:paraId="6F26A286" w14:textId="77777777" w:rsidR="001C3910" w:rsidRPr="00335FD4" w:rsidRDefault="005A1D8F" w:rsidP="005A1D8F">
      <w:pPr>
        <w:jc w:val="center"/>
        <w:rPr>
          <w:rFonts w:ascii="Book Antiqua" w:hAnsi="Book Antiqua"/>
          <w:b/>
          <w:smallCaps/>
          <w:color w:val="000000" w:themeColor="text1"/>
          <w:lang w:val="en-AU"/>
        </w:rPr>
      </w:pPr>
      <w:r w:rsidRPr="00335FD4">
        <w:rPr>
          <w:rFonts w:ascii="Book Antiqua" w:hAnsi="Book Antiqua"/>
          <w:b/>
          <w:smallCaps/>
          <w:color w:val="000000" w:themeColor="text1"/>
          <w:lang w:val="en-AU"/>
        </w:rPr>
        <w:t xml:space="preserve">C </w:t>
      </w:r>
      <w:r w:rsidRPr="00335FD4">
        <w:rPr>
          <w:rFonts w:ascii="Book Antiqua" w:hAnsi="Book Antiqua"/>
          <w:b/>
          <w:i/>
          <w:color w:val="000000" w:themeColor="text1"/>
          <w:lang w:val="en-AU"/>
        </w:rPr>
        <w:t>Consequences for Damage to Property or Loss of Amenity</w:t>
      </w:r>
    </w:p>
    <w:p w14:paraId="3835E42B" w14:textId="77777777" w:rsidR="003F76F4" w:rsidRPr="00335FD4" w:rsidRDefault="003F76F4" w:rsidP="003F76F4">
      <w:pPr>
        <w:jc w:val="both"/>
        <w:rPr>
          <w:rFonts w:ascii="Book Antiqua" w:hAnsi="Book Antiqua"/>
          <w:b/>
          <w:smallCaps/>
          <w:color w:val="000000" w:themeColor="text1"/>
          <w:lang w:val="en-AU"/>
        </w:rPr>
      </w:pPr>
    </w:p>
    <w:p w14:paraId="067F1845" w14:textId="77777777" w:rsidR="00DE09CA" w:rsidRDefault="00AE4C44" w:rsidP="00814C70">
      <w:pPr>
        <w:spacing w:after="225"/>
        <w:jc w:val="both"/>
        <w:textAlignment w:val="baseline"/>
        <w:rPr>
          <w:rFonts w:ascii="Book Antiqua" w:hAnsi="Book Antiqua"/>
          <w:color w:val="000000" w:themeColor="text1"/>
        </w:rPr>
      </w:pPr>
      <w:r w:rsidRPr="00335FD4">
        <w:rPr>
          <w:rFonts w:ascii="Book Antiqua" w:hAnsi="Book Antiqua"/>
          <w:color w:val="000000" w:themeColor="text1"/>
        </w:rPr>
        <w:t>So far this paper has focused upon the interests of property owners and planning authorities in securing a transparent regulatory framework. Aside from their compliance with planning or other regulatory instruments, short-term rental arrangements also raise additional legal issue</w:t>
      </w:r>
      <w:r w:rsidR="00164695">
        <w:rPr>
          <w:rFonts w:ascii="Book Antiqua" w:hAnsi="Book Antiqua"/>
          <w:color w:val="000000" w:themeColor="text1"/>
        </w:rPr>
        <w:t>s</w:t>
      </w:r>
      <w:r w:rsidRPr="00335FD4">
        <w:rPr>
          <w:rFonts w:ascii="Book Antiqua" w:hAnsi="Book Antiqua"/>
          <w:color w:val="000000" w:themeColor="text1"/>
        </w:rPr>
        <w:t xml:space="preserve">. </w:t>
      </w:r>
    </w:p>
    <w:p w14:paraId="54D2CFF4" w14:textId="77777777" w:rsidR="00DE09CA" w:rsidRDefault="00DE09CA" w:rsidP="00DE09CA">
      <w:pPr>
        <w:rPr>
          <w:rFonts w:ascii="Book Antiqua" w:hAnsi="Book Antiqua"/>
          <w:b/>
          <w:i/>
          <w:color w:val="000000" w:themeColor="text1"/>
          <w:lang w:val="en-AU"/>
        </w:rPr>
      </w:pPr>
      <w:r>
        <w:rPr>
          <w:rFonts w:ascii="Book Antiqua" w:hAnsi="Book Antiqua"/>
          <w:b/>
          <w:smallCaps/>
          <w:color w:val="000000" w:themeColor="text1"/>
          <w:lang w:val="en-AU"/>
        </w:rPr>
        <w:t>1</w:t>
      </w:r>
      <w:r w:rsidRPr="00335FD4">
        <w:rPr>
          <w:rFonts w:ascii="Book Antiqua" w:hAnsi="Book Antiqua"/>
          <w:b/>
          <w:i/>
          <w:color w:val="000000" w:themeColor="text1"/>
          <w:lang w:val="en-AU"/>
        </w:rPr>
        <w:t xml:space="preserve"> </w:t>
      </w:r>
      <w:r>
        <w:rPr>
          <w:rFonts w:ascii="Book Antiqua" w:hAnsi="Book Antiqua"/>
          <w:b/>
          <w:i/>
          <w:color w:val="000000" w:themeColor="text1"/>
          <w:lang w:val="en-AU"/>
        </w:rPr>
        <w:t>Property Damage</w:t>
      </w:r>
    </w:p>
    <w:p w14:paraId="3680A905" w14:textId="77777777" w:rsidR="000701F9" w:rsidRDefault="000701F9" w:rsidP="00DE09CA">
      <w:pPr>
        <w:rPr>
          <w:rFonts w:ascii="Book Antiqua" w:hAnsi="Book Antiqua"/>
          <w:b/>
          <w:i/>
          <w:color w:val="000000" w:themeColor="text1"/>
          <w:lang w:val="en-AU"/>
        </w:rPr>
      </w:pPr>
    </w:p>
    <w:p w14:paraId="00E0F572" w14:textId="77777777" w:rsidR="003F76F4" w:rsidRPr="00335FD4" w:rsidRDefault="00AE4C44" w:rsidP="00814C70">
      <w:pPr>
        <w:spacing w:after="225"/>
        <w:jc w:val="both"/>
        <w:textAlignment w:val="baseline"/>
        <w:rPr>
          <w:rFonts w:ascii="Book Antiqua" w:eastAsia="Times New Roman" w:hAnsi="Book Antiqua" w:cs="Arial"/>
          <w:bCs/>
          <w:color w:val="000000" w:themeColor="text1"/>
          <w:lang w:eastAsia="en-AU"/>
        </w:rPr>
      </w:pPr>
      <w:r w:rsidRPr="00335FD4">
        <w:rPr>
          <w:rFonts w:ascii="Book Antiqua" w:hAnsi="Book Antiqua"/>
          <w:color w:val="000000" w:themeColor="text1"/>
        </w:rPr>
        <w:t xml:space="preserve">In particular, the practice of short-term can create problems for the owners of neighbouring properties damaged by lodgers staying on a short-term basis. </w:t>
      </w:r>
      <w:r w:rsidR="000F0F22" w:rsidRPr="00335FD4">
        <w:rPr>
          <w:rFonts w:ascii="Book Antiqua" w:hAnsi="Book Antiqua"/>
          <w:color w:val="000000" w:themeColor="text1"/>
        </w:rPr>
        <w:t xml:space="preserve">The Victorian Government’s recently announced </w:t>
      </w:r>
      <w:r w:rsidR="003A52A0" w:rsidRPr="00335FD4">
        <w:rPr>
          <w:rFonts w:ascii="Book Antiqua" w:hAnsi="Book Antiqua"/>
          <w:color w:val="000000" w:themeColor="text1"/>
        </w:rPr>
        <w:t xml:space="preserve">legislative provisions </w:t>
      </w:r>
      <w:r w:rsidRPr="00335FD4">
        <w:rPr>
          <w:rFonts w:ascii="Book Antiqua" w:hAnsi="Book Antiqua"/>
          <w:color w:val="000000" w:themeColor="text1"/>
        </w:rPr>
        <w:t>have chosen to take a tough stance</w:t>
      </w:r>
      <w:r w:rsidR="000F0F22" w:rsidRPr="00335FD4">
        <w:rPr>
          <w:rFonts w:ascii="Book Antiqua" w:hAnsi="Book Antiqua"/>
          <w:color w:val="000000" w:themeColor="text1"/>
        </w:rPr>
        <w:t xml:space="preserve"> against short-term </w:t>
      </w:r>
      <w:r w:rsidRPr="00335FD4">
        <w:rPr>
          <w:rFonts w:ascii="Book Antiqua" w:hAnsi="Book Antiqua"/>
          <w:color w:val="000000" w:themeColor="text1"/>
        </w:rPr>
        <w:t>renters</w:t>
      </w:r>
      <w:r w:rsidR="000F0F22" w:rsidRPr="00335FD4">
        <w:rPr>
          <w:rFonts w:ascii="Book Antiqua" w:hAnsi="Book Antiqua"/>
          <w:color w:val="000000" w:themeColor="text1"/>
        </w:rPr>
        <w:t xml:space="preserve"> </w:t>
      </w:r>
      <w:r w:rsidR="005A1D8F" w:rsidRPr="00335FD4">
        <w:rPr>
          <w:rFonts w:ascii="Book Antiqua" w:hAnsi="Book Antiqua"/>
          <w:color w:val="000000" w:themeColor="text1"/>
        </w:rPr>
        <w:t>that occasion damage to neighbouring properties</w:t>
      </w:r>
      <w:r w:rsidR="000F0F22" w:rsidRPr="00335FD4">
        <w:rPr>
          <w:rFonts w:ascii="Book Antiqua" w:hAnsi="Book Antiqua"/>
          <w:color w:val="000000" w:themeColor="text1"/>
        </w:rPr>
        <w:t xml:space="preserve">. </w:t>
      </w:r>
      <w:r w:rsidR="003F76F4" w:rsidRPr="00335FD4">
        <w:rPr>
          <w:rFonts w:ascii="Book Antiqua" w:hAnsi="Book Antiqua"/>
          <w:color w:val="000000" w:themeColor="text1"/>
        </w:rPr>
        <w:t xml:space="preserve">In her Second Reading speech for the </w:t>
      </w:r>
      <w:r w:rsidR="003F76F4" w:rsidRPr="00335FD4">
        <w:rPr>
          <w:rFonts w:ascii="Book Antiqua" w:eastAsia="Times New Roman" w:hAnsi="Book Antiqua" w:cs="Arial"/>
          <w:bCs/>
          <w:color w:val="000000" w:themeColor="text1"/>
          <w:lang w:eastAsia="en-AU"/>
        </w:rPr>
        <w:t xml:space="preserve">Owners Corporations Amendment (Short-stay Accommodation) Bill 2016 (Vic), the Minister for Consumer Affairs, Jane Garret noted the difficulties faced by aggrieved neighbours and owner corporations who </w:t>
      </w:r>
      <w:r w:rsidRPr="00335FD4">
        <w:rPr>
          <w:rFonts w:ascii="Book Antiqua" w:eastAsia="Times New Roman" w:hAnsi="Book Antiqua" w:cs="Arial"/>
          <w:bCs/>
          <w:color w:val="000000" w:themeColor="text1"/>
          <w:lang w:eastAsia="en-AU"/>
        </w:rPr>
        <w:t>are</w:t>
      </w:r>
      <w:r w:rsidR="003F76F4" w:rsidRPr="00335FD4">
        <w:rPr>
          <w:rFonts w:ascii="Book Antiqua" w:eastAsia="Times New Roman" w:hAnsi="Book Antiqua" w:cs="Arial"/>
          <w:bCs/>
          <w:color w:val="000000" w:themeColor="text1"/>
          <w:lang w:eastAsia="en-AU"/>
        </w:rPr>
        <w:t xml:space="preserve"> unable to locate transient short-stay occupants</w:t>
      </w:r>
      <w:r w:rsidR="003A52A0" w:rsidRPr="00335FD4">
        <w:rPr>
          <w:rFonts w:ascii="Book Antiqua" w:eastAsia="Times New Roman" w:hAnsi="Book Antiqua" w:cs="Arial"/>
          <w:bCs/>
          <w:color w:val="000000" w:themeColor="text1"/>
          <w:lang w:eastAsia="en-AU"/>
        </w:rPr>
        <w:t xml:space="preserve"> in cases of damage to property or disturbance to </w:t>
      </w:r>
      <w:r w:rsidRPr="00335FD4">
        <w:rPr>
          <w:rFonts w:ascii="Book Antiqua" w:eastAsia="Times New Roman" w:hAnsi="Book Antiqua" w:cs="Arial"/>
          <w:bCs/>
          <w:color w:val="000000" w:themeColor="text1"/>
          <w:lang w:eastAsia="en-AU"/>
        </w:rPr>
        <w:t xml:space="preserve">an owner’s right to </w:t>
      </w:r>
      <w:r w:rsidR="003A52A0" w:rsidRPr="00335FD4">
        <w:rPr>
          <w:rFonts w:ascii="Book Antiqua" w:eastAsia="Times New Roman" w:hAnsi="Book Antiqua" w:cs="Arial"/>
          <w:bCs/>
          <w:color w:val="000000" w:themeColor="text1"/>
          <w:lang w:eastAsia="en-AU"/>
        </w:rPr>
        <w:t xml:space="preserve">quiet enjoyment. </w:t>
      </w:r>
      <w:r w:rsidRPr="00335FD4">
        <w:rPr>
          <w:rFonts w:ascii="Book Antiqua" w:eastAsia="Times New Roman" w:hAnsi="Book Antiqua" w:cs="Arial"/>
          <w:bCs/>
          <w:color w:val="000000" w:themeColor="text1"/>
          <w:lang w:eastAsia="en-AU"/>
        </w:rPr>
        <w:t xml:space="preserve">Prior to the enactment of the legislation, short-term </w:t>
      </w:r>
      <w:r w:rsidR="003F76F4" w:rsidRPr="00335FD4">
        <w:rPr>
          <w:rFonts w:ascii="Book Antiqua" w:eastAsia="Times New Roman" w:hAnsi="Book Antiqua" w:cs="Arial"/>
          <w:bCs/>
          <w:color w:val="000000" w:themeColor="text1"/>
          <w:lang w:eastAsia="en-AU"/>
        </w:rPr>
        <w:t xml:space="preserve">accommodation providers </w:t>
      </w:r>
      <w:r w:rsidR="003A52A0" w:rsidRPr="00335FD4">
        <w:rPr>
          <w:rFonts w:ascii="Book Antiqua" w:eastAsia="Times New Roman" w:hAnsi="Book Antiqua" w:cs="Arial"/>
          <w:bCs/>
          <w:color w:val="000000" w:themeColor="text1"/>
          <w:lang w:eastAsia="en-AU"/>
        </w:rPr>
        <w:t>were</w:t>
      </w:r>
      <w:r w:rsidR="003F76F4" w:rsidRPr="00335FD4">
        <w:rPr>
          <w:rFonts w:ascii="Book Antiqua" w:eastAsia="Times New Roman" w:hAnsi="Book Antiqua" w:cs="Arial"/>
          <w:bCs/>
          <w:color w:val="000000" w:themeColor="text1"/>
          <w:lang w:eastAsia="en-AU"/>
        </w:rPr>
        <w:t xml:space="preserve"> not liable for the conduct of their occupants</w:t>
      </w:r>
      <w:r w:rsidR="003A52A0" w:rsidRPr="00335FD4">
        <w:rPr>
          <w:rFonts w:ascii="Book Antiqua" w:eastAsia="Times New Roman" w:hAnsi="Book Antiqua" w:cs="Arial"/>
          <w:bCs/>
          <w:color w:val="000000" w:themeColor="text1"/>
          <w:lang w:eastAsia="en-AU"/>
        </w:rPr>
        <w:t>, particularly in cases where such damage had been occasioned</w:t>
      </w:r>
      <w:r w:rsidR="003F76F4" w:rsidRPr="00335FD4">
        <w:rPr>
          <w:rFonts w:ascii="Book Antiqua" w:eastAsia="Times New Roman" w:hAnsi="Book Antiqua" w:cs="Arial"/>
          <w:bCs/>
          <w:color w:val="000000" w:themeColor="text1"/>
          <w:lang w:eastAsia="en-AU"/>
        </w:rPr>
        <w:t>.</w:t>
      </w:r>
      <w:r w:rsidR="003F76F4" w:rsidRPr="00335FD4">
        <w:rPr>
          <w:rStyle w:val="FootnoteReference"/>
          <w:rFonts w:ascii="Book Antiqua" w:eastAsia="Times New Roman" w:hAnsi="Book Antiqua" w:cs="Arial"/>
          <w:bCs/>
          <w:color w:val="000000" w:themeColor="text1"/>
          <w:lang w:eastAsia="en-AU"/>
        </w:rPr>
        <w:footnoteReference w:id="53"/>
      </w:r>
      <w:r w:rsidR="003F76F4" w:rsidRPr="00335FD4">
        <w:rPr>
          <w:rFonts w:ascii="Book Antiqua" w:eastAsia="Times New Roman" w:hAnsi="Book Antiqua" w:cs="Arial"/>
          <w:bCs/>
          <w:color w:val="000000" w:themeColor="text1"/>
          <w:lang w:eastAsia="en-AU"/>
        </w:rPr>
        <w:t xml:space="preserve"> </w:t>
      </w:r>
    </w:p>
    <w:p w14:paraId="5134B49C" w14:textId="77777777" w:rsidR="003D0438" w:rsidRDefault="003F76F4" w:rsidP="00814C70">
      <w:pPr>
        <w:spacing w:after="225"/>
        <w:jc w:val="both"/>
        <w:textAlignment w:val="baseline"/>
        <w:rPr>
          <w:rFonts w:ascii="Book Antiqua" w:eastAsia="Times New Roman" w:hAnsi="Book Antiqua"/>
          <w:color w:val="000000" w:themeColor="text1"/>
          <w:lang w:val="en-AU" w:eastAsia="en-AU"/>
        </w:rPr>
      </w:pPr>
      <w:r w:rsidRPr="00335FD4">
        <w:rPr>
          <w:rFonts w:ascii="Book Antiqua" w:eastAsia="Times New Roman" w:hAnsi="Book Antiqua" w:cs="Arial"/>
          <w:bCs/>
          <w:color w:val="000000" w:themeColor="text1"/>
          <w:lang w:eastAsia="en-AU"/>
        </w:rPr>
        <w:t xml:space="preserve">The new provisions </w:t>
      </w:r>
      <w:r w:rsidR="003A52A0" w:rsidRPr="00335FD4">
        <w:rPr>
          <w:rFonts w:ascii="Book Antiqua" w:eastAsia="Times New Roman" w:hAnsi="Book Antiqua" w:cs="Arial"/>
          <w:bCs/>
          <w:color w:val="000000" w:themeColor="text1"/>
          <w:lang w:eastAsia="en-AU"/>
        </w:rPr>
        <w:t>which have been adopted</w:t>
      </w:r>
      <w:r w:rsidRPr="00335FD4">
        <w:rPr>
          <w:rFonts w:ascii="Book Antiqua" w:eastAsia="Times New Roman" w:hAnsi="Book Antiqua" w:cs="Arial"/>
          <w:bCs/>
          <w:color w:val="000000" w:themeColor="text1"/>
          <w:lang w:eastAsia="en-AU"/>
        </w:rPr>
        <w:t xml:space="preserve"> not only identify</w:t>
      </w:r>
      <w:r w:rsidR="003A52A0" w:rsidRPr="00335FD4">
        <w:rPr>
          <w:rFonts w:ascii="Book Antiqua" w:eastAsia="Times New Roman" w:hAnsi="Book Antiqua" w:cs="Arial"/>
          <w:bCs/>
          <w:color w:val="000000" w:themeColor="text1"/>
          <w:lang w:eastAsia="en-AU"/>
        </w:rPr>
        <w:t xml:space="preserve"> the</w:t>
      </w:r>
      <w:r w:rsidRPr="00335FD4">
        <w:rPr>
          <w:rFonts w:ascii="Book Antiqua" w:eastAsia="Times New Roman" w:hAnsi="Book Antiqua" w:cs="Arial"/>
          <w:bCs/>
          <w:color w:val="000000" w:themeColor="text1"/>
          <w:lang w:eastAsia="en-AU"/>
        </w:rPr>
        <w:t xml:space="preserve"> conduct</w:t>
      </w:r>
      <w:r w:rsidR="003A52A0" w:rsidRPr="00335FD4">
        <w:rPr>
          <w:rFonts w:ascii="Book Antiqua" w:eastAsia="Times New Roman" w:hAnsi="Book Antiqua" w:cs="Arial"/>
          <w:bCs/>
          <w:color w:val="000000" w:themeColor="text1"/>
          <w:lang w:eastAsia="en-AU"/>
        </w:rPr>
        <w:t xml:space="preserve"> of lodgers which will now be capable of redress;</w:t>
      </w:r>
      <w:r w:rsidRPr="00335FD4">
        <w:rPr>
          <w:rFonts w:ascii="Book Antiqua" w:eastAsia="Times New Roman" w:hAnsi="Book Antiqua" w:cs="Arial"/>
          <w:bCs/>
          <w:color w:val="000000" w:themeColor="text1"/>
          <w:lang w:eastAsia="en-AU"/>
        </w:rPr>
        <w:t xml:space="preserve"> such as excessive noise, obstruction of common property and property damage, but also establish a means by which compensation may be recovered. </w:t>
      </w:r>
      <w:r w:rsidR="00B57B60" w:rsidRPr="00335FD4">
        <w:rPr>
          <w:rFonts w:ascii="Book Antiqua" w:eastAsia="Times New Roman" w:hAnsi="Book Antiqua" w:cs="Arial"/>
          <w:bCs/>
          <w:color w:val="000000" w:themeColor="text1"/>
          <w:lang w:eastAsia="en-AU"/>
        </w:rPr>
        <w:t>Under the provisions, t</w:t>
      </w:r>
      <w:r w:rsidRPr="00335FD4">
        <w:rPr>
          <w:rFonts w:ascii="Book Antiqua" w:eastAsia="Times New Roman" w:hAnsi="Book Antiqua" w:cs="Arial"/>
          <w:bCs/>
          <w:color w:val="000000" w:themeColor="text1"/>
          <w:lang w:eastAsia="en-AU"/>
        </w:rPr>
        <w:t>he Victorian Civil and Administrative Tribunal (VCAT) will be empowered to a</w:t>
      </w:r>
      <w:r w:rsidRPr="00335FD4">
        <w:rPr>
          <w:rFonts w:ascii="Book Antiqua" w:eastAsia="Times New Roman" w:hAnsi="Book Antiqua"/>
          <w:color w:val="000000" w:themeColor="text1"/>
          <w:lang w:val="en-AU" w:eastAsia="en-AU"/>
        </w:rPr>
        <w:t>wa</w:t>
      </w:r>
      <w:r w:rsidR="00A86C21" w:rsidRPr="00335FD4">
        <w:rPr>
          <w:rFonts w:ascii="Book Antiqua" w:eastAsia="Times New Roman" w:hAnsi="Book Antiqua"/>
          <w:color w:val="000000" w:themeColor="text1"/>
          <w:lang w:val="en-AU" w:eastAsia="en-AU"/>
        </w:rPr>
        <w:t>rd loss of amenity compensation</w:t>
      </w:r>
      <w:r w:rsidRPr="00335FD4">
        <w:rPr>
          <w:rFonts w:ascii="Book Antiqua" w:eastAsia="Times New Roman" w:hAnsi="Book Antiqua"/>
          <w:color w:val="000000" w:themeColor="text1"/>
          <w:lang w:val="en-AU" w:eastAsia="en-AU"/>
        </w:rPr>
        <w:t xml:space="preserve"> for </w:t>
      </w:r>
      <w:r w:rsidR="00A86C21" w:rsidRPr="00335FD4">
        <w:rPr>
          <w:rFonts w:ascii="Book Antiqua" w:eastAsia="Times New Roman" w:hAnsi="Book Antiqua"/>
          <w:color w:val="000000" w:themeColor="text1"/>
          <w:lang w:val="en-AU" w:eastAsia="en-AU"/>
        </w:rPr>
        <w:t>up to $2000</w:t>
      </w:r>
      <w:r w:rsidRPr="00335FD4">
        <w:rPr>
          <w:rFonts w:ascii="Book Antiqua" w:eastAsia="Times New Roman" w:hAnsi="Book Antiqua"/>
          <w:color w:val="000000" w:themeColor="text1"/>
          <w:lang w:val="en-AU" w:eastAsia="en-AU"/>
        </w:rPr>
        <w:t xml:space="preserve"> to a</w:t>
      </w:r>
      <w:r w:rsidR="00A86C21" w:rsidRPr="00335FD4">
        <w:rPr>
          <w:rFonts w:ascii="Book Antiqua" w:eastAsia="Times New Roman" w:hAnsi="Book Antiqua"/>
          <w:color w:val="000000" w:themeColor="text1"/>
          <w:lang w:val="en-AU" w:eastAsia="en-AU"/>
        </w:rPr>
        <w:t>ny</w:t>
      </w:r>
      <w:r w:rsidRPr="00335FD4">
        <w:rPr>
          <w:rFonts w:ascii="Book Antiqua" w:eastAsia="Times New Roman" w:hAnsi="Book Antiqua"/>
          <w:color w:val="000000" w:themeColor="text1"/>
          <w:lang w:val="en-AU" w:eastAsia="en-AU"/>
        </w:rPr>
        <w:t xml:space="preserve"> resident whose amenity has been affected by </w:t>
      </w:r>
      <w:r w:rsidR="00A86C21" w:rsidRPr="00335FD4">
        <w:rPr>
          <w:rFonts w:ascii="Book Antiqua" w:eastAsia="Times New Roman" w:hAnsi="Book Antiqua"/>
          <w:color w:val="000000" w:themeColor="text1"/>
          <w:lang w:val="en-AU" w:eastAsia="en-AU"/>
        </w:rPr>
        <w:t>such</w:t>
      </w:r>
      <w:r w:rsidRPr="00335FD4">
        <w:rPr>
          <w:rFonts w:ascii="Book Antiqua" w:eastAsia="Times New Roman" w:hAnsi="Book Antiqua"/>
          <w:color w:val="000000" w:themeColor="text1"/>
          <w:lang w:val="en-AU" w:eastAsia="en-AU"/>
        </w:rPr>
        <w:t xml:space="preserve"> inappropriate conduct.</w:t>
      </w:r>
      <w:r w:rsidR="00621685" w:rsidRPr="00335FD4">
        <w:rPr>
          <w:rStyle w:val="FootnoteReference"/>
          <w:rFonts w:ascii="Book Antiqua" w:eastAsia="Times New Roman" w:hAnsi="Book Antiqua"/>
          <w:color w:val="000000" w:themeColor="text1"/>
          <w:lang w:val="en-AU" w:eastAsia="en-AU"/>
        </w:rPr>
        <w:footnoteReference w:id="54"/>
      </w:r>
      <w:r w:rsidRPr="00335FD4">
        <w:rPr>
          <w:rFonts w:ascii="Book Antiqua" w:eastAsia="Times New Roman" w:hAnsi="Book Antiqua"/>
          <w:color w:val="000000" w:themeColor="text1"/>
          <w:lang w:val="en-AU" w:eastAsia="en-AU"/>
        </w:rPr>
        <w:t xml:space="preserve"> Short-stay accommodation providers will </w:t>
      </w:r>
      <w:r w:rsidR="00A86C21" w:rsidRPr="00335FD4">
        <w:rPr>
          <w:rFonts w:ascii="Book Antiqua" w:eastAsia="Times New Roman" w:hAnsi="Book Antiqua"/>
          <w:color w:val="000000" w:themeColor="text1"/>
          <w:lang w:val="en-AU" w:eastAsia="en-AU"/>
        </w:rPr>
        <w:t>also be</w:t>
      </w:r>
      <w:r w:rsidRPr="00335FD4">
        <w:rPr>
          <w:rFonts w:ascii="Book Antiqua" w:eastAsia="Times New Roman" w:hAnsi="Book Antiqua"/>
          <w:color w:val="000000" w:themeColor="text1"/>
          <w:lang w:val="en-AU" w:eastAsia="en-AU"/>
        </w:rPr>
        <w:t xml:space="preserve"> made jointly and severally liable with their short-stay occupants for such compensation, but will </w:t>
      </w:r>
      <w:r w:rsidR="00A86C21" w:rsidRPr="00335FD4">
        <w:rPr>
          <w:rFonts w:ascii="Book Antiqua" w:eastAsia="Times New Roman" w:hAnsi="Book Antiqua"/>
          <w:color w:val="000000" w:themeColor="text1"/>
          <w:lang w:val="en-AU" w:eastAsia="en-AU"/>
        </w:rPr>
        <w:t xml:space="preserve">have the ability to </w:t>
      </w:r>
      <w:r w:rsidRPr="00335FD4">
        <w:rPr>
          <w:rFonts w:ascii="Book Antiqua" w:eastAsia="Times New Roman" w:hAnsi="Book Antiqua"/>
          <w:color w:val="000000" w:themeColor="text1"/>
          <w:lang w:val="en-AU" w:eastAsia="en-AU"/>
        </w:rPr>
        <w:t>defend a claim if they can establish that they took all reasonable steps to prevent the conduct from occurring.</w:t>
      </w:r>
      <w:r w:rsidR="00621685" w:rsidRPr="00335FD4">
        <w:rPr>
          <w:rStyle w:val="FootnoteReference"/>
          <w:rFonts w:ascii="Book Antiqua" w:eastAsia="Times New Roman" w:hAnsi="Book Antiqua"/>
          <w:color w:val="000000" w:themeColor="text1"/>
          <w:lang w:val="en-AU" w:eastAsia="en-AU"/>
        </w:rPr>
        <w:footnoteReference w:id="55"/>
      </w:r>
      <w:r w:rsidRPr="00335FD4">
        <w:rPr>
          <w:rFonts w:ascii="Book Antiqua" w:eastAsia="Times New Roman" w:hAnsi="Book Antiqua"/>
          <w:color w:val="000000" w:themeColor="text1"/>
          <w:lang w:val="en-AU" w:eastAsia="en-AU"/>
        </w:rPr>
        <w:t xml:space="preserve"> The provisions also import a three-strike rule, with VCAT empowered to make orders prohibiting the use of an apartment for short-stay accommodation, for a certain period, if short-stay occupants of that apartment have, on at least three separate occasions within 24 months, been guilty of inappropriate conduct.</w:t>
      </w:r>
      <w:r w:rsidR="00621685" w:rsidRPr="00335FD4">
        <w:rPr>
          <w:rStyle w:val="FootnoteReference"/>
          <w:rFonts w:ascii="Book Antiqua" w:eastAsia="Times New Roman" w:hAnsi="Book Antiqua"/>
          <w:color w:val="000000" w:themeColor="text1"/>
          <w:lang w:val="en-AU" w:eastAsia="en-AU"/>
        </w:rPr>
        <w:footnoteReference w:id="56"/>
      </w:r>
      <w:r w:rsidRPr="00335FD4">
        <w:rPr>
          <w:rFonts w:ascii="Book Antiqua" w:eastAsia="Times New Roman" w:hAnsi="Book Antiqua"/>
          <w:color w:val="000000" w:themeColor="text1"/>
          <w:lang w:val="en-AU" w:eastAsia="en-AU"/>
        </w:rPr>
        <w:t xml:space="preserve"> </w:t>
      </w:r>
    </w:p>
    <w:p w14:paraId="6E01A63A" w14:textId="77777777" w:rsidR="00DE09CA" w:rsidRDefault="00DE09CA" w:rsidP="00DE09CA">
      <w:pPr>
        <w:rPr>
          <w:rFonts w:ascii="Book Antiqua" w:hAnsi="Book Antiqua"/>
          <w:b/>
          <w:i/>
          <w:color w:val="000000" w:themeColor="text1"/>
          <w:lang w:val="en-AU"/>
        </w:rPr>
      </w:pPr>
      <w:r>
        <w:rPr>
          <w:rFonts w:ascii="Book Antiqua" w:hAnsi="Book Antiqua"/>
          <w:b/>
          <w:smallCaps/>
          <w:color w:val="000000" w:themeColor="text1"/>
          <w:lang w:val="en-AU"/>
        </w:rPr>
        <w:t>2</w:t>
      </w:r>
      <w:r w:rsidRPr="00335FD4">
        <w:rPr>
          <w:rFonts w:ascii="Book Antiqua" w:hAnsi="Book Antiqua"/>
          <w:b/>
          <w:i/>
          <w:color w:val="000000" w:themeColor="text1"/>
          <w:lang w:val="en-AU"/>
        </w:rPr>
        <w:t xml:space="preserve"> </w:t>
      </w:r>
      <w:r>
        <w:rPr>
          <w:rFonts w:ascii="Book Antiqua" w:hAnsi="Book Antiqua"/>
          <w:b/>
          <w:i/>
          <w:color w:val="000000" w:themeColor="text1"/>
          <w:lang w:val="en-AU"/>
        </w:rPr>
        <w:t>The need for adequate insurance</w:t>
      </w:r>
    </w:p>
    <w:p w14:paraId="5052F768" w14:textId="77777777" w:rsidR="00DE09CA" w:rsidRPr="00335FD4" w:rsidRDefault="00DE09CA" w:rsidP="00DE09CA">
      <w:pPr>
        <w:rPr>
          <w:rFonts w:ascii="Book Antiqua" w:hAnsi="Book Antiqua"/>
          <w:b/>
          <w:i/>
          <w:color w:val="000000" w:themeColor="text1"/>
          <w:lang w:val="en-AU"/>
        </w:rPr>
      </w:pPr>
    </w:p>
    <w:p w14:paraId="19EA1FD5" w14:textId="77777777" w:rsidR="00921EFC" w:rsidRPr="00335FD4" w:rsidRDefault="00AE4C44" w:rsidP="00322316">
      <w:pPr>
        <w:spacing w:after="225"/>
        <w:jc w:val="both"/>
        <w:textAlignment w:val="baseline"/>
        <w:rPr>
          <w:rFonts w:ascii="Book Antiqua" w:hAnsi="Book Antiqua"/>
          <w:color w:val="000000" w:themeColor="text1"/>
        </w:rPr>
      </w:pPr>
      <w:r w:rsidRPr="00335FD4">
        <w:rPr>
          <w:rFonts w:ascii="Book Antiqua" w:eastAsia="Times New Roman" w:hAnsi="Book Antiqua"/>
          <w:color w:val="000000" w:themeColor="text1"/>
          <w:lang w:val="en-AU" w:eastAsia="en-AU"/>
        </w:rPr>
        <w:t xml:space="preserve">An additional concern associated with the practice of renting properties for short-term periods is the risk </w:t>
      </w:r>
      <w:r w:rsidR="00A8069A" w:rsidRPr="00335FD4">
        <w:rPr>
          <w:rFonts w:ascii="Book Antiqua" w:eastAsia="Times New Roman" w:hAnsi="Book Antiqua"/>
          <w:color w:val="000000" w:themeColor="text1"/>
          <w:lang w:val="en-AU" w:eastAsia="en-AU"/>
        </w:rPr>
        <w:t>that lodgers will be injured during their stay.</w:t>
      </w:r>
      <w:r w:rsidRPr="00335FD4">
        <w:rPr>
          <w:rFonts w:ascii="Book Antiqua" w:eastAsia="Times New Roman" w:hAnsi="Book Antiqua"/>
          <w:color w:val="000000" w:themeColor="text1"/>
          <w:lang w:val="en-AU" w:eastAsia="en-AU"/>
        </w:rPr>
        <w:t xml:space="preserve"> </w:t>
      </w:r>
      <w:r w:rsidR="00A8069A" w:rsidRPr="00335FD4">
        <w:rPr>
          <w:rFonts w:ascii="Book Antiqua" w:eastAsia="Times New Roman" w:hAnsi="Book Antiqua"/>
          <w:color w:val="000000" w:themeColor="text1"/>
          <w:lang w:val="en-AU" w:eastAsia="en-AU"/>
        </w:rPr>
        <w:t xml:space="preserve">As a recent </w:t>
      </w:r>
      <w:r w:rsidR="00A8069A" w:rsidRPr="00335FD4">
        <w:rPr>
          <w:rFonts w:ascii="Book Antiqua" w:eastAsia="Times New Roman" w:hAnsi="Book Antiqua"/>
          <w:color w:val="000000" w:themeColor="text1"/>
          <w:lang w:val="en-AU" w:eastAsia="en-AU"/>
        </w:rPr>
        <w:lastRenderedPageBreak/>
        <w:t xml:space="preserve">NSW case illustrates, the risk of injury occurring is not simply some fictional worst case scenario, but poses </w:t>
      </w:r>
      <w:r w:rsidR="00FE3597" w:rsidRPr="00335FD4">
        <w:rPr>
          <w:rFonts w:ascii="Book Antiqua" w:eastAsia="Times New Roman" w:hAnsi="Book Antiqua"/>
          <w:color w:val="000000" w:themeColor="text1"/>
          <w:lang w:val="en-AU" w:eastAsia="en-AU"/>
        </w:rPr>
        <w:t>a real possibility with tremendous consequences</w:t>
      </w:r>
      <w:r w:rsidR="00322316">
        <w:rPr>
          <w:rFonts w:ascii="Book Antiqua" w:eastAsia="Times New Roman" w:hAnsi="Book Antiqua"/>
          <w:color w:val="000000" w:themeColor="text1"/>
          <w:lang w:val="en-AU" w:eastAsia="en-AU"/>
        </w:rPr>
        <w:t xml:space="preserve"> for those inadequately insured. </w:t>
      </w:r>
      <w:r w:rsidR="003D0438" w:rsidRPr="00335FD4">
        <w:rPr>
          <w:rFonts w:ascii="Book Antiqua" w:hAnsi="Book Antiqua"/>
          <w:color w:val="000000" w:themeColor="text1"/>
        </w:rPr>
        <w:t xml:space="preserve">In </w:t>
      </w:r>
      <w:r w:rsidR="003D0438" w:rsidRPr="00335FD4">
        <w:rPr>
          <w:rFonts w:ascii="Book Antiqua" w:hAnsi="Book Antiqua"/>
          <w:i/>
          <w:color w:val="000000" w:themeColor="text1"/>
        </w:rPr>
        <w:t>Panther v Pischedda</w:t>
      </w:r>
      <w:r w:rsidR="003D0438" w:rsidRPr="00335FD4">
        <w:rPr>
          <w:rFonts w:ascii="Book Antiqua" w:hAnsi="Book Antiqua"/>
          <w:color w:val="000000" w:themeColor="text1"/>
        </w:rPr>
        <w:t xml:space="preserve">, the New South Wales Court of Appeal held that a home owner who had rented out their property in the Blue Mountains for two nights, was liable under the </w:t>
      </w:r>
      <w:r w:rsidR="003D0438" w:rsidRPr="00335FD4">
        <w:rPr>
          <w:rFonts w:ascii="Book Antiqua" w:hAnsi="Book Antiqua"/>
          <w:i/>
          <w:color w:val="000000" w:themeColor="text1"/>
        </w:rPr>
        <w:t xml:space="preserve">Civil Liability Act 2002 </w:t>
      </w:r>
      <w:r w:rsidR="003D0438" w:rsidRPr="00335FD4">
        <w:rPr>
          <w:rFonts w:ascii="Book Antiqua" w:hAnsi="Book Antiqua"/>
          <w:color w:val="000000" w:themeColor="text1"/>
        </w:rPr>
        <w:t>(NSW) for damages sustained by a lodger who broke her ankle slipping down the</w:t>
      </w:r>
      <w:r w:rsidR="00876F62">
        <w:rPr>
          <w:rFonts w:ascii="Book Antiqua" w:hAnsi="Book Antiqua"/>
          <w:color w:val="000000" w:themeColor="text1"/>
        </w:rPr>
        <w:t>ir</w:t>
      </w:r>
      <w:r w:rsidR="003D0438" w:rsidRPr="00335FD4">
        <w:rPr>
          <w:rFonts w:ascii="Book Antiqua" w:hAnsi="Book Antiqua"/>
          <w:color w:val="000000" w:themeColor="text1"/>
        </w:rPr>
        <w:t xml:space="preserve"> driveway.</w:t>
      </w:r>
      <w:r w:rsidR="003D0438" w:rsidRPr="00335FD4">
        <w:rPr>
          <w:rStyle w:val="FootnoteReference"/>
          <w:rFonts w:ascii="Book Antiqua" w:hAnsi="Book Antiqua"/>
          <w:color w:val="000000" w:themeColor="text1"/>
        </w:rPr>
        <w:footnoteReference w:id="57"/>
      </w:r>
      <w:r w:rsidR="003D0438" w:rsidRPr="00335FD4">
        <w:rPr>
          <w:rFonts w:ascii="Book Antiqua" w:hAnsi="Book Antiqua"/>
          <w:color w:val="000000" w:themeColor="text1"/>
        </w:rPr>
        <w:t xml:space="preserve"> In the District Court, Curtis DCJ had found that a reasonable person in the defendants’ position would have known or ought to have known of the risk, and would have taken reasonable preventative measures, namely, installing a handrail or removing a portion of the adjacent hedge to provide an alternate point of access to the property.</w:t>
      </w:r>
      <w:r w:rsidR="003D0438" w:rsidRPr="00335FD4">
        <w:rPr>
          <w:rStyle w:val="FootnoteReference"/>
          <w:rFonts w:ascii="Book Antiqua" w:hAnsi="Book Antiqua"/>
          <w:color w:val="000000" w:themeColor="text1"/>
        </w:rPr>
        <w:footnoteReference w:id="58"/>
      </w:r>
      <w:r w:rsidR="003D0438" w:rsidRPr="00335FD4">
        <w:rPr>
          <w:rFonts w:ascii="Book Antiqua" w:hAnsi="Book Antiqua"/>
          <w:color w:val="000000" w:themeColor="text1"/>
        </w:rPr>
        <w:t xml:space="preserve"> The Court of Appeal agreed, noting that any cost or unsightliness arising from the installation of such measures would not have been disproportionate to the identified risk.</w:t>
      </w:r>
      <w:r w:rsidR="003D0438" w:rsidRPr="00335FD4">
        <w:rPr>
          <w:rStyle w:val="FootnoteReference"/>
          <w:rFonts w:ascii="Book Antiqua" w:hAnsi="Book Antiqua"/>
          <w:color w:val="000000" w:themeColor="text1"/>
        </w:rPr>
        <w:footnoteReference w:id="59"/>
      </w:r>
      <w:r w:rsidR="003D0438" w:rsidRPr="00335FD4">
        <w:rPr>
          <w:rFonts w:ascii="Book Antiqua" w:hAnsi="Book Antiqua"/>
          <w:color w:val="000000" w:themeColor="text1"/>
        </w:rPr>
        <w:t xml:space="preserve"> The Court’s decision reinforces the need for those engaging in the practice of short-term letting to take steps to identify potential risks, and </w:t>
      </w:r>
      <w:r w:rsidR="00FE3597" w:rsidRPr="00335FD4">
        <w:rPr>
          <w:rFonts w:ascii="Book Antiqua" w:hAnsi="Book Antiqua"/>
          <w:color w:val="000000" w:themeColor="text1"/>
        </w:rPr>
        <w:t xml:space="preserve">make necessary modifications to their property to eliminate those dangers. </w:t>
      </w:r>
    </w:p>
    <w:p w14:paraId="45D3FA0E" w14:textId="77777777" w:rsidR="006F0F46" w:rsidRPr="00335FD4" w:rsidRDefault="00FE3597" w:rsidP="00DC100E">
      <w:pPr>
        <w:spacing w:after="225" w:line="315" w:lineRule="atLeast"/>
        <w:jc w:val="both"/>
        <w:textAlignment w:val="baseline"/>
        <w:rPr>
          <w:rFonts w:ascii="Book Antiqua" w:hAnsi="Book Antiqua"/>
          <w:color w:val="000000" w:themeColor="text1"/>
        </w:rPr>
      </w:pPr>
      <w:r w:rsidRPr="00335FD4">
        <w:rPr>
          <w:rFonts w:ascii="Book Antiqua" w:hAnsi="Book Antiqua"/>
          <w:color w:val="000000" w:themeColor="text1"/>
        </w:rPr>
        <w:t xml:space="preserve">More crucially, the decision highlights the need </w:t>
      </w:r>
      <w:r w:rsidR="003D0438" w:rsidRPr="00335FD4">
        <w:rPr>
          <w:rFonts w:ascii="Book Antiqua" w:hAnsi="Book Antiqua"/>
          <w:color w:val="000000" w:themeColor="text1"/>
        </w:rPr>
        <w:t xml:space="preserve">for owners to acquire adequate insurance to cover </w:t>
      </w:r>
      <w:r w:rsidR="00921EFC" w:rsidRPr="00335FD4">
        <w:rPr>
          <w:rFonts w:ascii="Book Antiqua" w:hAnsi="Book Antiqua"/>
          <w:color w:val="000000" w:themeColor="text1"/>
        </w:rPr>
        <w:t>against any injuries sustained by their lodgers. This particula</w:t>
      </w:r>
      <w:r w:rsidR="003620CB" w:rsidRPr="00335FD4">
        <w:rPr>
          <w:rFonts w:ascii="Book Antiqua" w:hAnsi="Book Antiqua"/>
          <w:color w:val="000000" w:themeColor="text1"/>
        </w:rPr>
        <w:t xml:space="preserve">r concern was identified by the Insurance Australia Group, in its submission to the NSW Parliamentary Inquiry into short-term </w:t>
      </w:r>
      <w:r w:rsidR="00B40896">
        <w:rPr>
          <w:rFonts w:ascii="Book Antiqua" w:hAnsi="Book Antiqua"/>
          <w:color w:val="000000" w:themeColor="text1"/>
        </w:rPr>
        <w:t xml:space="preserve">holiday </w:t>
      </w:r>
      <w:r w:rsidR="003620CB" w:rsidRPr="00335FD4">
        <w:rPr>
          <w:rFonts w:ascii="Book Antiqua" w:hAnsi="Book Antiqua"/>
          <w:color w:val="000000" w:themeColor="text1"/>
        </w:rPr>
        <w:t>letting.</w:t>
      </w:r>
      <w:r w:rsidR="00DF5861" w:rsidRPr="00335FD4">
        <w:rPr>
          <w:rStyle w:val="FootnoteReference"/>
          <w:rFonts w:ascii="Book Antiqua" w:hAnsi="Book Antiqua"/>
          <w:color w:val="000000" w:themeColor="text1"/>
        </w:rPr>
        <w:footnoteReference w:id="60"/>
      </w:r>
      <w:r w:rsidR="00DF5861" w:rsidRPr="00335FD4">
        <w:rPr>
          <w:rFonts w:ascii="Book Antiqua" w:hAnsi="Book Antiqua"/>
          <w:color w:val="000000" w:themeColor="text1"/>
        </w:rPr>
        <w:t xml:space="preserve"> A key issue raised by the Gro</w:t>
      </w:r>
      <w:r w:rsidR="00D83B56" w:rsidRPr="00335FD4">
        <w:rPr>
          <w:rFonts w:ascii="Book Antiqua" w:hAnsi="Book Antiqua"/>
          <w:color w:val="000000" w:themeColor="text1"/>
        </w:rPr>
        <w:t xml:space="preserve">up related to the present scope of most home insurance policies. While such policies would normally cover theft, damage or other types of loss, most policies do not extend to circumstances </w:t>
      </w:r>
      <w:r w:rsidR="00D96959">
        <w:rPr>
          <w:rFonts w:ascii="Book Antiqua" w:hAnsi="Book Antiqua"/>
          <w:color w:val="000000" w:themeColor="text1"/>
        </w:rPr>
        <w:t>where</w:t>
      </w:r>
      <w:r w:rsidR="00D83B56" w:rsidRPr="00335FD4">
        <w:rPr>
          <w:rFonts w:ascii="Book Antiqua" w:hAnsi="Book Antiqua"/>
          <w:color w:val="000000" w:themeColor="text1"/>
        </w:rPr>
        <w:t xml:space="preserve"> the property </w:t>
      </w:r>
      <w:r w:rsidR="00D96959">
        <w:rPr>
          <w:rFonts w:ascii="Book Antiqua" w:hAnsi="Book Antiqua"/>
          <w:color w:val="000000" w:themeColor="text1"/>
        </w:rPr>
        <w:t>is being</w:t>
      </w:r>
      <w:r w:rsidR="00D83B56" w:rsidRPr="00335FD4">
        <w:rPr>
          <w:rFonts w:ascii="Book Antiqua" w:hAnsi="Book Antiqua"/>
          <w:color w:val="000000" w:themeColor="text1"/>
        </w:rPr>
        <w:t xml:space="preserve"> used commercially. Similarly, although they may cover the actions of tenants to a rental agreement, those generally apply to much longer tenancies documented by a formal, written tenancy agreement.</w:t>
      </w:r>
      <w:r w:rsidR="00D83B56" w:rsidRPr="00335FD4">
        <w:rPr>
          <w:rStyle w:val="FootnoteReference"/>
          <w:rFonts w:ascii="Book Antiqua" w:hAnsi="Book Antiqua"/>
          <w:color w:val="000000" w:themeColor="text1"/>
        </w:rPr>
        <w:footnoteReference w:id="61"/>
      </w:r>
      <w:r w:rsidR="008265A6" w:rsidRPr="00335FD4">
        <w:rPr>
          <w:rFonts w:ascii="Book Antiqua" w:hAnsi="Book Antiqua"/>
          <w:color w:val="000000" w:themeColor="text1"/>
        </w:rPr>
        <w:t xml:space="preserve"> In addition, the Group expressed concern over the current form of the ‘Host Guarantee’ provided for by Airbnb.</w:t>
      </w:r>
      <w:r w:rsidR="00FB3119" w:rsidRPr="00335FD4">
        <w:rPr>
          <w:rFonts w:ascii="Book Antiqua" w:hAnsi="Book Antiqua"/>
          <w:color w:val="000000" w:themeColor="text1"/>
        </w:rPr>
        <w:t xml:space="preserve"> Far from providing a substitute to an insurance policy, the ‘Host Guarantee’ specifies that it is “not insurance and should not be considered as a replacement or stand-in for homeowners or renters insurance.”</w:t>
      </w:r>
      <w:r w:rsidR="00FB3119" w:rsidRPr="00335FD4">
        <w:rPr>
          <w:rStyle w:val="FootnoteReference"/>
          <w:rFonts w:ascii="Book Antiqua" w:hAnsi="Book Antiqua"/>
          <w:color w:val="000000" w:themeColor="text1"/>
        </w:rPr>
        <w:footnoteReference w:id="62"/>
      </w:r>
      <w:r w:rsidR="00474760" w:rsidRPr="00335FD4">
        <w:rPr>
          <w:rFonts w:ascii="Book Antiqua" w:hAnsi="Book Antiqua"/>
          <w:color w:val="000000" w:themeColor="text1"/>
        </w:rPr>
        <w:t xml:space="preserve"> Reference to the present terms and conditions provided by Airbnb confirm that it will not protect users in the instance that loss is incurred, </w:t>
      </w:r>
      <w:r w:rsidR="00DC100E" w:rsidRPr="00335FD4">
        <w:rPr>
          <w:rFonts w:ascii="Book Antiqua" w:hAnsi="Book Antiqua"/>
          <w:color w:val="000000" w:themeColor="text1"/>
        </w:rPr>
        <w:t>providing that its users, “release, defend, indemnify and hold Airbnb… harmless from and against any claims, liabilities, damages, losses and expenses, including reasonable legal fees.”</w:t>
      </w:r>
      <w:r w:rsidR="00DC100E" w:rsidRPr="00335FD4">
        <w:rPr>
          <w:rStyle w:val="FootnoteReference"/>
          <w:rFonts w:ascii="Book Antiqua" w:hAnsi="Book Antiqua"/>
          <w:color w:val="000000" w:themeColor="text1"/>
        </w:rPr>
        <w:footnoteReference w:id="63"/>
      </w:r>
      <w:r w:rsidR="00DC100E" w:rsidRPr="00335FD4">
        <w:rPr>
          <w:rFonts w:ascii="Book Antiqua" w:hAnsi="Book Antiqua"/>
          <w:color w:val="000000" w:themeColor="text1"/>
        </w:rPr>
        <w:t xml:space="preserve"> Given the genuine risk that lodgers may </w:t>
      </w:r>
      <w:r w:rsidR="003923AC">
        <w:rPr>
          <w:rFonts w:ascii="Book Antiqua" w:hAnsi="Book Antiqua"/>
          <w:color w:val="000000" w:themeColor="text1"/>
        </w:rPr>
        <w:t>injure</w:t>
      </w:r>
      <w:r w:rsidR="00DC100E" w:rsidRPr="00335FD4">
        <w:rPr>
          <w:rFonts w:ascii="Book Antiqua" w:hAnsi="Book Antiqua"/>
          <w:color w:val="000000" w:themeColor="text1"/>
        </w:rPr>
        <w:t xml:space="preserve"> themselves during a short-term stay upon an owner’s property, it is clear that </w:t>
      </w:r>
      <w:r w:rsidR="00DC100E" w:rsidRPr="00335FD4">
        <w:rPr>
          <w:rFonts w:ascii="Book Antiqua" w:hAnsi="Book Antiqua"/>
          <w:color w:val="000000" w:themeColor="text1"/>
        </w:rPr>
        <w:lastRenderedPageBreak/>
        <w:t xml:space="preserve">measures </w:t>
      </w:r>
      <w:r w:rsidR="00CE0BE7">
        <w:rPr>
          <w:rFonts w:ascii="Book Antiqua" w:hAnsi="Book Antiqua"/>
          <w:color w:val="000000" w:themeColor="text1"/>
        </w:rPr>
        <w:t xml:space="preserve">must </w:t>
      </w:r>
      <w:r w:rsidR="00DC100E" w:rsidRPr="00335FD4">
        <w:rPr>
          <w:rFonts w:ascii="Book Antiqua" w:hAnsi="Book Antiqua"/>
          <w:color w:val="000000" w:themeColor="text1"/>
        </w:rPr>
        <w:t xml:space="preserve">be put in place to inform or even obligate owners to obtain adequate insurance. The so-called ‘Host Guarantee’, when considered in isolation from the lengthy Terms of Service, are likely to lull users into a false sense of security. Accordingly, any legislative framework adopted must ensure that steps are taken to alert residents to the possible risks and consequences arising from </w:t>
      </w:r>
      <w:r w:rsidR="00CE0BE7">
        <w:rPr>
          <w:rFonts w:ascii="Book Antiqua" w:hAnsi="Book Antiqua"/>
          <w:color w:val="000000" w:themeColor="text1"/>
        </w:rPr>
        <w:t xml:space="preserve">a failure to obtain adequate protection. </w:t>
      </w:r>
    </w:p>
    <w:p w14:paraId="702CD675" w14:textId="77777777" w:rsidR="00AB55D2" w:rsidRPr="00335FD4" w:rsidRDefault="00AB55D2" w:rsidP="006F0F46">
      <w:pPr>
        <w:jc w:val="center"/>
        <w:rPr>
          <w:rFonts w:ascii="Book Antiqua" w:hAnsi="Book Antiqua"/>
          <w:b/>
          <w:smallCaps/>
          <w:color w:val="000000" w:themeColor="text1"/>
          <w:lang w:val="en-AU"/>
        </w:rPr>
      </w:pPr>
      <w:r w:rsidRPr="00335FD4">
        <w:rPr>
          <w:rFonts w:ascii="Book Antiqua" w:hAnsi="Book Antiqua"/>
          <w:b/>
          <w:smallCaps/>
          <w:color w:val="000000" w:themeColor="text1"/>
          <w:lang w:val="en-AU"/>
        </w:rPr>
        <w:t xml:space="preserve">D </w:t>
      </w:r>
      <w:r w:rsidRPr="00335FD4">
        <w:rPr>
          <w:rFonts w:ascii="Book Antiqua" w:hAnsi="Book Antiqua"/>
          <w:b/>
          <w:i/>
          <w:color w:val="000000" w:themeColor="text1"/>
          <w:lang w:val="en-AU"/>
        </w:rPr>
        <w:t>Protecting the Interests of Landlords</w:t>
      </w:r>
    </w:p>
    <w:p w14:paraId="032C2B83" w14:textId="77777777" w:rsidR="006F0F46" w:rsidRPr="00335FD4" w:rsidRDefault="006F0F46" w:rsidP="006F0F46">
      <w:pPr>
        <w:jc w:val="center"/>
        <w:rPr>
          <w:rFonts w:ascii="Book Antiqua" w:hAnsi="Book Antiqua"/>
          <w:b/>
          <w:smallCaps/>
          <w:color w:val="000000" w:themeColor="text1"/>
          <w:lang w:val="en-AU"/>
        </w:rPr>
      </w:pPr>
    </w:p>
    <w:p w14:paraId="508DEE5F" w14:textId="77777777" w:rsidR="00AB55D2" w:rsidRPr="00335FD4" w:rsidRDefault="00FC66EC" w:rsidP="00AB55D2">
      <w:pPr>
        <w:jc w:val="both"/>
        <w:rPr>
          <w:rFonts w:ascii="Book Antiqua" w:hAnsi="Book Antiqua"/>
          <w:color w:val="000000" w:themeColor="text1"/>
        </w:rPr>
      </w:pPr>
      <w:r>
        <w:rPr>
          <w:rFonts w:ascii="Book Antiqua" w:hAnsi="Book Antiqua"/>
          <w:color w:val="000000" w:themeColor="text1"/>
        </w:rPr>
        <w:t>Up t</w:t>
      </w:r>
      <w:r w:rsidR="00C82A0C" w:rsidRPr="00335FD4">
        <w:rPr>
          <w:rFonts w:ascii="Book Antiqua" w:hAnsi="Book Antiqua"/>
          <w:color w:val="000000" w:themeColor="text1"/>
        </w:rPr>
        <w:t xml:space="preserve">o this point, this paper has </w:t>
      </w:r>
      <w:r>
        <w:rPr>
          <w:rFonts w:ascii="Book Antiqua" w:hAnsi="Book Antiqua"/>
          <w:color w:val="000000" w:themeColor="text1"/>
        </w:rPr>
        <w:t>largely focused upon</w:t>
      </w:r>
      <w:r w:rsidR="00C82A0C" w:rsidRPr="00335FD4">
        <w:rPr>
          <w:rFonts w:ascii="Book Antiqua" w:hAnsi="Book Antiqua"/>
          <w:color w:val="000000" w:themeColor="text1"/>
        </w:rPr>
        <w:t xml:space="preserve"> the interests of home owners seeking to place their properties upon the short-term rental market. However, additional concerns arise in connection with rental properties which are listed by tenants for short-term lease without the approval of their landlord. This issue recently came before the Victorian Supreme Court, with </w:t>
      </w:r>
      <w:r w:rsidR="00203679">
        <w:rPr>
          <w:rFonts w:ascii="Book Antiqua" w:hAnsi="Book Antiqua"/>
          <w:color w:val="000000" w:themeColor="text1"/>
        </w:rPr>
        <w:t xml:space="preserve">the </w:t>
      </w:r>
      <w:r w:rsidR="00C82A0C" w:rsidRPr="00335FD4">
        <w:rPr>
          <w:rFonts w:ascii="Book Antiqua" w:hAnsi="Book Antiqua"/>
          <w:color w:val="000000" w:themeColor="text1"/>
        </w:rPr>
        <w:t xml:space="preserve">court examining whether </w:t>
      </w:r>
      <w:r w:rsidR="00AB55D2" w:rsidRPr="00335FD4">
        <w:rPr>
          <w:rFonts w:ascii="Book Antiqua" w:hAnsi="Book Antiqua"/>
          <w:color w:val="000000" w:themeColor="text1"/>
        </w:rPr>
        <w:t>short-term rental arrangements constitute</w:t>
      </w:r>
      <w:r w:rsidR="00C82A0C" w:rsidRPr="00335FD4">
        <w:rPr>
          <w:rFonts w:ascii="Book Antiqua" w:hAnsi="Book Antiqua"/>
          <w:color w:val="000000" w:themeColor="text1"/>
        </w:rPr>
        <w:t>d</w:t>
      </w:r>
      <w:r w:rsidR="00AB55D2" w:rsidRPr="00335FD4">
        <w:rPr>
          <w:rFonts w:ascii="Book Antiqua" w:hAnsi="Book Antiqua"/>
          <w:color w:val="000000" w:themeColor="text1"/>
        </w:rPr>
        <w:t xml:space="preserve"> licences or, alternatively, unauthorised subleases granted without the approval of the property’s landlord. Relevantly, section 81 of the </w:t>
      </w:r>
      <w:r w:rsidR="00AB55D2" w:rsidRPr="00335FD4">
        <w:rPr>
          <w:rStyle w:val="Emphasis"/>
          <w:rFonts w:ascii="Book Antiqua" w:hAnsi="Book Antiqua"/>
          <w:color w:val="000000" w:themeColor="text1"/>
        </w:rPr>
        <w:t>Residential Tenancies Act 1997</w:t>
      </w:r>
      <w:r w:rsidR="00AB55D2" w:rsidRPr="00335FD4">
        <w:rPr>
          <w:rStyle w:val="apple-converted-space"/>
          <w:rFonts w:ascii="Book Antiqua" w:hAnsi="Book Antiqua"/>
          <w:i/>
          <w:iCs/>
          <w:color w:val="000000" w:themeColor="text1"/>
        </w:rPr>
        <w:t> </w:t>
      </w:r>
      <w:r w:rsidR="00AB55D2" w:rsidRPr="00335FD4">
        <w:rPr>
          <w:rFonts w:ascii="Book Antiqua" w:hAnsi="Book Antiqua"/>
          <w:color w:val="000000" w:themeColor="text1"/>
        </w:rPr>
        <w:t>(Vic) provides that a tenant must not assign or sublet either the whole or any part of their rented premises without their landlord’s written consent.</w:t>
      </w:r>
      <w:r w:rsidR="00AB55D2" w:rsidRPr="00335FD4">
        <w:rPr>
          <w:rStyle w:val="FootnoteReference"/>
          <w:rFonts w:ascii="Book Antiqua" w:hAnsi="Book Antiqua"/>
          <w:color w:val="000000" w:themeColor="text1"/>
        </w:rPr>
        <w:footnoteReference w:id="64"/>
      </w:r>
      <w:r w:rsidR="00AB55D2" w:rsidRPr="00335FD4">
        <w:rPr>
          <w:rFonts w:ascii="Book Antiqua" w:hAnsi="Book Antiqua"/>
          <w:color w:val="000000" w:themeColor="text1"/>
        </w:rPr>
        <w:t xml:space="preserve"> Thus, if a tenant were to list their property upon a service such as Airbnb, and the use of their premises was to constitute a lease of the property, they would be in breach of s 81 by having sublet </w:t>
      </w:r>
      <w:r w:rsidR="009F3344">
        <w:rPr>
          <w:rFonts w:ascii="Book Antiqua" w:hAnsi="Book Antiqua"/>
          <w:color w:val="000000" w:themeColor="text1"/>
        </w:rPr>
        <w:t>the</w:t>
      </w:r>
      <w:r w:rsidR="00AB55D2" w:rsidRPr="00335FD4">
        <w:rPr>
          <w:rFonts w:ascii="Book Antiqua" w:hAnsi="Book Antiqua"/>
          <w:color w:val="000000" w:themeColor="text1"/>
        </w:rPr>
        <w:t xml:space="preserve"> property without permission, providing the landl</w:t>
      </w:r>
      <w:r w:rsidR="00A663D4">
        <w:rPr>
          <w:rFonts w:ascii="Book Antiqua" w:hAnsi="Book Antiqua"/>
          <w:color w:val="000000" w:themeColor="text1"/>
        </w:rPr>
        <w:t>ord with a basis upon which</w:t>
      </w:r>
      <w:r w:rsidR="00AB55D2" w:rsidRPr="00335FD4">
        <w:rPr>
          <w:rFonts w:ascii="Book Antiqua" w:hAnsi="Book Antiqua"/>
          <w:color w:val="000000" w:themeColor="text1"/>
        </w:rPr>
        <w:t xml:space="preserve"> to issue</w:t>
      </w:r>
      <w:r w:rsidR="007F383F">
        <w:rPr>
          <w:rFonts w:ascii="Book Antiqua" w:hAnsi="Book Antiqua"/>
          <w:color w:val="000000" w:themeColor="text1"/>
        </w:rPr>
        <w:t xml:space="preserve"> the tenant</w:t>
      </w:r>
      <w:r w:rsidR="00AB55D2" w:rsidRPr="00335FD4">
        <w:rPr>
          <w:rFonts w:ascii="Book Antiqua" w:hAnsi="Book Antiqua"/>
          <w:color w:val="000000" w:themeColor="text1"/>
        </w:rPr>
        <w:t xml:space="preserve"> a notice to vacate.</w:t>
      </w:r>
    </w:p>
    <w:p w14:paraId="6FFE8BAD" w14:textId="77777777" w:rsidR="00AB55D2" w:rsidRPr="00335FD4" w:rsidRDefault="00AB55D2" w:rsidP="00AB55D2">
      <w:pPr>
        <w:jc w:val="both"/>
        <w:rPr>
          <w:rFonts w:ascii="Book Antiqua" w:hAnsi="Book Antiqua"/>
          <w:color w:val="000000" w:themeColor="text1"/>
        </w:rPr>
      </w:pPr>
    </w:p>
    <w:p w14:paraId="1341628A" w14:textId="77777777" w:rsidR="009C3CA7" w:rsidRPr="00335FD4" w:rsidRDefault="00AB55D2" w:rsidP="00AB55D2">
      <w:pPr>
        <w:widowControl w:val="0"/>
        <w:autoSpaceDE w:val="0"/>
        <w:autoSpaceDN w:val="0"/>
        <w:adjustRightInd w:val="0"/>
        <w:jc w:val="both"/>
        <w:rPr>
          <w:rFonts w:ascii="Book Antiqua" w:hAnsi="Book Antiqua" w:cs="Arial"/>
          <w:color w:val="000000" w:themeColor="text1"/>
        </w:rPr>
      </w:pPr>
      <w:r w:rsidRPr="00335FD4">
        <w:rPr>
          <w:rFonts w:ascii="Book Antiqua" w:hAnsi="Book Antiqua"/>
          <w:color w:val="000000" w:themeColor="text1"/>
        </w:rPr>
        <w:t xml:space="preserve">This very scenario arose in the matter of </w:t>
      </w:r>
      <w:r w:rsidRPr="00335FD4">
        <w:rPr>
          <w:rFonts w:ascii="Book Antiqua" w:hAnsi="Book Antiqua"/>
          <w:i/>
          <w:color w:val="000000" w:themeColor="text1"/>
        </w:rPr>
        <w:t>Swan v Uecker</w:t>
      </w:r>
      <w:r w:rsidRPr="00335FD4">
        <w:rPr>
          <w:rFonts w:ascii="Book Antiqua" w:hAnsi="Book Antiqua"/>
          <w:color w:val="000000" w:themeColor="text1"/>
        </w:rPr>
        <w:t>, where the Applicant had leased their property in St Kilda to the Respondents under a one-year residential tenancy agreement.</w:t>
      </w:r>
      <w:r w:rsidRPr="00335FD4">
        <w:rPr>
          <w:rStyle w:val="FootnoteReference"/>
          <w:rFonts w:ascii="Book Antiqua" w:hAnsi="Book Antiqua"/>
          <w:color w:val="000000" w:themeColor="text1"/>
        </w:rPr>
        <w:footnoteReference w:id="65"/>
      </w:r>
      <w:r w:rsidRPr="00335FD4">
        <w:rPr>
          <w:rFonts w:ascii="Book Antiqua" w:hAnsi="Book Antiqua"/>
          <w:color w:val="000000" w:themeColor="text1"/>
        </w:rPr>
        <w:t xml:space="preserve"> The Respondents had then successfully listed the property as a short-term rental on the Airbnb website, with lodgers subsequently staying in the property. </w:t>
      </w:r>
      <w:r w:rsidRPr="00335FD4">
        <w:rPr>
          <w:rFonts w:ascii="Book Antiqua" w:hAnsi="Book Antiqua"/>
          <w:color w:val="000000" w:themeColor="text1"/>
          <w:shd w:val="clear" w:color="auto" w:fill="FFFFFF"/>
        </w:rPr>
        <w:t>The Applicant sought an order for possession which was resisted by VCAT on the basis that the arrangement between the Respondents and the lodgers amounted to a licence, not a lease. The basis for the Tribunal’s conclusion was founded upon a view that there was no grant of exclusion possession of the property, but a licence to occupy the property subject to conditions specified by the tenants.</w:t>
      </w:r>
      <w:r w:rsidRPr="00335FD4">
        <w:rPr>
          <w:rStyle w:val="FootnoteReference"/>
          <w:rFonts w:ascii="Book Antiqua" w:hAnsi="Book Antiqua"/>
          <w:color w:val="000000" w:themeColor="text1"/>
          <w:shd w:val="clear" w:color="auto" w:fill="FFFFFF"/>
        </w:rPr>
        <w:footnoteReference w:id="66"/>
      </w:r>
      <w:r w:rsidRPr="00335FD4">
        <w:rPr>
          <w:rFonts w:ascii="Book Antiqua" w:hAnsi="Book Antiqua"/>
          <w:color w:val="000000" w:themeColor="text1"/>
          <w:shd w:val="clear" w:color="auto" w:fill="FFFFFF"/>
        </w:rPr>
        <w:t xml:space="preserve"> </w:t>
      </w:r>
      <w:r w:rsidRPr="00335FD4">
        <w:rPr>
          <w:rFonts w:ascii="Book Antiqua" w:hAnsi="Book Antiqua"/>
        </w:rPr>
        <w:t>However, the matter was then appealed to the Supreme Court, where Justice Croft took an alternative view of the matter.</w:t>
      </w:r>
      <w:r w:rsidRPr="00335FD4">
        <w:rPr>
          <w:rFonts w:ascii="Book Antiqua" w:hAnsi="Book Antiqua"/>
          <w:vertAlign w:val="superscript"/>
        </w:rPr>
        <w:footnoteReference w:id="67"/>
      </w:r>
      <w:r w:rsidRPr="00335FD4">
        <w:rPr>
          <w:rFonts w:ascii="Book Antiqua" w:hAnsi="Book Antiqua"/>
          <w:vertAlign w:val="superscript"/>
        </w:rPr>
        <w:t xml:space="preserve"> </w:t>
      </w:r>
      <w:r w:rsidRPr="00335FD4">
        <w:rPr>
          <w:rFonts w:ascii="Book Antiqua" w:hAnsi="Book Antiqua"/>
        </w:rPr>
        <w:t>Although</w:t>
      </w:r>
      <w:r w:rsidR="00DE3CFA" w:rsidRPr="00335FD4">
        <w:rPr>
          <w:rFonts w:ascii="Book Antiqua" w:hAnsi="Book Antiqua"/>
        </w:rPr>
        <w:t xml:space="preserve"> the Airb</w:t>
      </w:r>
      <w:r w:rsidRPr="00335FD4">
        <w:rPr>
          <w:rFonts w:ascii="Book Antiqua" w:hAnsi="Book Antiqua"/>
        </w:rPr>
        <w:t>nB terms to which the Respondents and lodgers had agreed were subject to conditions that repeatedly used the word ‘licence’, Justice Croft stressed the well-established principle that the substance of the agreement prevails over its form.</w:t>
      </w:r>
      <w:r w:rsidRPr="00335FD4">
        <w:rPr>
          <w:rStyle w:val="FootnoteReference"/>
          <w:rFonts w:ascii="Book Antiqua" w:hAnsi="Book Antiqua"/>
          <w:color w:val="000000" w:themeColor="text1"/>
        </w:rPr>
        <w:footnoteReference w:id="68"/>
      </w:r>
      <w:r w:rsidRPr="00335FD4">
        <w:rPr>
          <w:rFonts w:ascii="Book Antiqua" w:hAnsi="Book Antiqua"/>
        </w:rPr>
        <w:t xml:space="preserve"> He held that the effect of the agreement, in substance, was that the lodgers enjoyed a right of exclusive possession. Accordingly, Justice Croft concluded that the agreement was to </w:t>
      </w:r>
      <w:r w:rsidRPr="00335FD4">
        <w:rPr>
          <w:rFonts w:ascii="Book Antiqua" w:hAnsi="Book Antiqua"/>
        </w:rPr>
        <w:lastRenderedPageBreak/>
        <w:t>be</w:t>
      </w:r>
      <w:r w:rsidRPr="00335FD4">
        <w:rPr>
          <w:rStyle w:val="Emphasis"/>
          <w:rFonts w:ascii="Book Antiqua" w:hAnsi="Book Antiqua"/>
          <w:i w:val="0"/>
          <w:color w:val="000000" w:themeColor="text1"/>
        </w:rPr>
        <w:t xml:space="preserve"> properly characterised as a lease.</w:t>
      </w:r>
      <w:r w:rsidRPr="00335FD4">
        <w:rPr>
          <w:rStyle w:val="FootnoteReference"/>
          <w:rFonts w:ascii="Book Antiqua" w:hAnsi="Book Antiqua"/>
          <w:iCs/>
          <w:color w:val="000000" w:themeColor="text1"/>
        </w:rPr>
        <w:footnoteReference w:id="69"/>
      </w:r>
      <w:r w:rsidRPr="00335FD4">
        <w:rPr>
          <w:rFonts w:ascii="Book Antiqua" w:hAnsi="Book Antiqua"/>
        </w:rPr>
        <w:t xml:space="preserve"> In handing down the decision, Justice Croft said there were already ways to amend rental agreements to prevent similar cases. “</w:t>
      </w:r>
      <w:r w:rsidRPr="00335FD4">
        <w:rPr>
          <w:rFonts w:ascii="Book Antiqua" w:hAnsi="Book Antiqua" w:cs="Arial"/>
          <w:color w:val="000000" w:themeColor="text1"/>
        </w:rPr>
        <w:t>Many commercial leases restrict the tenant from sub-leasing ... granting any licence to occupy all or part of the leased premises ... without the landlord's consent….Broad terms such as this would prevent ... sub-letting or licensing without the landlord's consent."</w:t>
      </w:r>
      <w:r w:rsidRPr="00335FD4">
        <w:rPr>
          <w:rStyle w:val="FootnoteReference"/>
          <w:rFonts w:ascii="Book Antiqua" w:hAnsi="Book Antiqua" w:cs="Arial"/>
          <w:color w:val="000000" w:themeColor="text1"/>
        </w:rPr>
        <w:footnoteReference w:id="70"/>
      </w:r>
      <w:r w:rsidRPr="00335FD4">
        <w:rPr>
          <w:rFonts w:ascii="Book Antiqua" w:hAnsi="Book Antiqua" w:cs="Arial"/>
          <w:color w:val="000000" w:themeColor="text1"/>
        </w:rPr>
        <w:t xml:space="preserve"> </w:t>
      </w:r>
      <w:r w:rsidR="009C3CA7" w:rsidRPr="00335FD4">
        <w:rPr>
          <w:rFonts w:ascii="Book Antiqua" w:hAnsi="Book Antiqua" w:cs="Arial"/>
          <w:color w:val="000000" w:themeColor="text1"/>
        </w:rPr>
        <w:t>Accordingly, provided rental agreements are drafted clearly, landlords wanting to protect against any unwanted short-term leases should be able to adequately exclude such practices.</w:t>
      </w:r>
    </w:p>
    <w:p w14:paraId="4E6DF0D1" w14:textId="77777777" w:rsidR="009C3CA7" w:rsidRPr="00335FD4" w:rsidRDefault="009C3CA7" w:rsidP="00AB55D2">
      <w:pPr>
        <w:widowControl w:val="0"/>
        <w:autoSpaceDE w:val="0"/>
        <w:autoSpaceDN w:val="0"/>
        <w:adjustRightInd w:val="0"/>
        <w:jc w:val="both"/>
        <w:rPr>
          <w:rFonts w:ascii="Book Antiqua" w:hAnsi="Book Antiqua" w:cs="Arial"/>
          <w:color w:val="000000" w:themeColor="text1"/>
        </w:rPr>
      </w:pPr>
    </w:p>
    <w:p w14:paraId="6ABC73F7" w14:textId="77777777" w:rsidR="0011125D" w:rsidRPr="00335FD4" w:rsidRDefault="009C3CA7" w:rsidP="00642D30">
      <w:pPr>
        <w:widowControl w:val="0"/>
        <w:autoSpaceDE w:val="0"/>
        <w:autoSpaceDN w:val="0"/>
        <w:adjustRightInd w:val="0"/>
        <w:jc w:val="both"/>
        <w:rPr>
          <w:rFonts w:ascii="Book Antiqua" w:eastAsia="Times New Roman" w:hAnsi="Book Antiqua"/>
          <w:color w:val="000000" w:themeColor="text1"/>
        </w:rPr>
      </w:pPr>
      <w:r w:rsidRPr="00335FD4">
        <w:rPr>
          <w:rFonts w:ascii="Book Antiqua" w:hAnsi="Book Antiqua" w:cs="Arial"/>
          <w:color w:val="000000" w:themeColor="text1"/>
        </w:rPr>
        <w:t>Yet, while the decision may be satisfying for the owners of rental properties, it will amount to little more than a pyrrhic victory unless additional compliance obligations can be placed upon services such as Airbnb. At present, the terms of service provide that the user “acknowledges that the listing… will not breach any agreements entered into with any third parties, such as… lease or rental agreements.”</w:t>
      </w:r>
      <w:r w:rsidRPr="00335FD4">
        <w:rPr>
          <w:rStyle w:val="FootnoteReference"/>
          <w:rFonts w:ascii="Book Antiqua" w:hAnsi="Book Antiqua" w:cs="Arial"/>
          <w:color w:val="000000" w:themeColor="text1"/>
        </w:rPr>
        <w:footnoteReference w:id="71"/>
      </w:r>
      <w:r w:rsidR="004A2110" w:rsidRPr="00335FD4">
        <w:rPr>
          <w:rFonts w:ascii="Book Antiqua" w:hAnsi="Book Antiqua" w:cs="Arial"/>
          <w:color w:val="000000" w:themeColor="text1"/>
        </w:rPr>
        <w:t xml:space="preserve"> Aside from this reference, there is no requirement for a user to provide evidence they have</w:t>
      </w:r>
      <w:r w:rsidR="00183EDB">
        <w:rPr>
          <w:rFonts w:ascii="Book Antiqua" w:hAnsi="Book Antiqua" w:cs="Arial"/>
          <w:color w:val="000000" w:themeColor="text1"/>
        </w:rPr>
        <w:t xml:space="preserve"> in fact</w:t>
      </w:r>
      <w:r w:rsidR="004A2110" w:rsidRPr="00335FD4">
        <w:rPr>
          <w:rFonts w:ascii="Book Antiqua" w:hAnsi="Book Antiqua" w:cs="Arial"/>
          <w:color w:val="000000" w:themeColor="text1"/>
        </w:rPr>
        <w:t xml:space="preserve"> obtained </w:t>
      </w:r>
      <w:r w:rsidR="00183EDB">
        <w:rPr>
          <w:rFonts w:ascii="Book Antiqua" w:hAnsi="Book Antiqua" w:cs="Arial"/>
          <w:color w:val="000000" w:themeColor="text1"/>
        </w:rPr>
        <w:t>such</w:t>
      </w:r>
      <w:r w:rsidR="004A2110" w:rsidRPr="00335FD4">
        <w:rPr>
          <w:rFonts w:ascii="Book Antiqua" w:hAnsi="Book Antiqua" w:cs="Arial"/>
          <w:color w:val="000000" w:themeColor="text1"/>
        </w:rPr>
        <w:t xml:space="preserve"> approval</w:t>
      </w:r>
      <w:r w:rsidR="00183EDB">
        <w:rPr>
          <w:rFonts w:ascii="Book Antiqua" w:hAnsi="Book Antiqua" w:cs="Arial"/>
          <w:color w:val="000000" w:themeColor="text1"/>
        </w:rPr>
        <w:t>s</w:t>
      </w:r>
      <w:r w:rsidR="004A2110" w:rsidRPr="00335FD4">
        <w:rPr>
          <w:rFonts w:ascii="Book Antiqua" w:hAnsi="Book Antiqua" w:cs="Arial"/>
          <w:color w:val="000000" w:themeColor="text1"/>
        </w:rPr>
        <w:t xml:space="preserve">. However, rather than a need for further legislative reform, it may be possible to </w:t>
      </w:r>
      <w:r w:rsidR="0011125D" w:rsidRPr="00335FD4">
        <w:rPr>
          <w:rFonts w:ascii="Book Antiqua" w:hAnsi="Book Antiqua" w:cs="Arial"/>
          <w:color w:val="000000" w:themeColor="text1"/>
        </w:rPr>
        <w:t>exercise</w:t>
      </w:r>
      <w:r w:rsidR="004A2110" w:rsidRPr="00335FD4">
        <w:rPr>
          <w:rFonts w:ascii="Book Antiqua" w:hAnsi="Book Antiqua" w:cs="Arial"/>
          <w:color w:val="000000" w:themeColor="text1"/>
        </w:rPr>
        <w:t xml:space="preserve"> powers currently recognised in state planning laws. </w:t>
      </w:r>
      <w:r w:rsidR="00642D30" w:rsidRPr="00335FD4">
        <w:rPr>
          <w:rFonts w:ascii="Book Antiqua" w:eastAsia="Times New Roman" w:hAnsi="Book Antiqua"/>
          <w:color w:val="000000" w:themeColor="text1"/>
        </w:rPr>
        <w:t>T</w:t>
      </w:r>
      <w:r w:rsidR="00300F9D" w:rsidRPr="00335FD4">
        <w:rPr>
          <w:rFonts w:ascii="Book Antiqua" w:eastAsia="Times New Roman" w:hAnsi="Book Antiqua"/>
          <w:color w:val="000000" w:themeColor="text1"/>
        </w:rPr>
        <w:t>he City of Sydney Council</w:t>
      </w:r>
      <w:r w:rsidR="00642D30" w:rsidRPr="00335FD4">
        <w:rPr>
          <w:rFonts w:ascii="Book Antiqua" w:eastAsia="Times New Roman" w:hAnsi="Book Antiqua"/>
          <w:color w:val="000000" w:themeColor="text1"/>
        </w:rPr>
        <w:t>’s</w:t>
      </w:r>
      <w:r w:rsidR="00300F9D" w:rsidRPr="00335FD4">
        <w:rPr>
          <w:rFonts w:ascii="Book Antiqua" w:eastAsia="Times New Roman" w:hAnsi="Book Antiqua"/>
          <w:color w:val="000000" w:themeColor="text1"/>
        </w:rPr>
        <w:t xml:space="preserve"> </w:t>
      </w:r>
      <w:r w:rsidR="00642D30" w:rsidRPr="00335FD4">
        <w:rPr>
          <w:rFonts w:ascii="Book Antiqua" w:eastAsia="Times New Roman" w:hAnsi="Book Antiqua"/>
          <w:color w:val="000000" w:themeColor="text1"/>
        </w:rPr>
        <w:t xml:space="preserve">submission to the NSW Parliamentary Inquiry </w:t>
      </w:r>
      <w:r w:rsidR="00300F9D" w:rsidRPr="00335FD4">
        <w:rPr>
          <w:rFonts w:ascii="Book Antiqua" w:eastAsia="Times New Roman" w:hAnsi="Book Antiqua"/>
          <w:color w:val="000000" w:themeColor="text1"/>
        </w:rPr>
        <w:t xml:space="preserve">drew attention to the recently expanded powers of Local Council regulatory officers under the </w:t>
      </w:r>
      <w:r w:rsidR="00300F9D" w:rsidRPr="00335FD4">
        <w:rPr>
          <w:rFonts w:ascii="Book Antiqua" w:eastAsia="Times New Roman" w:hAnsi="Book Antiqua"/>
          <w:i/>
          <w:color w:val="000000" w:themeColor="text1"/>
        </w:rPr>
        <w:t xml:space="preserve">Environmental Planning and Assessment Amendment Act 2014 </w:t>
      </w:r>
      <w:r w:rsidR="00300F9D" w:rsidRPr="00335FD4">
        <w:rPr>
          <w:rFonts w:ascii="Book Antiqua" w:eastAsia="Times New Roman" w:hAnsi="Book Antiqua"/>
          <w:color w:val="000000" w:themeColor="text1"/>
        </w:rPr>
        <w:t>(NSW).</w:t>
      </w:r>
      <w:r w:rsidR="00300F9D" w:rsidRPr="00335FD4">
        <w:rPr>
          <w:rStyle w:val="FootnoteReference"/>
          <w:rFonts w:ascii="Book Antiqua" w:eastAsia="Times New Roman" w:hAnsi="Book Antiqua"/>
          <w:color w:val="000000" w:themeColor="text1"/>
        </w:rPr>
        <w:footnoteReference w:id="72"/>
      </w:r>
      <w:r w:rsidR="00300F9D" w:rsidRPr="00335FD4">
        <w:rPr>
          <w:rFonts w:ascii="Book Antiqua" w:eastAsia="Times New Roman" w:hAnsi="Book Antiqua"/>
          <w:color w:val="000000" w:themeColor="text1"/>
        </w:rPr>
        <w:t xml:space="preserve"> Under s 119J of that Act, officers are able to </w:t>
      </w:r>
      <w:r w:rsidR="0011125D" w:rsidRPr="00335FD4">
        <w:rPr>
          <w:rFonts w:ascii="Book Antiqua" w:eastAsia="Times New Roman" w:hAnsi="Book Antiqua"/>
          <w:color w:val="000000" w:themeColor="text1"/>
        </w:rPr>
        <w:t>request that</w:t>
      </w:r>
      <w:r w:rsidR="00300F9D" w:rsidRPr="00335FD4">
        <w:rPr>
          <w:rFonts w:ascii="Book Antiqua" w:eastAsia="Times New Roman" w:hAnsi="Book Antiqua"/>
          <w:color w:val="000000" w:themeColor="text1"/>
        </w:rPr>
        <w:t xml:space="preserve"> residents produce records </w:t>
      </w:r>
      <w:r w:rsidR="0011125D" w:rsidRPr="00335FD4">
        <w:rPr>
          <w:rFonts w:ascii="Book Antiqua" w:eastAsia="Times New Roman" w:hAnsi="Book Antiqua"/>
          <w:color w:val="000000" w:themeColor="text1"/>
        </w:rPr>
        <w:t xml:space="preserve">that would identify them as the lawful inhabitant of the property during a relevant period. </w:t>
      </w:r>
      <w:r w:rsidR="00300F9D" w:rsidRPr="00335FD4">
        <w:rPr>
          <w:rFonts w:ascii="Book Antiqua" w:eastAsia="Times New Roman" w:hAnsi="Book Antiqua"/>
          <w:color w:val="000000" w:themeColor="text1"/>
        </w:rPr>
        <w:t xml:space="preserve"> </w:t>
      </w:r>
      <w:r w:rsidR="0011125D" w:rsidRPr="00335FD4">
        <w:rPr>
          <w:rFonts w:ascii="Book Antiqua" w:eastAsia="Times New Roman" w:hAnsi="Book Antiqua"/>
          <w:color w:val="000000" w:themeColor="text1"/>
        </w:rPr>
        <w:t>This mechanism could be utilised by landlords who suspect their property is being listed upon services such as Airbnb, who could then notify the relevant Planning Authority</w:t>
      </w:r>
      <w:r w:rsidR="00D96BDA">
        <w:rPr>
          <w:rFonts w:ascii="Book Antiqua" w:eastAsia="Times New Roman" w:hAnsi="Book Antiqua"/>
          <w:color w:val="000000" w:themeColor="text1"/>
        </w:rPr>
        <w:t xml:space="preserve"> to investigate the matter</w:t>
      </w:r>
      <w:r w:rsidR="0011125D" w:rsidRPr="00335FD4">
        <w:rPr>
          <w:rFonts w:ascii="Book Antiqua" w:eastAsia="Times New Roman" w:hAnsi="Book Antiqua"/>
          <w:color w:val="000000" w:themeColor="text1"/>
        </w:rPr>
        <w:t xml:space="preserve">. This type of recourse would also be likely to encourage greater transparency and honesty from tenants, who would arguably be more reticent to list their property for rent without approval when </w:t>
      </w:r>
      <w:r w:rsidR="00DB46F8">
        <w:rPr>
          <w:rFonts w:ascii="Book Antiqua" w:eastAsia="Times New Roman" w:hAnsi="Book Antiqua"/>
          <w:color w:val="000000" w:themeColor="text1"/>
        </w:rPr>
        <w:t>faced with the</w:t>
      </w:r>
      <w:r w:rsidR="0011125D" w:rsidRPr="00335FD4">
        <w:rPr>
          <w:rFonts w:ascii="Book Antiqua" w:eastAsia="Times New Roman" w:hAnsi="Book Antiqua"/>
          <w:color w:val="000000" w:themeColor="text1"/>
        </w:rPr>
        <w:t xml:space="preserve"> genuine possibility that </w:t>
      </w:r>
      <w:r w:rsidR="00DB46F8">
        <w:rPr>
          <w:rFonts w:ascii="Book Antiqua" w:eastAsia="Times New Roman" w:hAnsi="Book Antiqua"/>
          <w:color w:val="000000" w:themeColor="text1"/>
        </w:rPr>
        <w:t>their actions may be subject to investigation and ultimately eviction.</w:t>
      </w:r>
      <w:r w:rsidR="0011125D" w:rsidRPr="00335FD4">
        <w:rPr>
          <w:rFonts w:ascii="Book Antiqua" w:eastAsia="Times New Roman" w:hAnsi="Book Antiqua"/>
          <w:color w:val="000000" w:themeColor="text1"/>
        </w:rPr>
        <w:t xml:space="preserve"> </w:t>
      </w:r>
    </w:p>
    <w:p w14:paraId="5AB9B61A" w14:textId="77777777" w:rsidR="009C36F7" w:rsidRPr="00335FD4" w:rsidRDefault="009C36F7">
      <w:pPr>
        <w:rPr>
          <w:rFonts w:ascii="Book Antiqua" w:hAnsi="Book Antiqua"/>
          <w:b/>
          <w:smallCaps/>
          <w:color w:val="000000" w:themeColor="text1"/>
          <w:lang w:val="en-AU"/>
        </w:rPr>
      </w:pPr>
    </w:p>
    <w:p w14:paraId="218BE873" w14:textId="77777777" w:rsidR="000B252D" w:rsidRPr="00335FD4" w:rsidRDefault="00054D14" w:rsidP="00EF3119">
      <w:pPr>
        <w:jc w:val="center"/>
        <w:rPr>
          <w:rFonts w:ascii="Book Antiqua" w:hAnsi="Book Antiqua"/>
          <w:b/>
          <w:smallCaps/>
          <w:color w:val="000000" w:themeColor="text1"/>
          <w:lang w:val="en-AU"/>
        </w:rPr>
      </w:pPr>
      <w:r w:rsidRPr="00335FD4">
        <w:rPr>
          <w:rFonts w:ascii="Book Antiqua" w:hAnsi="Book Antiqua"/>
          <w:b/>
          <w:smallCaps/>
          <w:color w:val="000000" w:themeColor="text1"/>
          <w:lang w:val="en-AU"/>
        </w:rPr>
        <w:t>III</w:t>
      </w:r>
      <w:r w:rsidR="000B252D" w:rsidRPr="00335FD4">
        <w:rPr>
          <w:rFonts w:ascii="Book Antiqua" w:hAnsi="Book Antiqua"/>
          <w:b/>
          <w:smallCaps/>
          <w:color w:val="000000" w:themeColor="text1"/>
          <w:lang w:val="en-AU"/>
        </w:rPr>
        <w:t xml:space="preserve"> The Way Forward</w:t>
      </w:r>
    </w:p>
    <w:p w14:paraId="0F6157ED" w14:textId="77777777" w:rsidR="00293BEB" w:rsidRPr="00335FD4" w:rsidRDefault="00293BEB" w:rsidP="00ED28B8">
      <w:pPr>
        <w:jc w:val="both"/>
        <w:rPr>
          <w:rFonts w:ascii="Book Antiqua" w:hAnsi="Book Antiqua"/>
          <w:b/>
          <w:color w:val="000000" w:themeColor="text1"/>
        </w:rPr>
      </w:pPr>
    </w:p>
    <w:p w14:paraId="2476D1E7" w14:textId="77777777" w:rsidR="00D96EED" w:rsidRPr="00335FD4" w:rsidRDefault="0058716E" w:rsidP="00D96EED">
      <w:pPr>
        <w:jc w:val="both"/>
        <w:rPr>
          <w:rFonts w:ascii="Book Antiqua" w:hAnsi="Book Antiqua"/>
          <w:color w:val="000000" w:themeColor="text1"/>
        </w:rPr>
      </w:pPr>
      <w:r w:rsidRPr="00335FD4">
        <w:rPr>
          <w:rFonts w:ascii="Book Antiqua" w:hAnsi="Book Antiqua"/>
        </w:rPr>
        <w:t xml:space="preserve">It is apparent that the practice of short-term rentals </w:t>
      </w:r>
      <w:r w:rsidR="0003137B" w:rsidRPr="00335FD4">
        <w:rPr>
          <w:rFonts w:ascii="Book Antiqua" w:hAnsi="Book Antiqua"/>
        </w:rPr>
        <w:t>raises</w:t>
      </w:r>
      <w:r w:rsidRPr="00335FD4">
        <w:rPr>
          <w:rFonts w:ascii="Book Antiqua" w:hAnsi="Book Antiqua"/>
        </w:rPr>
        <w:t xml:space="preserve"> a number of regulatory and legal issues </w:t>
      </w:r>
      <w:r w:rsidR="009534FC" w:rsidRPr="00335FD4">
        <w:rPr>
          <w:rFonts w:ascii="Book Antiqua" w:hAnsi="Book Antiqua"/>
        </w:rPr>
        <w:t>which require</w:t>
      </w:r>
      <w:r w:rsidRPr="00335FD4">
        <w:rPr>
          <w:rFonts w:ascii="Book Antiqua" w:hAnsi="Book Antiqua"/>
        </w:rPr>
        <w:t xml:space="preserve"> a </w:t>
      </w:r>
      <w:r w:rsidR="00F54D9F" w:rsidRPr="00335FD4">
        <w:rPr>
          <w:rFonts w:ascii="Book Antiqua" w:hAnsi="Book Antiqua"/>
        </w:rPr>
        <w:t>clear</w:t>
      </w:r>
      <w:r w:rsidRPr="00335FD4">
        <w:rPr>
          <w:rFonts w:ascii="Book Antiqua" w:hAnsi="Book Antiqua"/>
        </w:rPr>
        <w:t xml:space="preserve"> </w:t>
      </w:r>
      <w:r w:rsidR="0023781C" w:rsidRPr="00335FD4">
        <w:rPr>
          <w:rFonts w:ascii="Book Antiqua" w:hAnsi="Book Antiqua"/>
        </w:rPr>
        <w:t>legislative</w:t>
      </w:r>
      <w:r w:rsidRPr="00335FD4">
        <w:rPr>
          <w:rFonts w:ascii="Book Antiqua" w:hAnsi="Book Antiqua"/>
        </w:rPr>
        <w:t xml:space="preserve"> framework. </w:t>
      </w:r>
      <w:r w:rsidR="00202A57" w:rsidRPr="00335FD4">
        <w:rPr>
          <w:rFonts w:ascii="Book Antiqua" w:hAnsi="Book Antiqua"/>
        </w:rPr>
        <w:t xml:space="preserve">Ultimately, the approach taken to manage these arrangements will hinge upon the willingness of the relevant state legislature to embrace the sharing economy. </w:t>
      </w:r>
      <w:r w:rsidR="00D96EED" w:rsidRPr="00335FD4">
        <w:rPr>
          <w:rFonts w:ascii="Book Antiqua" w:hAnsi="Book Antiqua"/>
        </w:rPr>
        <w:t xml:space="preserve">This was echoed by the comments of Tasmanian Premier, Will Hodgman in his 2015 State of Address. Mr Hodgman indicated that the Tasmanian </w:t>
      </w:r>
      <w:r w:rsidR="00AB55D2" w:rsidRPr="00335FD4">
        <w:rPr>
          <w:rFonts w:ascii="Book Antiqua" w:hAnsi="Book Antiqua"/>
          <w:color w:val="000000" w:themeColor="text1"/>
        </w:rPr>
        <w:t>Government would take the path of least resistance to the shared economy and short-term letting.</w:t>
      </w:r>
      <w:r w:rsidR="00AB55D2" w:rsidRPr="00335FD4">
        <w:rPr>
          <w:rStyle w:val="FootnoteReference"/>
          <w:rFonts w:ascii="Book Antiqua" w:hAnsi="Book Antiqua"/>
          <w:color w:val="000000" w:themeColor="text1"/>
        </w:rPr>
        <w:footnoteReference w:id="73"/>
      </w:r>
      <w:r w:rsidR="00AB55D2" w:rsidRPr="00335FD4">
        <w:rPr>
          <w:rFonts w:ascii="Book Antiqua" w:hAnsi="Book Antiqua"/>
          <w:color w:val="000000" w:themeColor="text1"/>
        </w:rPr>
        <w:t xml:space="preserve"> In discussing his </w:t>
      </w:r>
      <w:r w:rsidR="00AB55D2" w:rsidRPr="00335FD4">
        <w:rPr>
          <w:rFonts w:ascii="Book Antiqua" w:hAnsi="Book Antiqua"/>
          <w:color w:val="000000" w:themeColor="text1"/>
        </w:rPr>
        <w:lastRenderedPageBreak/>
        <w:t xml:space="preserve">Government’s approach to the shared economy, Mr Hodgman noted that in the choice between rejecting or accepting the shared economy model, “my government has chosen to embrace it. And we are the first Australian state to do so. We will not go down the path that other places have taken; trying to kill off the sharing economy by heavy regulation, through legal action, or even to try to ban it - all with limited success.” At present, the Tasmanian Government has yet to pass legislation on the issue, and no Bill is presently before </w:t>
      </w:r>
      <w:r w:rsidR="00D96EED" w:rsidRPr="00335FD4">
        <w:rPr>
          <w:rFonts w:ascii="Book Antiqua" w:hAnsi="Book Antiqua"/>
          <w:color w:val="000000" w:themeColor="text1"/>
        </w:rPr>
        <w:t>its</w:t>
      </w:r>
      <w:r w:rsidR="00AB55D2" w:rsidRPr="00335FD4">
        <w:rPr>
          <w:rFonts w:ascii="Book Antiqua" w:hAnsi="Book Antiqua"/>
          <w:color w:val="000000" w:themeColor="text1"/>
        </w:rPr>
        <w:t xml:space="preserve"> Parliament. Nevertheless, Mr Hodgman’s remarks would appear to suggest the introduction of a regulatory model starkly different to those introduced in the other Australian states. </w:t>
      </w:r>
    </w:p>
    <w:p w14:paraId="7D5F443C" w14:textId="77777777" w:rsidR="00D96EED" w:rsidRPr="00335FD4" w:rsidRDefault="00D96EED" w:rsidP="00D96EED">
      <w:pPr>
        <w:jc w:val="both"/>
        <w:rPr>
          <w:rFonts w:ascii="Book Antiqua" w:hAnsi="Book Antiqua"/>
          <w:color w:val="000000" w:themeColor="text1"/>
        </w:rPr>
      </w:pPr>
    </w:p>
    <w:p w14:paraId="4AC9B047" w14:textId="77777777" w:rsidR="00D96EED" w:rsidRDefault="00D96EED" w:rsidP="00D96EED">
      <w:pPr>
        <w:jc w:val="both"/>
        <w:rPr>
          <w:rFonts w:ascii="Book Antiqua" w:hAnsi="Book Antiqua"/>
          <w:color w:val="000000" w:themeColor="text1"/>
        </w:rPr>
      </w:pPr>
      <w:r w:rsidRPr="00335FD4">
        <w:rPr>
          <w:rFonts w:ascii="Book Antiqua" w:hAnsi="Book Antiqua"/>
          <w:color w:val="000000" w:themeColor="text1"/>
        </w:rPr>
        <w:t>The preceding discussion of this paper has highlighted some of the primary concerns raised by short-term letting, and the number of stakeholders that would be impacted by a decision on the matter. In this author’s view, the short-term rental market presents a valuable economic contribution that should not be unduly regulated. An Economic Impact Study prepared by BIS Shrapnel estimated that the short-term letting industry produced approximately $1.3 billion in economic activity throughout NSW</w:t>
      </w:r>
      <w:r w:rsidR="00AB05A6" w:rsidRPr="00335FD4">
        <w:rPr>
          <w:rFonts w:ascii="Book Antiqua" w:hAnsi="Book Antiqua"/>
          <w:color w:val="000000" w:themeColor="text1"/>
        </w:rPr>
        <w:t xml:space="preserve"> in 2014, muc</w:t>
      </w:r>
      <w:r w:rsidRPr="00335FD4">
        <w:rPr>
          <w:rFonts w:ascii="Book Antiqua" w:hAnsi="Book Antiqua"/>
          <w:color w:val="000000" w:themeColor="text1"/>
        </w:rPr>
        <w:t>h of which amounted to a significant source of income for property owners.</w:t>
      </w:r>
      <w:r w:rsidR="00E11440" w:rsidRPr="00335FD4">
        <w:rPr>
          <w:rStyle w:val="FootnoteReference"/>
          <w:rFonts w:ascii="Book Antiqua" w:hAnsi="Book Antiqua"/>
          <w:color w:val="000000" w:themeColor="text1"/>
        </w:rPr>
        <w:footnoteReference w:id="74"/>
      </w:r>
      <w:r w:rsidRPr="00335FD4">
        <w:rPr>
          <w:rFonts w:ascii="Book Antiqua" w:hAnsi="Book Antiqua"/>
          <w:color w:val="000000" w:themeColor="text1"/>
        </w:rPr>
        <w:t xml:space="preserve"> </w:t>
      </w:r>
      <w:r w:rsidR="00943614" w:rsidRPr="00335FD4">
        <w:rPr>
          <w:rFonts w:ascii="Book Antiqua" w:hAnsi="Book Antiqua"/>
          <w:color w:val="000000" w:themeColor="text1"/>
        </w:rPr>
        <w:t xml:space="preserve">However, although the practice does produce positive results, it is clear that it cannot be exploited and sufficient controls must be established. </w:t>
      </w:r>
      <w:r w:rsidR="00517107">
        <w:rPr>
          <w:rFonts w:ascii="Book Antiqua" w:hAnsi="Book Antiqua"/>
          <w:color w:val="000000" w:themeColor="text1"/>
        </w:rPr>
        <w:t xml:space="preserve">Accordingly, in this author’s view, an approach akin to that advocated by Mr Hodgman would be able to adequately deal with the issues raised by short-term letting. </w:t>
      </w:r>
    </w:p>
    <w:p w14:paraId="367C5EA6" w14:textId="77777777" w:rsidR="00A94D6E" w:rsidRPr="00335FD4" w:rsidRDefault="00A94D6E" w:rsidP="00D96EED">
      <w:pPr>
        <w:jc w:val="both"/>
        <w:rPr>
          <w:rFonts w:ascii="Book Antiqua" w:hAnsi="Book Antiqua"/>
          <w:color w:val="000000" w:themeColor="text1"/>
        </w:rPr>
      </w:pPr>
    </w:p>
    <w:p w14:paraId="5C47CB63" w14:textId="77777777" w:rsidR="00943614" w:rsidRPr="00335FD4" w:rsidRDefault="00943614" w:rsidP="00D96EED">
      <w:pPr>
        <w:jc w:val="both"/>
        <w:rPr>
          <w:rFonts w:ascii="Book Antiqua" w:hAnsi="Book Antiqua"/>
          <w:color w:val="000000" w:themeColor="text1"/>
        </w:rPr>
      </w:pPr>
    </w:p>
    <w:p w14:paraId="495280F0" w14:textId="77777777" w:rsidR="00A94D6E" w:rsidRDefault="00A94D6E" w:rsidP="00D96EED">
      <w:pPr>
        <w:jc w:val="both"/>
        <w:rPr>
          <w:rFonts w:ascii="Book Antiqua" w:hAnsi="Book Antiqua"/>
          <w:color w:val="000000" w:themeColor="text1"/>
        </w:rPr>
      </w:pPr>
    </w:p>
    <w:p w14:paraId="7D294735" w14:textId="77777777" w:rsidR="00A94D6E" w:rsidRDefault="00A94D6E" w:rsidP="00A94D6E">
      <w:pPr>
        <w:rPr>
          <w:rFonts w:ascii="Book Antiqua" w:hAnsi="Book Antiqua"/>
          <w:b/>
          <w:i/>
          <w:color w:val="000000" w:themeColor="text1"/>
          <w:lang w:val="en-AU"/>
        </w:rPr>
      </w:pPr>
      <w:r>
        <w:rPr>
          <w:rFonts w:ascii="Book Antiqua" w:hAnsi="Book Antiqua"/>
          <w:b/>
          <w:smallCaps/>
          <w:color w:val="000000" w:themeColor="text1"/>
          <w:lang w:val="en-AU"/>
        </w:rPr>
        <w:t>1</w:t>
      </w:r>
      <w:r w:rsidRPr="00335FD4">
        <w:rPr>
          <w:rFonts w:ascii="Book Antiqua" w:hAnsi="Book Antiqua"/>
          <w:b/>
          <w:i/>
          <w:color w:val="000000" w:themeColor="text1"/>
          <w:lang w:val="en-AU"/>
        </w:rPr>
        <w:t xml:space="preserve"> </w:t>
      </w:r>
      <w:r>
        <w:rPr>
          <w:rFonts w:ascii="Book Antiqua" w:hAnsi="Book Antiqua"/>
          <w:b/>
          <w:i/>
          <w:color w:val="000000" w:themeColor="text1"/>
          <w:lang w:val="en-AU"/>
        </w:rPr>
        <w:t>The right definition</w:t>
      </w:r>
      <w:r w:rsidR="00E37819">
        <w:rPr>
          <w:rFonts w:ascii="Book Antiqua" w:hAnsi="Book Antiqua"/>
          <w:b/>
          <w:i/>
          <w:color w:val="000000" w:themeColor="text1"/>
          <w:lang w:val="en-AU"/>
        </w:rPr>
        <w:t xml:space="preserve"> and approval process</w:t>
      </w:r>
    </w:p>
    <w:p w14:paraId="339DBC28" w14:textId="77777777" w:rsidR="00A94D6E" w:rsidRDefault="00A94D6E" w:rsidP="00D96EED">
      <w:pPr>
        <w:jc w:val="both"/>
        <w:rPr>
          <w:rFonts w:ascii="Book Antiqua" w:hAnsi="Book Antiqua"/>
          <w:color w:val="000000" w:themeColor="text1"/>
        </w:rPr>
      </w:pPr>
    </w:p>
    <w:p w14:paraId="454826C5" w14:textId="77777777" w:rsidR="00D73F8D" w:rsidRDefault="00943614" w:rsidP="00D96EED">
      <w:pPr>
        <w:jc w:val="both"/>
        <w:rPr>
          <w:rFonts w:ascii="Book Antiqua" w:hAnsi="Book Antiqua"/>
          <w:color w:val="000000" w:themeColor="text1"/>
        </w:rPr>
      </w:pPr>
      <w:r w:rsidRPr="00335FD4">
        <w:rPr>
          <w:rFonts w:ascii="Book Antiqua" w:hAnsi="Book Antiqua"/>
          <w:color w:val="000000" w:themeColor="text1"/>
        </w:rPr>
        <w:t xml:space="preserve">Crucial to any legislative framework will be the definition adopted, and the time frame within which owners will be permitted to rent their property without a requirement for approval. The various legislative models examined throughout this paper have adopted a number of contrasting approaches, with jurisdictions such as Queensland and Victoria </w:t>
      </w:r>
      <w:r w:rsidR="007341C8">
        <w:rPr>
          <w:rFonts w:ascii="Book Antiqua" w:hAnsi="Book Antiqua"/>
          <w:color w:val="000000" w:themeColor="text1"/>
        </w:rPr>
        <w:t>favouring</w:t>
      </w:r>
      <w:r w:rsidRPr="00335FD4">
        <w:rPr>
          <w:rFonts w:ascii="Book Antiqua" w:hAnsi="Book Antiqua"/>
          <w:color w:val="000000" w:themeColor="text1"/>
        </w:rPr>
        <w:t xml:space="preserve"> very strict parameters for what conduct will require approval, while others, such as Nashville and San Jose in the United States, have provided far more liberal timeframes for home owners.</w:t>
      </w:r>
      <w:r w:rsidRPr="00335FD4">
        <w:rPr>
          <w:rStyle w:val="FootnoteReference"/>
          <w:rFonts w:ascii="Book Antiqua" w:hAnsi="Book Antiqua"/>
          <w:color w:val="000000" w:themeColor="text1"/>
        </w:rPr>
        <w:footnoteReference w:id="75"/>
      </w:r>
      <w:r w:rsidR="001E1EFA" w:rsidRPr="00335FD4">
        <w:rPr>
          <w:rFonts w:ascii="Book Antiqua" w:hAnsi="Book Antiqua"/>
          <w:color w:val="000000" w:themeColor="text1"/>
        </w:rPr>
        <w:t xml:space="preserve"> While tighter timeframes may provide planning authorities and surrounding property owners with some comfort that letting practices will not spiral out of control, they all necessitate a strict system of monitoring and authorisation. </w:t>
      </w:r>
    </w:p>
    <w:p w14:paraId="7C041E0B" w14:textId="77777777" w:rsidR="00D73F8D" w:rsidRDefault="00D73F8D" w:rsidP="00D96EED">
      <w:pPr>
        <w:jc w:val="both"/>
        <w:rPr>
          <w:rFonts w:ascii="Book Antiqua" w:hAnsi="Book Antiqua"/>
          <w:color w:val="000000" w:themeColor="text1"/>
        </w:rPr>
      </w:pPr>
    </w:p>
    <w:p w14:paraId="45017AF7" w14:textId="77777777" w:rsidR="00E37819" w:rsidRDefault="001E1EFA" w:rsidP="00D96EED">
      <w:pPr>
        <w:jc w:val="both"/>
        <w:rPr>
          <w:rFonts w:ascii="Book Antiqua" w:hAnsi="Book Antiqua"/>
          <w:color w:val="000000" w:themeColor="text1"/>
        </w:rPr>
      </w:pPr>
      <w:r w:rsidRPr="00335FD4">
        <w:rPr>
          <w:rFonts w:ascii="Book Antiqua" w:hAnsi="Book Antiqua"/>
          <w:color w:val="000000" w:themeColor="text1"/>
        </w:rPr>
        <w:t>It is too early to tell whether such</w:t>
      </w:r>
      <w:r w:rsidR="002B75FA" w:rsidRPr="00335FD4">
        <w:rPr>
          <w:rFonts w:ascii="Book Antiqua" w:hAnsi="Book Antiqua"/>
          <w:color w:val="000000" w:themeColor="text1"/>
        </w:rPr>
        <w:t xml:space="preserve"> problems will be experienced in Queensland or Victoria, but in this author’s view a more sensible option would be to measure the requirement for approval by the number of days per year that the property will be let, rather than the length of individual stay. Akin to the models adopted in the UK and France, this would permit owners to lease their property for a specified total </w:t>
      </w:r>
      <w:r w:rsidR="002B75FA" w:rsidRPr="00335FD4">
        <w:rPr>
          <w:rFonts w:ascii="Book Antiqua" w:hAnsi="Book Antiqua"/>
          <w:color w:val="000000" w:themeColor="text1"/>
        </w:rPr>
        <w:lastRenderedPageBreak/>
        <w:t xml:space="preserve">number of days out of the year before a requirement for permission arises, and would maximize </w:t>
      </w:r>
      <w:r w:rsidR="00CB3B58">
        <w:rPr>
          <w:rFonts w:ascii="Book Antiqua" w:hAnsi="Book Antiqua"/>
          <w:color w:val="000000" w:themeColor="text1"/>
        </w:rPr>
        <w:t xml:space="preserve">a </w:t>
      </w:r>
      <w:r w:rsidR="002B75FA" w:rsidRPr="00335FD4">
        <w:rPr>
          <w:rFonts w:ascii="Book Antiqua" w:hAnsi="Book Antiqua"/>
          <w:color w:val="000000" w:themeColor="text1"/>
        </w:rPr>
        <w:t xml:space="preserve">home owner’s ability to more readily engage in repeated rentals of their property. </w:t>
      </w:r>
      <w:r w:rsidR="009A78BF" w:rsidRPr="00335FD4">
        <w:rPr>
          <w:rFonts w:ascii="Book Antiqua" w:hAnsi="Book Antiqua"/>
          <w:color w:val="000000" w:themeColor="text1"/>
        </w:rPr>
        <w:t>Similarly, a flexible timeframe would remove the need for councils and owners corporations to aggressively monitor their residents</w:t>
      </w:r>
      <w:r w:rsidR="00A5067A" w:rsidRPr="00335FD4">
        <w:rPr>
          <w:rFonts w:ascii="Book Antiqua" w:hAnsi="Book Antiqua"/>
          <w:color w:val="000000" w:themeColor="text1"/>
        </w:rPr>
        <w:t>’</w:t>
      </w:r>
      <w:r w:rsidR="009A78BF" w:rsidRPr="00335FD4">
        <w:rPr>
          <w:rFonts w:ascii="Book Antiqua" w:hAnsi="Book Antiqua"/>
          <w:color w:val="000000" w:themeColor="text1"/>
        </w:rPr>
        <w:t xml:space="preserve"> property use. If an owner anticipated that they were going to exceed the statutory timeframe, they could apply for a development approval in advance to cover the entirety of their letting practices for the year. This would obviate the need for parties to examine each and every short-term rental’s compliance with planning rules, and would ensure that letting </w:t>
      </w:r>
      <w:r w:rsidR="001428B1" w:rsidRPr="00335FD4">
        <w:rPr>
          <w:rFonts w:ascii="Book Antiqua" w:hAnsi="Book Antiqua"/>
          <w:color w:val="000000" w:themeColor="text1"/>
        </w:rPr>
        <w:t>was</w:t>
      </w:r>
      <w:r w:rsidR="009A78BF" w:rsidRPr="00335FD4">
        <w:rPr>
          <w:rFonts w:ascii="Book Antiqua" w:hAnsi="Book Antiqua"/>
          <w:color w:val="000000" w:themeColor="text1"/>
        </w:rPr>
        <w:t xml:space="preserve"> not practiced without appropriate approval</w:t>
      </w:r>
      <w:r w:rsidR="001428B1" w:rsidRPr="00335FD4">
        <w:rPr>
          <w:rFonts w:ascii="Book Antiqua" w:hAnsi="Book Antiqua"/>
          <w:color w:val="000000" w:themeColor="text1"/>
        </w:rPr>
        <w:t xml:space="preserve">s being obtained. </w:t>
      </w:r>
    </w:p>
    <w:p w14:paraId="64D73004" w14:textId="77777777" w:rsidR="00E37819" w:rsidRDefault="00E37819" w:rsidP="00D96EED">
      <w:pPr>
        <w:jc w:val="both"/>
        <w:rPr>
          <w:rFonts w:ascii="Book Antiqua" w:hAnsi="Book Antiqua"/>
          <w:color w:val="000000" w:themeColor="text1"/>
        </w:rPr>
      </w:pPr>
    </w:p>
    <w:p w14:paraId="2E5A04F0" w14:textId="77777777" w:rsidR="00E37819" w:rsidRDefault="00E37819" w:rsidP="00E37819">
      <w:pPr>
        <w:rPr>
          <w:rFonts w:ascii="Book Antiqua" w:hAnsi="Book Antiqua"/>
          <w:b/>
          <w:i/>
          <w:color w:val="000000" w:themeColor="text1"/>
          <w:lang w:val="en-AU"/>
        </w:rPr>
      </w:pPr>
      <w:r>
        <w:rPr>
          <w:rFonts w:ascii="Book Antiqua" w:hAnsi="Book Antiqua"/>
          <w:b/>
          <w:smallCaps/>
          <w:color w:val="000000" w:themeColor="text1"/>
          <w:lang w:val="en-AU"/>
        </w:rPr>
        <w:t>2</w:t>
      </w:r>
      <w:r w:rsidRPr="00335FD4">
        <w:rPr>
          <w:rFonts w:ascii="Book Antiqua" w:hAnsi="Book Antiqua"/>
          <w:b/>
          <w:i/>
          <w:color w:val="000000" w:themeColor="text1"/>
          <w:lang w:val="en-AU"/>
        </w:rPr>
        <w:t xml:space="preserve"> </w:t>
      </w:r>
      <w:r>
        <w:rPr>
          <w:rFonts w:ascii="Book Antiqua" w:hAnsi="Book Antiqua"/>
          <w:b/>
          <w:i/>
          <w:color w:val="000000" w:themeColor="text1"/>
          <w:lang w:val="en-AU"/>
        </w:rPr>
        <w:t>Qualifying approvals</w:t>
      </w:r>
    </w:p>
    <w:p w14:paraId="4E7C2BDA" w14:textId="77777777" w:rsidR="00E37819" w:rsidRDefault="00E37819" w:rsidP="00D96EED">
      <w:pPr>
        <w:jc w:val="both"/>
        <w:rPr>
          <w:rFonts w:ascii="Book Antiqua" w:hAnsi="Book Antiqua"/>
          <w:color w:val="000000" w:themeColor="text1"/>
        </w:rPr>
      </w:pPr>
    </w:p>
    <w:p w14:paraId="0CAB1AAC" w14:textId="77777777" w:rsidR="00FF7754" w:rsidRDefault="001428B1" w:rsidP="00D96EED">
      <w:pPr>
        <w:jc w:val="both"/>
        <w:rPr>
          <w:rFonts w:ascii="Book Antiqua" w:hAnsi="Book Antiqua"/>
          <w:color w:val="000000" w:themeColor="text1"/>
        </w:rPr>
      </w:pPr>
      <w:r w:rsidRPr="00335FD4">
        <w:rPr>
          <w:rFonts w:ascii="Book Antiqua" w:hAnsi="Book Antiqua"/>
          <w:color w:val="000000" w:themeColor="text1"/>
        </w:rPr>
        <w:t>However, approvals should not be given without conditions</w:t>
      </w:r>
      <w:r w:rsidR="0003379E">
        <w:rPr>
          <w:rFonts w:ascii="Book Antiqua" w:hAnsi="Book Antiqua"/>
          <w:color w:val="000000" w:themeColor="text1"/>
        </w:rPr>
        <w:t xml:space="preserve"> imposed</w:t>
      </w:r>
      <w:r w:rsidRPr="00335FD4">
        <w:rPr>
          <w:rFonts w:ascii="Book Antiqua" w:hAnsi="Book Antiqua"/>
          <w:color w:val="000000" w:themeColor="text1"/>
        </w:rPr>
        <w:t xml:space="preserve">, </w:t>
      </w:r>
      <w:r w:rsidR="009C36F7" w:rsidRPr="00335FD4">
        <w:rPr>
          <w:rFonts w:ascii="Book Antiqua" w:hAnsi="Book Antiqua"/>
          <w:color w:val="000000" w:themeColor="text1"/>
        </w:rPr>
        <w:t xml:space="preserve">such as a revocation of permission if damage is occasioned to surrounding properties or </w:t>
      </w:r>
      <w:r w:rsidR="0003379E">
        <w:rPr>
          <w:rFonts w:ascii="Book Antiqua" w:hAnsi="Book Antiqua"/>
          <w:color w:val="000000" w:themeColor="text1"/>
        </w:rPr>
        <w:t xml:space="preserve">the </w:t>
      </w:r>
      <w:r w:rsidR="009C36F7" w:rsidRPr="00335FD4">
        <w:rPr>
          <w:rFonts w:ascii="Book Antiqua" w:hAnsi="Book Antiqua"/>
          <w:color w:val="000000" w:themeColor="text1"/>
        </w:rPr>
        <w:t>neighbourhood</w:t>
      </w:r>
      <w:r w:rsidR="0003379E">
        <w:rPr>
          <w:rFonts w:ascii="Book Antiqua" w:hAnsi="Book Antiqua"/>
          <w:color w:val="000000" w:themeColor="text1"/>
        </w:rPr>
        <w:t>’s</w:t>
      </w:r>
      <w:r w:rsidR="009C36F7" w:rsidRPr="00335FD4">
        <w:rPr>
          <w:rFonts w:ascii="Book Antiqua" w:hAnsi="Book Antiqua"/>
          <w:color w:val="000000" w:themeColor="text1"/>
        </w:rPr>
        <w:t xml:space="preserve"> amenity. </w:t>
      </w:r>
      <w:r w:rsidR="00FF7754">
        <w:rPr>
          <w:rFonts w:ascii="Book Antiqua" w:hAnsi="Book Antiqua"/>
          <w:color w:val="000000" w:themeColor="text1"/>
        </w:rPr>
        <w:t xml:space="preserve">The procedure for redress identified in the Victorian provisions presents an ideal method for affected parties to resolve issues. As those provisions note, a key component of any such process’ effectiveness will </w:t>
      </w:r>
      <w:r w:rsidR="000D2999">
        <w:rPr>
          <w:rFonts w:ascii="Book Antiqua" w:hAnsi="Book Antiqua"/>
          <w:color w:val="000000" w:themeColor="text1"/>
        </w:rPr>
        <w:t xml:space="preserve">depend upon </w:t>
      </w:r>
      <w:r w:rsidR="00FF7754">
        <w:rPr>
          <w:rFonts w:ascii="Book Antiqua" w:hAnsi="Book Antiqua"/>
          <w:color w:val="000000" w:themeColor="text1"/>
        </w:rPr>
        <w:t xml:space="preserve">making owners and their lodgers jointly and severally liable for </w:t>
      </w:r>
      <w:r w:rsidR="000D2999">
        <w:rPr>
          <w:rFonts w:ascii="Book Antiqua" w:hAnsi="Book Antiqua"/>
          <w:color w:val="000000" w:themeColor="text1"/>
        </w:rPr>
        <w:t>all</w:t>
      </w:r>
      <w:r w:rsidR="00FF7754">
        <w:rPr>
          <w:rFonts w:ascii="Book Antiqua" w:hAnsi="Book Antiqua"/>
          <w:color w:val="000000" w:themeColor="text1"/>
        </w:rPr>
        <w:t xml:space="preserve"> damage</w:t>
      </w:r>
      <w:r w:rsidR="000D2999">
        <w:rPr>
          <w:rFonts w:ascii="Book Antiqua" w:hAnsi="Book Antiqua"/>
          <w:color w:val="000000" w:themeColor="text1"/>
        </w:rPr>
        <w:t xml:space="preserve"> incurred, subject to any reasonable defence that may be raised</w:t>
      </w:r>
      <w:r w:rsidR="00FF7754">
        <w:rPr>
          <w:rFonts w:ascii="Book Antiqua" w:hAnsi="Book Antiqua"/>
          <w:color w:val="000000" w:themeColor="text1"/>
        </w:rPr>
        <w:t>.</w:t>
      </w:r>
      <w:r w:rsidR="00FF7754">
        <w:rPr>
          <w:rStyle w:val="FootnoteReference"/>
          <w:rFonts w:ascii="Book Antiqua" w:hAnsi="Book Antiqua"/>
          <w:color w:val="000000" w:themeColor="text1"/>
        </w:rPr>
        <w:footnoteReference w:id="76"/>
      </w:r>
      <w:r w:rsidR="00D85E2C">
        <w:rPr>
          <w:rFonts w:ascii="Book Antiqua" w:hAnsi="Book Antiqua"/>
          <w:color w:val="000000" w:themeColor="text1"/>
        </w:rPr>
        <w:t xml:space="preserve"> The introduction of such measures would not amount to any kind of reinvention of the wheel, but merely an express recognition that the actions of lodgers will no escape the reach of the law. </w:t>
      </w:r>
      <w:r w:rsidR="008D0B0F">
        <w:rPr>
          <w:rFonts w:ascii="Book Antiqua" w:hAnsi="Book Antiqua"/>
          <w:color w:val="000000" w:themeColor="text1"/>
        </w:rPr>
        <w:t xml:space="preserve">While maximising the effectiveness of the sharing economy is key, that cannot come at the expense of other relevant stakeholders.  </w:t>
      </w:r>
    </w:p>
    <w:p w14:paraId="1B2AEF1C" w14:textId="77777777" w:rsidR="00FF7754" w:rsidRDefault="00FF7754" w:rsidP="00D96EED">
      <w:pPr>
        <w:jc w:val="both"/>
        <w:rPr>
          <w:rFonts w:ascii="Book Antiqua" w:hAnsi="Book Antiqua"/>
          <w:color w:val="000000" w:themeColor="text1"/>
        </w:rPr>
      </w:pPr>
    </w:p>
    <w:p w14:paraId="5923C89B" w14:textId="77777777" w:rsidR="002B75FA" w:rsidRDefault="008D0B0F" w:rsidP="00D96EED">
      <w:pPr>
        <w:jc w:val="both"/>
        <w:rPr>
          <w:rFonts w:ascii="Book Antiqua" w:hAnsi="Book Antiqua"/>
          <w:color w:val="000000" w:themeColor="text1"/>
        </w:rPr>
      </w:pPr>
      <w:r>
        <w:rPr>
          <w:rFonts w:ascii="Book Antiqua" w:hAnsi="Book Antiqua"/>
          <w:color w:val="000000" w:themeColor="text1"/>
        </w:rPr>
        <w:t xml:space="preserve">In addition to qualified approvals, there would appear to be a pressing need that those wishing to engage in short-term renting have obtained sufficient insurance. As such, any application for a property to be used for a certain number of days each year as ‘short-term accommodation’ should be accompanied with proof that the owner of the property has </w:t>
      </w:r>
      <w:r w:rsidR="00D02EF5">
        <w:rPr>
          <w:rFonts w:ascii="Book Antiqua" w:hAnsi="Book Antiqua"/>
          <w:color w:val="000000" w:themeColor="text1"/>
        </w:rPr>
        <w:t xml:space="preserve">obtained an insurance policy with sufficient coverage to protect against any loss that might result. </w:t>
      </w:r>
      <w:r w:rsidR="00D26DA8" w:rsidRPr="00335FD4">
        <w:rPr>
          <w:rFonts w:ascii="Book Antiqua" w:hAnsi="Book Antiqua"/>
          <w:color w:val="000000" w:themeColor="text1"/>
        </w:rPr>
        <w:t xml:space="preserve">As this paper has noted, the Terms of Service provided for by Airbnb create a false sense of security for users, who interpret their ‘Host Guarantee’ as tantamount to an insurance policy. </w:t>
      </w:r>
      <w:r w:rsidR="001B7482">
        <w:rPr>
          <w:rFonts w:ascii="Book Antiqua" w:hAnsi="Book Antiqua"/>
          <w:color w:val="000000" w:themeColor="text1"/>
        </w:rPr>
        <w:t xml:space="preserve">An express requirement that an adequate policy </w:t>
      </w:r>
      <w:r>
        <w:rPr>
          <w:rFonts w:ascii="Book Antiqua" w:hAnsi="Book Antiqua"/>
          <w:color w:val="000000" w:themeColor="text1"/>
        </w:rPr>
        <w:t xml:space="preserve">has been obtained </w:t>
      </w:r>
      <w:r w:rsidR="001B7482">
        <w:rPr>
          <w:rFonts w:ascii="Book Antiqua" w:hAnsi="Book Antiqua"/>
          <w:color w:val="000000" w:themeColor="text1"/>
        </w:rPr>
        <w:t>would, hopefully, assist in correcting any</w:t>
      </w:r>
      <w:r>
        <w:rPr>
          <w:rFonts w:ascii="Book Antiqua" w:hAnsi="Book Antiqua"/>
          <w:color w:val="000000" w:themeColor="text1"/>
        </w:rPr>
        <w:t xml:space="preserve"> user’s with the</w:t>
      </w:r>
      <w:r w:rsidR="001B7482">
        <w:rPr>
          <w:rFonts w:ascii="Book Antiqua" w:hAnsi="Book Antiqua"/>
          <w:color w:val="000000" w:themeColor="text1"/>
        </w:rPr>
        <w:t xml:space="preserve"> erroneously held belief of that Airbnb and like services </w:t>
      </w:r>
      <w:r>
        <w:rPr>
          <w:rFonts w:ascii="Book Antiqua" w:hAnsi="Book Antiqua"/>
          <w:color w:val="000000" w:themeColor="text1"/>
        </w:rPr>
        <w:t>are</w:t>
      </w:r>
      <w:r w:rsidR="001B7482">
        <w:rPr>
          <w:rFonts w:ascii="Book Antiqua" w:hAnsi="Book Antiqua"/>
          <w:color w:val="000000" w:themeColor="text1"/>
        </w:rPr>
        <w:t xml:space="preserve"> adequately indemnify</w:t>
      </w:r>
      <w:r>
        <w:rPr>
          <w:rFonts w:ascii="Book Antiqua" w:hAnsi="Book Antiqua"/>
          <w:color w:val="000000" w:themeColor="text1"/>
        </w:rPr>
        <w:t>ing</w:t>
      </w:r>
      <w:r w:rsidR="001B7482">
        <w:rPr>
          <w:rFonts w:ascii="Book Antiqua" w:hAnsi="Book Antiqua"/>
          <w:color w:val="000000" w:themeColor="text1"/>
        </w:rPr>
        <w:t xml:space="preserve"> them.  </w:t>
      </w:r>
      <w:r w:rsidR="001428B1" w:rsidRPr="00335FD4">
        <w:rPr>
          <w:rFonts w:ascii="Book Antiqua" w:hAnsi="Book Antiqua"/>
          <w:color w:val="000000" w:themeColor="text1"/>
        </w:rPr>
        <w:t xml:space="preserve">Further, the adoption of a remedial model such as that introduced in Victoria, would serve not only to protect stakeholders against loss suffered from lodgers in surrounding properties, but also encourage </w:t>
      </w:r>
      <w:r w:rsidR="008D5D20" w:rsidRPr="00335FD4">
        <w:rPr>
          <w:rFonts w:ascii="Book Antiqua" w:hAnsi="Book Antiqua"/>
          <w:color w:val="000000" w:themeColor="text1"/>
        </w:rPr>
        <w:t xml:space="preserve">greater awareness amongst </w:t>
      </w:r>
      <w:r w:rsidR="001428B1" w:rsidRPr="00335FD4">
        <w:rPr>
          <w:rFonts w:ascii="Book Antiqua" w:hAnsi="Book Antiqua"/>
          <w:color w:val="000000" w:themeColor="text1"/>
        </w:rPr>
        <w:t xml:space="preserve">property owners who offer their property for rent </w:t>
      </w:r>
      <w:r w:rsidR="008D5D20" w:rsidRPr="00335FD4">
        <w:rPr>
          <w:rFonts w:ascii="Book Antiqua" w:hAnsi="Book Antiqua"/>
          <w:color w:val="000000" w:themeColor="text1"/>
        </w:rPr>
        <w:t xml:space="preserve">of the potential risks involved. </w:t>
      </w:r>
    </w:p>
    <w:p w14:paraId="4CD3CE6E" w14:textId="77777777" w:rsidR="00D85E2C" w:rsidRPr="00335FD4" w:rsidRDefault="00D85E2C" w:rsidP="00D96EED">
      <w:pPr>
        <w:jc w:val="both"/>
        <w:rPr>
          <w:rFonts w:ascii="Book Antiqua" w:hAnsi="Book Antiqua"/>
          <w:color w:val="000000" w:themeColor="text1"/>
        </w:rPr>
      </w:pPr>
    </w:p>
    <w:p w14:paraId="74A32FEB" w14:textId="77777777" w:rsidR="004530DD" w:rsidRDefault="004530DD" w:rsidP="004530DD">
      <w:pPr>
        <w:rPr>
          <w:rFonts w:ascii="Book Antiqua" w:hAnsi="Book Antiqua"/>
          <w:b/>
          <w:i/>
          <w:color w:val="000000" w:themeColor="text1"/>
          <w:lang w:val="en-AU"/>
        </w:rPr>
      </w:pPr>
      <w:r>
        <w:rPr>
          <w:rFonts w:ascii="Book Antiqua" w:hAnsi="Book Antiqua"/>
          <w:b/>
          <w:smallCaps/>
          <w:color w:val="000000" w:themeColor="text1"/>
          <w:lang w:val="en-AU"/>
        </w:rPr>
        <w:t>3</w:t>
      </w:r>
      <w:r w:rsidRPr="00335FD4">
        <w:rPr>
          <w:rFonts w:ascii="Book Antiqua" w:hAnsi="Book Antiqua"/>
          <w:b/>
          <w:i/>
          <w:color w:val="000000" w:themeColor="text1"/>
          <w:lang w:val="en-AU"/>
        </w:rPr>
        <w:t xml:space="preserve"> </w:t>
      </w:r>
      <w:r>
        <w:rPr>
          <w:rFonts w:ascii="Book Antiqua" w:hAnsi="Book Antiqua"/>
          <w:b/>
          <w:i/>
          <w:color w:val="000000" w:themeColor="text1"/>
          <w:lang w:val="en-AU"/>
        </w:rPr>
        <w:t xml:space="preserve">Investigative </w:t>
      </w:r>
      <w:r w:rsidR="0053252E">
        <w:rPr>
          <w:rFonts w:ascii="Book Antiqua" w:hAnsi="Book Antiqua"/>
          <w:b/>
          <w:i/>
          <w:color w:val="000000" w:themeColor="text1"/>
          <w:lang w:val="en-AU"/>
        </w:rPr>
        <w:t>p</w:t>
      </w:r>
      <w:r>
        <w:rPr>
          <w:rFonts w:ascii="Book Antiqua" w:hAnsi="Book Antiqua"/>
          <w:b/>
          <w:i/>
          <w:color w:val="000000" w:themeColor="text1"/>
          <w:lang w:val="en-AU"/>
        </w:rPr>
        <w:t>owers</w:t>
      </w:r>
    </w:p>
    <w:p w14:paraId="33724208" w14:textId="77777777" w:rsidR="008D5D20" w:rsidRPr="00335FD4" w:rsidRDefault="008D5D20" w:rsidP="00D96EED">
      <w:pPr>
        <w:jc w:val="both"/>
        <w:rPr>
          <w:rFonts w:ascii="Book Antiqua" w:hAnsi="Book Antiqua"/>
          <w:color w:val="000000" w:themeColor="text1"/>
        </w:rPr>
      </w:pPr>
    </w:p>
    <w:p w14:paraId="415C09E4" w14:textId="77777777" w:rsidR="00D96EED" w:rsidRPr="000926FB" w:rsidRDefault="008D5D20" w:rsidP="00D96EED">
      <w:pPr>
        <w:jc w:val="both"/>
        <w:rPr>
          <w:rFonts w:ascii="Book Antiqua" w:eastAsia="Times New Roman" w:hAnsi="Book Antiqua"/>
          <w:color w:val="000000" w:themeColor="text1"/>
        </w:rPr>
      </w:pPr>
      <w:r w:rsidRPr="00335FD4">
        <w:rPr>
          <w:rFonts w:ascii="Book Antiqua" w:hAnsi="Book Antiqua"/>
          <w:color w:val="000000" w:themeColor="text1"/>
        </w:rPr>
        <w:t>On a related note, it would appear that any legislative measures adopted</w:t>
      </w:r>
      <w:r w:rsidR="009809D7">
        <w:rPr>
          <w:rFonts w:ascii="Book Antiqua" w:hAnsi="Book Antiqua"/>
          <w:color w:val="000000" w:themeColor="text1"/>
        </w:rPr>
        <w:t xml:space="preserve"> must</w:t>
      </w:r>
      <w:r w:rsidRPr="00335FD4">
        <w:rPr>
          <w:rFonts w:ascii="Book Antiqua" w:hAnsi="Book Antiqua"/>
          <w:color w:val="000000" w:themeColor="text1"/>
        </w:rPr>
        <w:t xml:space="preserve"> place greater obligations upon service providers such as Airbnb</w:t>
      </w:r>
      <w:r w:rsidR="009809D7">
        <w:rPr>
          <w:rFonts w:ascii="Book Antiqua" w:hAnsi="Book Antiqua"/>
          <w:color w:val="000000" w:themeColor="text1"/>
        </w:rPr>
        <w:t xml:space="preserve"> for transparency in their terms and conditions</w:t>
      </w:r>
      <w:r w:rsidRPr="00335FD4">
        <w:rPr>
          <w:rFonts w:ascii="Book Antiqua" w:hAnsi="Book Antiqua"/>
          <w:color w:val="000000" w:themeColor="text1"/>
        </w:rPr>
        <w:t xml:space="preserve">. </w:t>
      </w:r>
      <w:r w:rsidR="009809D7">
        <w:rPr>
          <w:rFonts w:ascii="Book Antiqua" w:hAnsi="Book Antiqua"/>
          <w:color w:val="000000" w:themeColor="text1"/>
        </w:rPr>
        <w:t xml:space="preserve">This could take the form of requiring those service providers to undertake additional checks to ensure that listings have been made with the </w:t>
      </w:r>
      <w:r w:rsidRPr="00335FD4">
        <w:rPr>
          <w:rFonts w:ascii="Book Antiqua" w:hAnsi="Book Antiqua"/>
          <w:color w:val="000000" w:themeColor="text1"/>
        </w:rPr>
        <w:lastRenderedPageBreak/>
        <w:t xml:space="preserve">approval of all relevant parties, in particular, a landlord in the case of a rented property. </w:t>
      </w:r>
      <w:r w:rsidR="00CE51E2">
        <w:rPr>
          <w:rFonts w:ascii="Book Antiqua" w:hAnsi="Book Antiqua"/>
          <w:color w:val="000000" w:themeColor="text1"/>
        </w:rPr>
        <w:t xml:space="preserve">While requiring the services themselves to introduce such measures would be the most effective solution, this author recognizes the </w:t>
      </w:r>
      <w:r w:rsidRPr="00335FD4">
        <w:rPr>
          <w:rFonts w:ascii="Book Antiqua" w:hAnsi="Book Antiqua"/>
          <w:color w:val="000000" w:themeColor="text1"/>
        </w:rPr>
        <w:t xml:space="preserve">difficulties that could be faced by a legislature if it were to attempt to regulate the business practices of an international corporation. Consequently, a </w:t>
      </w:r>
      <w:r w:rsidR="00C22F95" w:rsidRPr="00335FD4">
        <w:rPr>
          <w:rFonts w:ascii="Book Antiqua" w:hAnsi="Book Antiqua"/>
          <w:color w:val="000000" w:themeColor="text1"/>
        </w:rPr>
        <w:t xml:space="preserve">more realistic </w:t>
      </w:r>
      <w:r w:rsidR="00CE51E2">
        <w:rPr>
          <w:rFonts w:ascii="Book Antiqua" w:hAnsi="Book Antiqua"/>
          <w:color w:val="000000" w:themeColor="text1"/>
        </w:rPr>
        <w:t>alternative</w:t>
      </w:r>
      <w:r w:rsidR="00C22F95" w:rsidRPr="00335FD4">
        <w:rPr>
          <w:rFonts w:ascii="Book Antiqua" w:hAnsi="Book Antiqua"/>
          <w:color w:val="000000" w:themeColor="text1"/>
        </w:rPr>
        <w:t xml:space="preserve"> may be to empower Local Councils with investigative powers to determine whether properties are being used in an unauthorised manner. The expansion of powers provided to council officers in NSW under s 119J of the </w:t>
      </w:r>
      <w:r w:rsidR="00C22F95" w:rsidRPr="00335FD4">
        <w:rPr>
          <w:rFonts w:ascii="Book Antiqua" w:eastAsia="Times New Roman" w:hAnsi="Book Antiqua"/>
          <w:i/>
          <w:color w:val="000000" w:themeColor="text1"/>
        </w:rPr>
        <w:t xml:space="preserve">Environmental Planning and Assessment Amendment Act 2014 </w:t>
      </w:r>
      <w:r w:rsidR="00C22F95" w:rsidRPr="00335FD4">
        <w:rPr>
          <w:rFonts w:ascii="Book Antiqua" w:eastAsia="Times New Roman" w:hAnsi="Book Antiqua"/>
          <w:color w:val="000000" w:themeColor="text1"/>
        </w:rPr>
        <w:t xml:space="preserve">(NSW) would </w:t>
      </w:r>
      <w:r w:rsidR="00CE51E2">
        <w:rPr>
          <w:rFonts w:ascii="Book Antiqua" w:eastAsia="Times New Roman" w:hAnsi="Book Antiqua"/>
          <w:color w:val="000000" w:themeColor="text1"/>
        </w:rPr>
        <w:t xml:space="preserve">provide a suitable </w:t>
      </w:r>
      <w:r w:rsidR="001E0DEF">
        <w:rPr>
          <w:rFonts w:ascii="Book Antiqua" w:eastAsia="Times New Roman" w:hAnsi="Book Antiqua"/>
          <w:color w:val="000000" w:themeColor="text1"/>
        </w:rPr>
        <w:t xml:space="preserve">means of enforcing compliance. Local Councils could be given the authority to investigate claims brought by landlords, body corporate or other entities with a well-founded belief that their property is being used in an unauthorised </w:t>
      </w:r>
      <w:r w:rsidR="00E06C8C">
        <w:rPr>
          <w:rFonts w:ascii="Book Antiqua" w:eastAsia="Times New Roman" w:hAnsi="Book Antiqua"/>
          <w:color w:val="000000" w:themeColor="text1"/>
        </w:rPr>
        <w:t>way</w:t>
      </w:r>
      <w:r w:rsidR="001E0DEF">
        <w:rPr>
          <w:rFonts w:ascii="Book Antiqua" w:eastAsia="Times New Roman" w:hAnsi="Book Antiqua"/>
          <w:color w:val="000000" w:themeColor="text1"/>
        </w:rPr>
        <w:t xml:space="preserve">. </w:t>
      </w:r>
      <w:r w:rsidR="000926FB">
        <w:rPr>
          <w:rFonts w:ascii="Book Antiqua" w:eastAsia="Times New Roman" w:hAnsi="Book Antiqua"/>
          <w:color w:val="000000" w:themeColor="text1"/>
        </w:rPr>
        <w:t>The introduction of this type of power would go a long way towards overcoming one of the key problems currently surrounding short-term rentals, namely, the lack of consequence. By extending the powers of local planning authorities, a tangible risk would be posed to those users who list</w:t>
      </w:r>
      <w:r w:rsidR="00C22F95" w:rsidRPr="00335FD4">
        <w:rPr>
          <w:rFonts w:ascii="Book Antiqua" w:eastAsia="Times New Roman" w:hAnsi="Book Antiqua"/>
          <w:color w:val="000000" w:themeColor="text1"/>
        </w:rPr>
        <w:t xml:space="preserve"> their properties without permission, and</w:t>
      </w:r>
      <w:r w:rsidR="000926FB">
        <w:rPr>
          <w:rFonts w:ascii="Book Antiqua" w:eastAsia="Times New Roman" w:hAnsi="Book Antiqua"/>
          <w:color w:val="000000" w:themeColor="text1"/>
        </w:rPr>
        <w:t xml:space="preserve"> would</w:t>
      </w:r>
      <w:r w:rsidR="00C22F95" w:rsidRPr="00335FD4">
        <w:rPr>
          <w:rFonts w:ascii="Book Antiqua" w:eastAsia="Times New Roman" w:hAnsi="Book Antiqua"/>
          <w:color w:val="000000" w:themeColor="text1"/>
        </w:rPr>
        <w:t>, ideally, foster greater openness between tenants and landlords.</w:t>
      </w:r>
      <w:r w:rsidR="00C22F95" w:rsidRPr="00335FD4">
        <w:rPr>
          <w:rStyle w:val="FootnoteReference"/>
          <w:rFonts w:ascii="Book Antiqua" w:eastAsia="Times New Roman" w:hAnsi="Book Antiqua"/>
          <w:color w:val="000000" w:themeColor="text1"/>
        </w:rPr>
        <w:footnoteReference w:id="77"/>
      </w:r>
    </w:p>
    <w:p w14:paraId="02F459A2" w14:textId="77777777" w:rsidR="00D96EED" w:rsidRPr="00335FD4" w:rsidRDefault="00D96EED" w:rsidP="00D96EED">
      <w:pPr>
        <w:jc w:val="both"/>
        <w:rPr>
          <w:rFonts w:ascii="Book Antiqua" w:hAnsi="Book Antiqua"/>
          <w:color w:val="000000" w:themeColor="text1"/>
        </w:rPr>
      </w:pPr>
    </w:p>
    <w:p w14:paraId="731F3B3E" w14:textId="77777777" w:rsidR="00EF3119" w:rsidRPr="00335FD4" w:rsidRDefault="00EF3119" w:rsidP="003C0F9E">
      <w:pPr>
        <w:jc w:val="center"/>
        <w:rPr>
          <w:rFonts w:ascii="Book Antiqua" w:hAnsi="Book Antiqua"/>
          <w:b/>
          <w:smallCaps/>
          <w:color w:val="000000" w:themeColor="text1"/>
          <w:lang w:val="en-AU"/>
        </w:rPr>
      </w:pPr>
      <w:r w:rsidRPr="00335FD4">
        <w:rPr>
          <w:rFonts w:ascii="Book Antiqua" w:hAnsi="Book Antiqua"/>
          <w:b/>
          <w:smallCaps/>
          <w:color w:val="000000" w:themeColor="text1"/>
          <w:lang w:val="en-AU"/>
        </w:rPr>
        <w:t>Conclusion</w:t>
      </w:r>
    </w:p>
    <w:p w14:paraId="1030BDDA" w14:textId="77777777" w:rsidR="00A37B08" w:rsidRPr="00335FD4" w:rsidRDefault="00A37B08" w:rsidP="00EF3119">
      <w:pPr>
        <w:tabs>
          <w:tab w:val="left" w:pos="3441"/>
        </w:tabs>
        <w:rPr>
          <w:rFonts w:ascii="Book Antiqua" w:hAnsi="Book Antiqua"/>
        </w:rPr>
      </w:pPr>
    </w:p>
    <w:p w14:paraId="38F01635" w14:textId="77777777" w:rsidR="000700A8" w:rsidRPr="00335FD4" w:rsidRDefault="000700A8" w:rsidP="000700A8">
      <w:pPr>
        <w:jc w:val="both"/>
        <w:rPr>
          <w:rFonts w:ascii="Book Antiqua" w:hAnsi="Book Antiqua"/>
          <w:b/>
          <w:color w:val="000000" w:themeColor="text1"/>
        </w:rPr>
      </w:pPr>
      <w:r w:rsidRPr="00335FD4">
        <w:rPr>
          <w:rFonts w:ascii="Book Antiqua" w:hAnsi="Book Antiqua"/>
          <w:color w:val="000000" w:themeColor="text1"/>
        </w:rPr>
        <w:t>The many varying approaches adopted across Australia and ab</w:t>
      </w:r>
      <w:r w:rsidR="00CA7CE7" w:rsidRPr="00335FD4">
        <w:rPr>
          <w:rFonts w:ascii="Book Antiqua" w:hAnsi="Book Antiqua"/>
          <w:color w:val="000000" w:themeColor="text1"/>
        </w:rPr>
        <w:t xml:space="preserve">road demonstrate the difficulties </w:t>
      </w:r>
      <w:r w:rsidRPr="00335FD4">
        <w:rPr>
          <w:rFonts w:ascii="Book Antiqua" w:hAnsi="Book Antiqua"/>
          <w:color w:val="000000" w:themeColor="text1"/>
        </w:rPr>
        <w:t xml:space="preserve">with </w:t>
      </w:r>
      <w:r w:rsidR="00CA7CE7" w:rsidRPr="00335FD4">
        <w:rPr>
          <w:rFonts w:ascii="Book Antiqua" w:hAnsi="Book Antiqua"/>
          <w:color w:val="000000" w:themeColor="text1"/>
        </w:rPr>
        <w:t>regulating</w:t>
      </w:r>
      <w:r w:rsidRPr="00335FD4">
        <w:rPr>
          <w:rFonts w:ascii="Book Antiqua" w:hAnsi="Book Antiqua"/>
          <w:color w:val="000000" w:themeColor="text1"/>
        </w:rPr>
        <w:t xml:space="preserve"> short-term letting in a way which </w:t>
      </w:r>
      <w:r w:rsidR="00CA7CE7" w:rsidRPr="00335FD4">
        <w:rPr>
          <w:rFonts w:ascii="Book Antiqua" w:hAnsi="Book Antiqua"/>
          <w:color w:val="000000" w:themeColor="text1"/>
        </w:rPr>
        <w:t>balances the needs of planning authorities</w:t>
      </w:r>
      <w:r w:rsidRPr="00335FD4">
        <w:rPr>
          <w:rFonts w:ascii="Book Antiqua" w:hAnsi="Book Antiqua"/>
          <w:color w:val="000000" w:themeColor="text1"/>
        </w:rPr>
        <w:t xml:space="preserve"> against the expectations of </w:t>
      </w:r>
      <w:r w:rsidR="00CA7CE7" w:rsidRPr="00335FD4">
        <w:rPr>
          <w:rFonts w:ascii="Book Antiqua" w:hAnsi="Book Antiqua"/>
          <w:color w:val="000000" w:themeColor="text1"/>
        </w:rPr>
        <w:t>property owners</w:t>
      </w:r>
      <w:r w:rsidRPr="00335FD4">
        <w:rPr>
          <w:rFonts w:ascii="Book Antiqua" w:hAnsi="Book Antiqua"/>
          <w:color w:val="000000" w:themeColor="text1"/>
        </w:rPr>
        <w:t xml:space="preserve">. While </w:t>
      </w:r>
      <w:r w:rsidR="00CA7CE7" w:rsidRPr="00335FD4">
        <w:rPr>
          <w:rFonts w:ascii="Book Antiqua" w:hAnsi="Book Antiqua"/>
          <w:color w:val="000000" w:themeColor="text1"/>
        </w:rPr>
        <w:t>owners</w:t>
      </w:r>
      <w:r w:rsidRPr="00335FD4">
        <w:rPr>
          <w:rFonts w:ascii="Book Antiqua" w:hAnsi="Book Antiqua"/>
          <w:color w:val="000000" w:themeColor="text1"/>
        </w:rPr>
        <w:t xml:space="preserve"> </w:t>
      </w:r>
      <w:r w:rsidR="00CA7CE7" w:rsidRPr="00335FD4">
        <w:rPr>
          <w:rFonts w:ascii="Book Antiqua" w:hAnsi="Book Antiqua"/>
          <w:color w:val="000000" w:themeColor="text1"/>
        </w:rPr>
        <w:t>make rightly feel entitled to make the most out of their own property, it is clear that such a goal cannot come at the expense of other interested parties. As this paper has addressed, there</w:t>
      </w:r>
      <w:r w:rsidR="006B197C">
        <w:rPr>
          <w:rFonts w:ascii="Book Antiqua" w:hAnsi="Book Antiqua"/>
          <w:color w:val="000000" w:themeColor="text1"/>
        </w:rPr>
        <w:t xml:space="preserve"> are</w:t>
      </w:r>
      <w:r w:rsidR="00CA7CE7" w:rsidRPr="00335FD4">
        <w:rPr>
          <w:rFonts w:ascii="Book Antiqua" w:hAnsi="Book Antiqua"/>
          <w:color w:val="000000" w:themeColor="text1"/>
        </w:rPr>
        <w:t xml:space="preserve"> a number of competing considerations when it comes to regulating short-term letting. First and foremost, it is clear that the practice must be clearly and expressly defined or categorized within </w:t>
      </w:r>
      <w:r w:rsidR="00DD36F2" w:rsidRPr="00335FD4">
        <w:rPr>
          <w:rFonts w:ascii="Book Antiqua" w:hAnsi="Book Antiqua"/>
          <w:color w:val="000000" w:themeColor="text1"/>
        </w:rPr>
        <w:t>planning legislation, so that</w:t>
      </w:r>
      <w:r w:rsidR="00CA7CE7" w:rsidRPr="00335FD4">
        <w:rPr>
          <w:rFonts w:ascii="Book Antiqua" w:hAnsi="Book Antiqua"/>
          <w:color w:val="000000" w:themeColor="text1"/>
        </w:rPr>
        <w:t xml:space="preserve"> planning bodies are able to readily identify </w:t>
      </w:r>
      <w:r w:rsidR="00DD36F2" w:rsidRPr="00335FD4">
        <w:rPr>
          <w:rFonts w:ascii="Book Antiqua" w:hAnsi="Book Antiqua"/>
          <w:color w:val="000000" w:themeColor="text1"/>
        </w:rPr>
        <w:t>which practices fall</w:t>
      </w:r>
      <w:r w:rsidR="00CA7CE7" w:rsidRPr="00335FD4">
        <w:rPr>
          <w:rFonts w:ascii="Book Antiqua" w:hAnsi="Book Antiqua"/>
          <w:color w:val="000000" w:themeColor="text1"/>
        </w:rPr>
        <w:t xml:space="preserve"> within their control. </w:t>
      </w:r>
      <w:r w:rsidR="00DD36F2" w:rsidRPr="00335FD4">
        <w:rPr>
          <w:rFonts w:ascii="Book Antiqua" w:hAnsi="Book Antiqua"/>
          <w:color w:val="000000" w:themeColor="text1"/>
        </w:rPr>
        <w:t xml:space="preserve">Connected to this question, is a determination of the appropriate parameters that should be set for identifying when such practices will amount to a change in use of a property, and therefore require development approval. As this paper has discussed, issues also arise with how to best protect the interests of third parties affected by the conduct of short-term lodgers. With the risk of personal injury to lodgers, and damage to third party property, it is apparent that a requirement for sufficient liability coverage be imposed upon users of these services. </w:t>
      </w:r>
      <w:r w:rsidR="001E7D36" w:rsidRPr="00335FD4">
        <w:rPr>
          <w:rFonts w:ascii="Book Antiqua" w:hAnsi="Book Antiqua"/>
          <w:color w:val="000000" w:themeColor="text1"/>
        </w:rPr>
        <w:t>Above all,</w:t>
      </w:r>
      <w:r w:rsidR="00DD36F2" w:rsidRPr="00335FD4">
        <w:rPr>
          <w:rFonts w:ascii="Book Antiqua" w:hAnsi="Book Antiqua"/>
          <w:color w:val="000000" w:themeColor="text1"/>
        </w:rPr>
        <w:t xml:space="preserve"> </w:t>
      </w:r>
      <w:r w:rsidR="001E7D36" w:rsidRPr="00335FD4">
        <w:rPr>
          <w:rFonts w:ascii="Book Antiqua" w:hAnsi="Book Antiqua"/>
          <w:color w:val="000000" w:themeColor="text1"/>
        </w:rPr>
        <w:t xml:space="preserve">it must be recognised that while </w:t>
      </w:r>
      <w:r w:rsidR="00DD36F2" w:rsidRPr="00335FD4">
        <w:rPr>
          <w:rFonts w:ascii="Book Antiqua" w:hAnsi="Book Antiqua"/>
          <w:color w:val="000000" w:themeColor="text1"/>
        </w:rPr>
        <w:t xml:space="preserve">the growth of the sharing economy </w:t>
      </w:r>
      <w:r w:rsidR="001E7D36" w:rsidRPr="00335FD4">
        <w:rPr>
          <w:rFonts w:ascii="Book Antiqua" w:hAnsi="Book Antiqua"/>
          <w:color w:val="000000" w:themeColor="text1"/>
        </w:rPr>
        <w:t xml:space="preserve">can bring many benefits, it also poses real challenges that must be overcome if we are to maximise its positive impact. </w:t>
      </w:r>
    </w:p>
    <w:p w14:paraId="6D90CA11" w14:textId="77777777" w:rsidR="000700A8" w:rsidRPr="001252FA" w:rsidRDefault="000700A8" w:rsidP="00EF3119">
      <w:pPr>
        <w:tabs>
          <w:tab w:val="left" w:pos="3441"/>
        </w:tabs>
        <w:rPr>
          <w:rFonts w:ascii="Book Antiqua" w:hAnsi="Book Antiqua"/>
          <w:lang w:val="en-AU"/>
        </w:rPr>
      </w:pPr>
    </w:p>
    <w:sectPr w:rsidR="000700A8" w:rsidRPr="001252FA" w:rsidSect="006D621B">
      <w:footerReference w:type="default" r:id="rId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68BD6" w14:textId="77777777" w:rsidR="00947771" w:rsidRDefault="00947771" w:rsidP="00131E0D">
      <w:r>
        <w:separator/>
      </w:r>
    </w:p>
  </w:endnote>
  <w:endnote w:type="continuationSeparator" w:id="0">
    <w:p w14:paraId="1FBCF6A9" w14:textId="77777777" w:rsidR="00947771" w:rsidRDefault="00947771" w:rsidP="0013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0"/>
        <w:szCs w:val="20"/>
      </w:rPr>
      <w:id w:val="944116507"/>
      <w:docPartObj>
        <w:docPartGallery w:val="Page Numbers (Bottom of Page)"/>
        <w:docPartUnique/>
      </w:docPartObj>
    </w:sdtPr>
    <w:sdtEndPr/>
    <w:sdtContent>
      <w:sdt>
        <w:sdtPr>
          <w:rPr>
            <w:rFonts w:ascii="Book Antiqua" w:hAnsi="Book Antiqua"/>
            <w:sz w:val="20"/>
            <w:szCs w:val="20"/>
          </w:rPr>
          <w:id w:val="98381352"/>
          <w:docPartObj>
            <w:docPartGallery w:val="Page Numbers (Top of Page)"/>
            <w:docPartUnique/>
          </w:docPartObj>
        </w:sdtPr>
        <w:sdtEndPr/>
        <w:sdtContent>
          <w:p w14:paraId="2D2D6A2A" w14:textId="77777777" w:rsidR="006D621B" w:rsidRPr="005C0A5D" w:rsidRDefault="006D621B" w:rsidP="006D621B">
            <w:pPr>
              <w:pStyle w:val="Footer"/>
              <w:jc w:val="center"/>
              <w:rPr>
                <w:rFonts w:ascii="Book Antiqua" w:hAnsi="Book Antiqua"/>
                <w:sz w:val="20"/>
                <w:szCs w:val="20"/>
              </w:rPr>
            </w:pPr>
            <w:r w:rsidRPr="005C0A5D">
              <w:rPr>
                <w:rFonts w:ascii="Book Antiqua" w:hAnsi="Book Antiqua"/>
                <w:sz w:val="20"/>
                <w:szCs w:val="20"/>
              </w:rPr>
              <w:t xml:space="preserve">Page </w:t>
            </w:r>
            <w:r w:rsidR="00E96287" w:rsidRPr="005C0A5D">
              <w:rPr>
                <w:rFonts w:ascii="Book Antiqua" w:hAnsi="Book Antiqua"/>
                <w:sz w:val="20"/>
                <w:szCs w:val="20"/>
              </w:rPr>
              <w:fldChar w:fldCharType="begin"/>
            </w:r>
            <w:r w:rsidRPr="005C0A5D">
              <w:rPr>
                <w:rFonts w:ascii="Book Antiqua" w:hAnsi="Book Antiqua"/>
                <w:sz w:val="20"/>
                <w:szCs w:val="20"/>
              </w:rPr>
              <w:instrText xml:space="preserve"> PAGE </w:instrText>
            </w:r>
            <w:r w:rsidR="00E96287" w:rsidRPr="005C0A5D">
              <w:rPr>
                <w:rFonts w:ascii="Book Antiqua" w:hAnsi="Book Antiqua"/>
                <w:sz w:val="20"/>
                <w:szCs w:val="20"/>
              </w:rPr>
              <w:fldChar w:fldCharType="separate"/>
            </w:r>
            <w:r w:rsidR="00B217CD">
              <w:rPr>
                <w:rFonts w:ascii="Book Antiqua" w:hAnsi="Book Antiqua"/>
                <w:noProof/>
                <w:sz w:val="20"/>
                <w:szCs w:val="20"/>
              </w:rPr>
              <w:t>15</w:t>
            </w:r>
            <w:r w:rsidR="00E96287" w:rsidRPr="005C0A5D">
              <w:rPr>
                <w:rFonts w:ascii="Book Antiqua" w:hAnsi="Book Antiqua"/>
                <w:sz w:val="20"/>
                <w:szCs w:val="20"/>
              </w:rPr>
              <w:fldChar w:fldCharType="end"/>
            </w:r>
            <w:r w:rsidRPr="005C0A5D">
              <w:rPr>
                <w:rFonts w:ascii="Book Antiqua" w:hAnsi="Book Antiqua"/>
                <w:sz w:val="20"/>
                <w:szCs w:val="20"/>
              </w:rPr>
              <w:t xml:space="preserve"> of </w:t>
            </w:r>
            <w:r w:rsidR="00E96287" w:rsidRPr="005C0A5D">
              <w:rPr>
                <w:rFonts w:ascii="Book Antiqua" w:hAnsi="Book Antiqua"/>
                <w:sz w:val="20"/>
                <w:szCs w:val="20"/>
              </w:rPr>
              <w:fldChar w:fldCharType="begin"/>
            </w:r>
            <w:r w:rsidRPr="005C0A5D">
              <w:rPr>
                <w:rFonts w:ascii="Book Antiqua" w:hAnsi="Book Antiqua"/>
                <w:sz w:val="20"/>
                <w:szCs w:val="20"/>
              </w:rPr>
              <w:instrText xml:space="preserve"> NUMPAGES  </w:instrText>
            </w:r>
            <w:r w:rsidR="00E96287" w:rsidRPr="005C0A5D">
              <w:rPr>
                <w:rFonts w:ascii="Book Antiqua" w:hAnsi="Book Antiqua"/>
                <w:sz w:val="20"/>
                <w:szCs w:val="20"/>
              </w:rPr>
              <w:fldChar w:fldCharType="separate"/>
            </w:r>
            <w:r w:rsidR="00B217CD">
              <w:rPr>
                <w:rFonts w:ascii="Book Antiqua" w:hAnsi="Book Antiqua"/>
                <w:noProof/>
                <w:sz w:val="20"/>
                <w:szCs w:val="20"/>
              </w:rPr>
              <w:t>17</w:t>
            </w:r>
            <w:r w:rsidR="00E96287" w:rsidRPr="005C0A5D">
              <w:rPr>
                <w:rFonts w:ascii="Book Antiqua" w:hAnsi="Book Antiqua"/>
                <w:sz w:val="20"/>
                <w:szCs w:val="20"/>
              </w:rPr>
              <w:fldChar w:fldCharType="end"/>
            </w:r>
          </w:p>
        </w:sdtContent>
      </w:sdt>
    </w:sdtContent>
  </w:sdt>
  <w:p w14:paraId="424E9185" w14:textId="77777777" w:rsidR="006D621B" w:rsidRPr="005C0A5D" w:rsidRDefault="006D621B">
    <w:pPr>
      <w:pStyle w:val="Footer"/>
      <w:rPr>
        <w:rFonts w:ascii="Book Antiqua" w:hAnsi="Book Antiqu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D18F" w14:textId="77777777" w:rsidR="00947771" w:rsidRDefault="00947771" w:rsidP="00131E0D">
      <w:r>
        <w:separator/>
      </w:r>
    </w:p>
  </w:footnote>
  <w:footnote w:type="continuationSeparator" w:id="0">
    <w:p w14:paraId="184DD172" w14:textId="77777777" w:rsidR="00947771" w:rsidRDefault="00947771" w:rsidP="00131E0D">
      <w:r>
        <w:continuationSeparator/>
      </w:r>
    </w:p>
  </w:footnote>
  <w:footnote w:id="1">
    <w:p w14:paraId="4402CCB1" w14:textId="77777777" w:rsidR="00C139FD" w:rsidRPr="00FF7754" w:rsidRDefault="00C139FD" w:rsidP="00B47130">
      <w:pPr>
        <w:jc w:val="both"/>
        <w:rPr>
          <w:rFonts w:ascii="Book Antiqua" w:hAnsi="Book Antiqua"/>
          <w:color w:val="000000" w:themeColor="text1"/>
          <w:sz w:val="20"/>
          <w:szCs w:val="20"/>
          <w:lang w:val="en-AU"/>
        </w:rPr>
      </w:pPr>
      <w:r w:rsidRPr="00FF7754">
        <w:rPr>
          <w:rStyle w:val="FootnoteReference"/>
          <w:rFonts w:ascii="Book Antiqua" w:hAnsi="Book Antiqua"/>
          <w:sz w:val="20"/>
          <w:szCs w:val="20"/>
        </w:rPr>
        <w:t>*</w:t>
      </w:r>
      <w:r w:rsidRPr="00FF7754">
        <w:rPr>
          <w:rFonts w:ascii="Book Antiqua" w:hAnsi="Book Antiqua"/>
          <w:sz w:val="20"/>
          <w:szCs w:val="20"/>
        </w:rPr>
        <w:t xml:space="preserve"> </w:t>
      </w:r>
      <w:r w:rsidRPr="00FF7754">
        <w:rPr>
          <w:rFonts w:ascii="Book Antiqua" w:hAnsi="Book Antiqua"/>
          <w:color w:val="000000" w:themeColor="text1"/>
          <w:sz w:val="20"/>
          <w:szCs w:val="20"/>
          <w:lang w:val="en-AU"/>
        </w:rPr>
        <w:t>BA, LLB (Hons I), LLM (Syd). PhD candidate and Tutor at the University of Sydney.</w:t>
      </w:r>
    </w:p>
  </w:footnote>
  <w:footnote w:id="2">
    <w:p w14:paraId="3A737ED6" w14:textId="77777777" w:rsidR="00C139FD" w:rsidRPr="00FF7754" w:rsidRDefault="00C139FD">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 xml:space="preserve">Rachel Bostman, </w:t>
      </w:r>
      <w:r w:rsidRPr="00FF7754">
        <w:rPr>
          <w:rFonts w:ascii="Book Antiqua" w:hAnsi="Book Antiqua"/>
          <w:i/>
          <w:sz w:val="20"/>
          <w:szCs w:val="20"/>
          <w:lang w:val="en-AU"/>
        </w:rPr>
        <w:t>What’s Mine is Yours: The Rise of Collaborative Consumption</w:t>
      </w:r>
      <w:r w:rsidRPr="00FF7754">
        <w:rPr>
          <w:rFonts w:ascii="Book Antiqua" w:hAnsi="Book Antiqua"/>
          <w:sz w:val="20"/>
          <w:szCs w:val="20"/>
          <w:lang w:val="en-AU"/>
        </w:rPr>
        <w:t>, (Harper Business, 2010).</w:t>
      </w:r>
    </w:p>
  </w:footnote>
  <w:footnote w:id="3">
    <w:p w14:paraId="7BD5BE17" w14:textId="77777777" w:rsidR="00C139FD" w:rsidRPr="00FF7754" w:rsidRDefault="00C139FD" w:rsidP="0077577C">
      <w:pPr>
        <w:pStyle w:val="FootnoteText"/>
        <w:rPr>
          <w:rFonts w:ascii="Book Antiqua" w:hAnsi="Book Antiqua"/>
          <w:sz w:val="20"/>
          <w:szCs w:val="20"/>
          <w:u w:val="single"/>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Christopher Koopman, Matthew Mitchell and Adam Thierer, ‘The Sharing Economy and Consumer Protection Regulation: The Case for Policy Change’, 2014, </w:t>
      </w:r>
      <w:r w:rsidRPr="00FF7754">
        <w:rPr>
          <w:rFonts w:ascii="Book Antiqua" w:hAnsi="Book Antiqua"/>
          <w:i/>
          <w:sz w:val="20"/>
          <w:szCs w:val="20"/>
        </w:rPr>
        <w:t xml:space="preserve">George Mason University: Mercatus Center, </w:t>
      </w:r>
      <w:r w:rsidRPr="00FF7754">
        <w:rPr>
          <w:rFonts w:ascii="Book Antiqua" w:hAnsi="Book Antiqua"/>
          <w:sz w:val="20"/>
          <w:szCs w:val="20"/>
        </w:rPr>
        <w:t>4.</w:t>
      </w:r>
      <w:r w:rsidRPr="00FF7754">
        <w:rPr>
          <w:rFonts w:ascii="Book Antiqua" w:hAnsi="Book Antiqua"/>
          <w:sz w:val="20"/>
          <w:szCs w:val="20"/>
          <w:u w:val="single"/>
        </w:rPr>
        <w:t xml:space="preserve"> </w:t>
      </w:r>
    </w:p>
  </w:footnote>
  <w:footnote w:id="4">
    <w:p w14:paraId="51EA7D34" w14:textId="77777777" w:rsidR="00C139FD" w:rsidRPr="00FF7754" w:rsidRDefault="00C139FD">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Deloitte Access Economics, ‘Review of the collaborative economy in NSW’, October 2015, 14. Available: https://www.finance.nsw.gov.au/sites/default/files/Deloitte_Report_Review_Collaborative_Economy.pdf</w:t>
      </w:r>
    </w:p>
  </w:footnote>
  <w:footnote w:id="5">
    <w:p w14:paraId="2BD20FAE" w14:textId="77777777" w:rsidR="00C139FD" w:rsidRPr="00FF7754" w:rsidRDefault="00C139FD" w:rsidP="003F76F4">
      <w:pPr>
        <w:rPr>
          <w:rFonts w:ascii="Book Antiqua" w:eastAsia="Times New Roman" w:hAnsi="Book Antiqua" w:cs="Arial"/>
          <w:color w:val="000000" w:themeColor="text1"/>
          <w:sz w:val="20"/>
          <w:szCs w:val="20"/>
          <w:bdr w:val="none" w:sz="0" w:space="0" w:color="auto" w:frame="1"/>
        </w:rPr>
      </w:pPr>
      <w:r w:rsidRPr="00FF7754">
        <w:rPr>
          <w:rStyle w:val="FootnoteReference"/>
          <w:rFonts w:ascii="Book Antiqua" w:hAnsi="Book Antiqua"/>
          <w:color w:val="000000" w:themeColor="text1"/>
          <w:sz w:val="20"/>
          <w:szCs w:val="20"/>
        </w:rPr>
        <w:footnoteRef/>
      </w:r>
      <w:r w:rsidRPr="00FF7754">
        <w:rPr>
          <w:rFonts w:ascii="Book Antiqua" w:hAnsi="Book Antiqua"/>
          <w:color w:val="000000" w:themeColor="text1"/>
          <w:sz w:val="20"/>
          <w:szCs w:val="20"/>
        </w:rPr>
        <w:t xml:space="preserve"> </w:t>
      </w:r>
      <w:r w:rsidRPr="00FF7754">
        <w:rPr>
          <w:rFonts w:ascii="Book Antiqua" w:eastAsia="Times New Roman" w:hAnsi="Book Antiqua" w:cs="Arial"/>
          <w:bCs/>
          <w:color w:val="000000" w:themeColor="text1"/>
          <w:sz w:val="20"/>
          <w:szCs w:val="20"/>
        </w:rPr>
        <w:t xml:space="preserve">Yolanda Redrup, </w:t>
      </w:r>
      <w:r w:rsidRPr="00FF7754">
        <w:rPr>
          <w:rFonts w:ascii="Book Antiqua" w:eastAsia="Times New Roman" w:hAnsi="Book Antiqua" w:cs="Arial"/>
          <w:color w:val="000000" w:themeColor="text1"/>
          <w:sz w:val="20"/>
          <w:szCs w:val="20"/>
          <w:shd w:val="clear" w:color="auto" w:fill="FFFFFF"/>
        </w:rPr>
        <w:t xml:space="preserve">Australian listings on Airbnb double in 12 months, </w:t>
      </w:r>
      <w:r w:rsidRPr="00FF7754">
        <w:rPr>
          <w:rFonts w:ascii="Book Antiqua" w:eastAsia="Times New Roman" w:hAnsi="Book Antiqua" w:cs="Arial"/>
          <w:i/>
          <w:color w:val="000000" w:themeColor="text1"/>
          <w:sz w:val="20"/>
          <w:szCs w:val="20"/>
          <w:shd w:val="clear" w:color="auto" w:fill="FFFFFF"/>
        </w:rPr>
        <w:t>Australian Financial Review</w:t>
      </w:r>
      <w:r w:rsidRPr="00FF7754">
        <w:rPr>
          <w:rFonts w:ascii="Book Antiqua" w:eastAsia="Times New Roman" w:hAnsi="Book Antiqua" w:cs="Arial"/>
          <w:color w:val="000000" w:themeColor="text1"/>
          <w:sz w:val="20"/>
          <w:szCs w:val="20"/>
          <w:shd w:val="clear" w:color="auto" w:fill="FFFFFF"/>
        </w:rPr>
        <w:t xml:space="preserve">, May 29 2015, Available: </w:t>
      </w:r>
      <w:hyperlink r:id="rId1" w:anchor="ixzz4CGggADp0" w:history="1">
        <w:r w:rsidRPr="00FF7754">
          <w:rPr>
            <w:rStyle w:val="Hyperlink"/>
            <w:rFonts w:ascii="Book Antiqua" w:eastAsia="Times New Roman" w:hAnsi="Book Antiqua" w:cs="Arial"/>
            <w:color w:val="000000" w:themeColor="text1"/>
            <w:sz w:val="20"/>
            <w:szCs w:val="20"/>
            <w:u w:val="none"/>
            <w:bdr w:val="none" w:sz="0" w:space="0" w:color="auto" w:frame="1"/>
          </w:rPr>
          <w:t>http://www.afr.com/real-estate/australian-listings-on-airbnb-double-in-12-months-20150527-ghat2s#ixzz4CGggADp0</w:t>
        </w:r>
      </w:hyperlink>
      <w:r w:rsidRPr="00FF7754">
        <w:rPr>
          <w:rStyle w:val="apple-converted-space"/>
          <w:rFonts w:ascii="Book Antiqua" w:eastAsia="Times New Roman" w:hAnsi="Book Antiqua" w:cs="Arial"/>
          <w:color w:val="000000" w:themeColor="text1"/>
          <w:sz w:val="20"/>
          <w:szCs w:val="20"/>
          <w:bdr w:val="none" w:sz="0" w:space="0" w:color="auto" w:frame="1"/>
        </w:rPr>
        <w:t> </w:t>
      </w:r>
    </w:p>
  </w:footnote>
  <w:footnote w:id="6">
    <w:p w14:paraId="34B04D3E" w14:textId="77777777" w:rsidR="00C139FD" w:rsidRPr="00FF7754" w:rsidRDefault="00C139FD" w:rsidP="00DE65B8">
      <w:pPr>
        <w:pStyle w:val="FootnoteText"/>
        <w:rPr>
          <w:rFonts w:ascii="Book Antiqua" w:hAnsi="Book Antiqua"/>
          <w:sz w:val="20"/>
          <w:szCs w:val="20"/>
          <w:lang w:val="en-AU"/>
        </w:rPr>
      </w:pPr>
      <w:r w:rsidRPr="00FF7754">
        <w:rPr>
          <w:rStyle w:val="FootnoteReference"/>
          <w:rFonts w:ascii="Book Antiqua" w:hAnsi="Book Antiqua"/>
          <w:color w:val="000000" w:themeColor="text1"/>
          <w:sz w:val="20"/>
          <w:szCs w:val="20"/>
        </w:rPr>
        <w:footnoteRef/>
      </w:r>
      <w:r w:rsidRPr="00FF7754">
        <w:rPr>
          <w:rFonts w:ascii="Book Antiqua" w:hAnsi="Book Antiqua"/>
          <w:color w:val="000000" w:themeColor="text1"/>
          <w:sz w:val="20"/>
          <w:szCs w:val="20"/>
        </w:rPr>
        <w:t xml:space="preserve"> </w:t>
      </w:r>
      <w:r w:rsidRPr="00FF7754">
        <w:rPr>
          <w:rFonts w:ascii="Book Antiqua" w:hAnsi="Book Antiqua"/>
          <w:sz w:val="20"/>
          <w:szCs w:val="20"/>
        </w:rPr>
        <w:t xml:space="preserve">Committee on Environment and Planning, Parliament of </w:t>
      </w:r>
      <w:r w:rsidRPr="00FF7754">
        <w:rPr>
          <w:rFonts w:ascii="Book Antiqua" w:hAnsi="Book Antiqua"/>
          <w:color w:val="000000" w:themeColor="text1"/>
          <w:sz w:val="20"/>
          <w:szCs w:val="20"/>
        </w:rPr>
        <w:t xml:space="preserve">New South Wales, </w:t>
      </w:r>
      <w:r w:rsidRPr="00FF7754">
        <w:rPr>
          <w:rFonts w:ascii="Book Antiqua" w:eastAsia="Times New Roman" w:hAnsi="Book Antiqua"/>
          <w:i/>
          <w:color w:val="000000" w:themeColor="text1"/>
          <w:sz w:val="20"/>
          <w:szCs w:val="20"/>
        </w:rPr>
        <w:t>Inquiry into the Adequacy of the Regulation of short-term holiday letting in NSW</w:t>
      </w:r>
      <w:r w:rsidRPr="00FF7754">
        <w:rPr>
          <w:rFonts w:ascii="Book Antiqua" w:eastAsia="Times New Roman" w:hAnsi="Book Antiqua"/>
          <w:color w:val="000000" w:themeColor="text1"/>
          <w:sz w:val="20"/>
          <w:szCs w:val="20"/>
        </w:rPr>
        <w:t>, (2015).</w:t>
      </w:r>
    </w:p>
  </w:footnote>
  <w:footnote w:id="7">
    <w:p w14:paraId="6A9024DA" w14:textId="77777777" w:rsidR="00C139FD" w:rsidRPr="00FF7754" w:rsidRDefault="00C139FD" w:rsidP="00DE65B8">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Committee on Environment and Planning, Parliament of </w:t>
      </w:r>
      <w:r w:rsidRPr="00FF7754">
        <w:rPr>
          <w:rFonts w:ascii="Book Antiqua" w:hAnsi="Book Antiqua"/>
          <w:color w:val="000000" w:themeColor="text1"/>
          <w:sz w:val="20"/>
          <w:szCs w:val="20"/>
        </w:rPr>
        <w:t xml:space="preserve">New South Wales, </w:t>
      </w:r>
      <w:r w:rsidRPr="00FF7754">
        <w:rPr>
          <w:rFonts w:ascii="Book Antiqua" w:eastAsia="Times New Roman" w:hAnsi="Book Antiqua"/>
          <w:i/>
          <w:color w:val="000000" w:themeColor="text1"/>
          <w:sz w:val="20"/>
          <w:szCs w:val="20"/>
        </w:rPr>
        <w:t>Inquiry into the Adequacy of the Regulation of short-term holiday letting in NSW</w:t>
      </w:r>
      <w:r w:rsidRPr="00FF7754">
        <w:rPr>
          <w:rFonts w:ascii="Book Antiqua" w:eastAsia="Times New Roman" w:hAnsi="Book Antiqua"/>
          <w:color w:val="000000" w:themeColor="text1"/>
          <w:sz w:val="20"/>
          <w:szCs w:val="20"/>
        </w:rPr>
        <w:t>, (2015), Terms of Reference.</w:t>
      </w:r>
    </w:p>
  </w:footnote>
  <w:footnote w:id="8">
    <w:p w14:paraId="36E2BD86"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i/>
          <w:color w:val="000000" w:themeColor="text1"/>
          <w:sz w:val="20"/>
          <w:szCs w:val="20"/>
        </w:rPr>
        <w:t>Dobrohotoff v Bennic</w:t>
      </w:r>
      <w:r w:rsidRPr="00FF7754">
        <w:rPr>
          <w:rFonts w:ascii="Book Antiqua" w:eastAsia="Times New Roman" w:hAnsi="Book Antiqua"/>
          <w:color w:val="000000" w:themeColor="text1"/>
          <w:sz w:val="20"/>
          <w:szCs w:val="20"/>
        </w:rPr>
        <w:t xml:space="preserve"> [2013] NSWLEC 61; (2013) 194 LGERA 17. </w:t>
      </w:r>
    </w:p>
  </w:footnote>
  <w:footnote w:id="9">
    <w:p w14:paraId="338DA0F6"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Style w:val="Emphasis"/>
          <w:rFonts w:ascii="Book Antiqua" w:hAnsi="Book Antiqua"/>
          <w:color w:val="000000" w:themeColor="text1"/>
          <w:sz w:val="20"/>
          <w:szCs w:val="20"/>
        </w:rPr>
        <w:t xml:space="preserve">Gosford Planning Scheme Ordinance 1968 </w:t>
      </w:r>
      <w:r w:rsidRPr="00FF7754">
        <w:rPr>
          <w:rStyle w:val="Emphasis"/>
          <w:rFonts w:ascii="Book Antiqua" w:hAnsi="Book Antiqua"/>
          <w:i w:val="0"/>
          <w:color w:val="000000" w:themeColor="text1"/>
          <w:sz w:val="20"/>
          <w:szCs w:val="20"/>
        </w:rPr>
        <w:t>(NSW).</w:t>
      </w:r>
    </w:p>
  </w:footnote>
  <w:footnote w:id="10">
    <w:p w14:paraId="5B64CAB1"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 xml:space="preserve">Masters v Padley </w:t>
      </w:r>
      <w:r w:rsidRPr="00FF7754">
        <w:rPr>
          <w:rFonts w:ascii="Book Antiqua" w:hAnsi="Book Antiqua"/>
          <w:sz w:val="20"/>
          <w:szCs w:val="20"/>
          <w:lang w:val="en-AU"/>
        </w:rPr>
        <w:t>(1984) 53 LGRA 417 at 442 per King CJ.</w:t>
      </w:r>
    </w:p>
  </w:footnote>
  <w:footnote w:id="11">
    <w:p w14:paraId="44C0D386"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i/>
          <w:color w:val="000000" w:themeColor="text1"/>
          <w:sz w:val="20"/>
          <w:szCs w:val="20"/>
        </w:rPr>
        <w:t>Dobrohotoff v Bennic</w:t>
      </w:r>
      <w:r w:rsidRPr="00FF7754">
        <w:rPr>
          <w:rFonts w:ascii="Book Antiqua" w:eastAsia="Times New Roman" w:hAnsi="Book Antiqua"/>
          <w:color w:val="000000" w:themeColor="text1"/>
          <w:sz w:val="20"/>
          <w:szCs w:val="20"/>
        </w:rPr>
        <w:t xml:space="preserve"> [2013] NSWLEC 61 at [49]; (2013) 194 LGERA 17 at 28 per Pepper J.</w:t>
      </w:r>
    </w:p>
  </w:footnote>
  <w:footnote w:id="12">
    <w:p w14:paraId="347F92BF"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i/>
          <w:color w:val="000000" w:themeColor="text1"/>
          <w:sz w:val="20"/>
          <w:szCs w:val="20"/>
        </w:rPr>
        <w:t>Dobrohotoff v Bennic</w:t>
      </w:r>
      <w:r w:rsidRPr="00FF7754">
        <w:rPr>
          <w:rFonts w:ascii="Book Antiqua" w:eastAsia="Times New Roman" w:hAnsi="Book Antiqua"/>
          <w:color w:val="000000" w:themeColor="text1"/>
          <w:sz w:val="20"/>
          <w:szCs w:val="20"/>
        </w:rPr>
        <w:t xml:space="preserve"> [2013] NSWLEC 61 at [45]; (2013) 194 LGERA 17 at 27 per Pepper J.</w:t>
      </w:r>
    </w:p>
  </w:footnote>
  <w:footnote w:id="13">
    <w:p w14:paraId="1D2D85C7"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i/>
          <w:color w:val="000000" w:themeColor="text1"/>
          <w:sz w:val="20"/>
          <w:szCs w:val="20"/>
        </w:rPr>
        <w:t>Dobrohotoff v Bennic</w:t>
      </w:r>
      <w:r w:rsidRPr="00FF7754">
        <w:rPr>
          <w:rFonts w:ascii="Book Antiqua" w:eastAsia="Times New Roman" w:hAnsi="Book Antiqua"/>
          <w:color w:val="000000" w:themeColor="text1"/>
          <w:sz w:val="20"/>
          <w:szCs w:val="20"/>
        </w:rPr>
        <w:t xml:space="preserve"> [2013] NSWLEC 61 at [44]; (2013) 194 LGERA 17 at 27 per Pepper J.</w:t>
      </w:r>
    </w:p>
  </w:footnote>
  <w:footnote w:id="14">
    <w:p w14:paraId="7671D558"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i/>
          <w:color w:val="000000" w:themeColor="text1"/>
          <w:sz w:val="20"/>
          <w:szCs w:val="20"/>
        </w:rPr>
        <w:t>Dobrohotoff v Bennic</w:t>
      </w:r>
      <w:r w:rsidRPr="00FF7754">
        <w:rPr>
          <w:rFonts w:ascii="Book Antiqua" w:eastAsia="Times New Roman" w:hAnsi="Book Antiqua"/>
          <w:color w:val="000000" w:themeColor="text1"/>
          <w:sz w:val="20"/>
          <w:szCs w:val="20"/>
        </w:rPr>
        <w:t xml:space="preserve"> [2013] NSWLEC 61 at [15]; (2013) 194 LGERA 17 at 21 per Pepper J.</w:t>
      </w:r>
    </w:p>
  </w:footnote>
  <w:footnote w:id="15">
    <w:p w14:paraId="081277B3" w14:textId="77777777" w:rsidR="00C139FD" w:rsidRPr="00FF7754" w:rsidRDefault="00C139FD" w:rsidP="00F52420">
      <w:pPr>
        <w:rPr>
          <w:rFonts w:ascii="Book Antiqua" w:eastAsia="Times New Roman" w:hAnsi="Book Antiqua"/>
          <w:sz w:val="20"/>
          <w:szCs w:val="20"/>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sz w:val="20"/>
          <w:szCs w:val="20"/>
        </w:rPr>
        <w:t xml:space="preserve">Gosford Local Environmental Plan 2014 (NSW). </w:t>
      </w:r>
    </w:p>
  </w:footnote>
  <w:footnote w:id="16">
    <w:p w14:paraId="4786C2B4"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eastAsia="Times New Roman" w:hAnsi="Book Antiqua"/>
          <w:sz w:val="20"/>
          <w:szCs w:val="20"/>
        </w:rPr>
        <w:t xml:space="preserve"> Gosford Local Environmental Plan 2014 (NSW), </w:t>
      </w:r>
      <w:r w:rsidRPr="00FF7754">
        <w:rPr>
          <w:rFonts w:ascii="Book Antiqua" w:hAnsi="Book Antiqua"/>
          <w:sz w:val="20"/>
          <w:szCs w:val="20"/>
        </w:rPr>
        <w:t>c</w:t>
      </w:r>
      <w:r w:rsidRPr="00FF7754">
        <w:rPr>
          <w:rFonts w:ascii="Book Antiqua" w:hAnsi="Book Antiqua"/>
          <w:sz w:val="20"/>
          <w:szCs w:val="20"/>
          <w:lang w:val="en-AU"/>
        </w:rPr>
        <w:t>l 7.6(1)</w:t>
      </w:r>
    </w:p>
  </w:footnote>
  <w:footnote w:id="17">
    <w:p w14:paraId="17E84178"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eastAsia="Times New Roman" w:hAnsi="Book Antiqua"/>
          <w:sz w:val="20"/>
          <w:szCs w:val="20"/>
        </w:rPr>
        <w:t xml:space="preserve"> Gosford Development Control Plan 2013 (NSW), </w:t>
      </w:r>
      <w:r w:rsidRPr="00FF7754">
        <w:rPr>
          <w:rFonts w:ascii="Book Antiqua" w:hAnsi="Book Antiqua"/>
          <w:sz w:val="20"/>
          <w:szCs w:val="20"/>
        </w:rPr>
        <w:t xml:space="preserve">cl </w:t>
      </w:r>
      <w:r w:rsidRPr="00FF7754">
        <w:rPr>
          <w:rFonts w:ascii="Book Antiqua" w:hAnsi="Book Antiqua"/>
          <w:sz w:val="20"/>
          <w:szCs w:val="20"/>
          <w:lang w:val="en-AU"/>
        </w:rPr>
        <w:t>3.14.4.</w:t>
      </w:r>
    </w:p>
  </w:footnote>
  <w:footnote w:id="18">
    <w:p w14:paraId="44245669"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sz w:val="20"/>
          <w:szCs w:val="20"/>
        </w:rPr>
        <w:t xml:space="preserve">Gosford Development Control Plan 2013 (NSW), </w:t>
      </w:r>
      <w:r w:rsidRPr="00FF7754">
        <w:rPr>
          <w:rFonts w:ascii="Book Antiqua" w:hAnsi="Book Antiqua"/>
          <w:sz w:val="20"/>
          <w:szCs w:val="20"/>
        </w:rPr>
        <w:t xml:space="preserve">cl </w:t>
      </w:r>
      <w:r w:rsidRPr="00FF7754">
        <w:rPr>
          <w:rFonts w:ascii="Book Antiqua" w:hAnsi="Book Antiqua"/>
          <w:sz w:val="20"/>
          <w:szCs w:val="20"/>
          <w:lang w:val="en-AU"/>
        </w:rPr>
        <w:t xml:space="preserve">3.14.5.2. These provisions are replicated in Sch 2 to the </w:t>
      </w:r>
      <w:r w:rsidRPr="00FF7754">
        <w:rPr>
          <w:rFonts w:ascii="Book Antiqua" w:eastAsia="Times New Roman" w:hAnsi="Book Antiqua"/>
          <w:sz w:val="20"/>
          <w:szCs w:val="20"/>
        </w:rPr>
        <w:t>Gosford Local Environmental Plan 2014 (NSW).</w:t>
      </w:r>
    </w:p>
  </w:footnote>
  <w:footnote w:id="19">
    <w:p w14:paraId="4113CE5D" w14:textId="77777777" w:rsidR="00C139FD" w:rsidRPr="00FF7754" w:rsidRDefault="00C139FD" w:rsidP="00F52420">
      <w:pPr>
        <w:pStyle w:val="FootnoteText"/>
        <w:rPr>
          <w:rFonts w:ascii="Book Antiqua" w:hAnsi="Book Antiqua"/>
          <w:sz w:val="20"/>
          <w:szCs w:val="20"/>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bCs/>
          <w:i/>
          <w:sz w:val="20"/>
          <w:szCs w:val="20"/>
        </w:rPr>
        <w:t>Shoalhaven Local Environmental Plan 2014</w:t>
      </w:r>
      <w:r w:rsidRPr="00FF7754">
        <w:rPr>
          <w:rFonts w:ascii="Book Antiqua" w:hAnsi="Book Antiqua"/>
          <w:bCs/>
          <w:sz w:val="20"/>
          <w:szCs w:val="20"/>
        </w:rPr>
        <w:t xml:space="preserve"> (NSW)</w:t>
      </w:r>
      <w:r w:rsidRPr="00FF7754">
        <w:rPr>
          <w:rFonts w:ascii="Book Antiqua" w:hAnsi="Book Antiqua"/>
          <w:sz w:val="20"/>
          <w:szCs w:val="20"/>
        </w:rPr>
        <w:t xml:space="preserve">, s 7.13; </w:t>
      </w:r>
      <w:r w:rsidRPr="00FF7754">
        <w:rPr>
          <w:rFonts w:ascii="Book Antiqua" w:hAnsi="Book Antiqua"/>
          <w:bCs/>
          <w:i/>
          <w:sz w:val="20"/>
          <w:szCs w:val="20"/>
        </w:rPr>
        <w:t>Byron Local Environmental Plan 1988</w:t>
      </w:r>
      <w:r w:rsidRPr="00FF7754">
        <w:rPr>
          <w:rFonts w:ascii="Book Antiqua" w:hAnsi="Book Antiqua"/>
          <w:bCs/>
          <w:sz w:val="20"/>
          <w:szCs w:val="20"/>
        </w:rPr>
        <w:t xml:space="preserve"> (NSW), Dictionary.</w:t>
      </w:r>
    </w:p>
  </w:footnote>
  <w:footnote w:id="20">
    <w:p w14:paraId="2FE0A5EB" w14:textId="77777777" w:rsidR="00C139FD" w:rsidRPr="00FF7754" w:rsidRDefault="00C139FD" w:rsidP="00F52420">
      <w:pPr>
        <w:rPr>
          <w:rFonts w:ascii="Book Antiqua" w:eastAsia="Times New Roman" w:hAnsi="Book Antiqua"/>
          <w:sz w:val="20"/>
          <w:szCs w:val="20"/>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color w:val="000000"/>
          <w:sz w:val="20"/>
          <w:szCs w:val="20"/>
        </w:rPr>
        <w:t>Savage &amp; Anor v</w:t>
      </w:r>
      <w:r w:rsidRPr="00FF7754">
        <w:rPr>
          <w:rStyle w:val="apple-converted-space"/>
          <w:rFonts w:ascii="Book Antiqua" w:hAnsi="Book Antiqua"/>
          <w:i/>
          <w:color w:val="000000"/>
          <w:sz w:val="20"/>
          <w:szCs w:val="20"/>
        </w:rPr>
        <w:t> </w:t>
      </w:r>
      <w:r w:rsidRPr="00FF7754">
        <w:rPr>
          <w:rFonts w:ascii="Book Antiqua" w:hAnsi="Book Antiqua"/>
          <w:i/>
          <w:color w:val="000000"/>
          <w:sz w:val="20"/>
          <w:szCs w:val="20"/>
        </w:rPr>
        <w:t>Cairns Regional Council</w:t>
      </w:r>
      <w:r w:rsidRPr="00FF7754">
        <w:rPr>
          <w:rFonts w:ascii="Book Antiqua" w:hAnsi="Book Antiqua"/>
          <w:color w:val="000000"/>
          <w:sz w:val="20"/>
          <w:szCs w:val="20"/>
        </w:rPr>
        <w:t xml:space="preserve"> [2016] QCA 103, </w:t>
      </w:r>
      <w:r w:rsidRPr="00FF7754">
        <w:rPr>
          <w:rFonts w:ascii="Book Antiqua" w:eastAsia="Times New Roman" w:hAnsi="Book Antiqua"/>
          <w:sz w:val="20"/>
          <w:szCs w:val="20"/>
        </w:rPr>
        <w:t xml:space="preserve">Fraser and Morrison and Philip McMurdo JJA affirming the decision in </w:t>
      </w:r>
      <w:r w:rsidRPr="00FF7754">
        <w:rPr>
          <w:rFonts w:ascii="Book Antiqua" w:hAnsi="Book Antiqua"/>
          <w:i/>
          <w:color w:val="000000"/>
          <w:sz w:val="20"/>
          <w:szCs w:val="20"/>
        </w:rPr>
        <w:t>Savage &amp; Savage Resorts Pty Ltd as trustee v</w:t>
      </w:r>
      <w:r w:rsidRPr="00FF7754">
        <w:rPr>
          <w:rStyle w:val="apple-converted-space"/>
          <w:rFonts w:ascii="Book Antiqua" w:hAnsi="Book Antiqua"/>
          <w:i/>
          <w:color w:val="000000"/>
          <w:sz w:val="20"/>
          <w:szCs w:val="20"/>
        </w:rPr>
        <w:t> </w:t>
      </w:r>
      <w:r w:rsidRPr="00FF7754">
        <w:rPr>
          <w:rFonts w:ascii="Book Antiqua" w:hAnsi="Book Antiqua"/>
          <w:i/>
          <w:color w:val="000000"/>
          <w:sz w:val="20"/>
          <w:szCs w:val="20"/>
        </w:rPr>
        <w:t>Cairns Regional Council</w:t>
      </w:r>
      <w:r w:rsidRPr="00FF7754">
        <w:rPr>
          <w:rFonts w:ascii="Book Antiqua" w:hAnsi="Book Antiqua"/>
          <w:color w:val="000000"/>
          <w:sz w:val="20"/>
          <w:szCs w:val="20"/>
        </w:rPr>
        <w:t xml:space="preserve"> [2015] QPEC 37, </w:t>
      </w:r>
      <w:r w:rsidRPr="00FF7754">
        <w:rPr>
          <w:rFonts w:ascii="Book Antiqua" w:eastAsia="Times New Roman" w:hAnsi="Book Antiqua"/>
          <w:sz w:val="20"/>
          <w:szCs w:val="20"/>
        </w:rPr>
        <w:t>Morzone QC DCJ.</w:t>
      </w:r>
    </w:p>
  </w:footnote>
  <w:footnote w:id="21">
    <w:p w14:paraId="584A03EF"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color w:val="000000"/>
          <w:sz w:val="20"/>
          <w:szCs w:val="20"/>
        </w:rPr>
        <w:t>Savage &amp; Anor v</w:t>
      </w:r>
      <w:r w:rsidRPr="00FF7754">
        <w:rPr>
          <w:rStyle w:val="apple-converted-space"/>
          <w:rFonts w:ascii="Book Antiqua" w:hAnsi="Book Antiqua"/>
          <w:i/>
          <w:color w:val="000000"/>
          <w:sz w:val="20"/>
          <w:szCs w:val="20"/>
        </w:rPr>
        <w:t> </w:t>
      </w:r>
      <w:r w:rsidRPr="00FF7754">
        <w:rPr>
          <w:rFonts w:ascii="Book Antiqua" w:hAnsi="Book Antiqua"/>
          <w:i/>
          <w:color w:val="000000"/>
          <w:sz w:val="20"/>
          <w:szCs w:val="20"/>
        </w:rPr>
        <w:t>Cairns Regional Council</w:t>
      </w:r>
      <w:r w:rsidRPr="00FF7754">
        <w:rPr>
          <w:rFonts w:ascii="Book Antiqua" w:hAnsi="Book Antiqua"/>
          <w:color w:val="000000"/>
          <w:sz w:val="20"/>
          <w:szCs w:val="20"/>
        </w:rPr>
        <w:t xml:space="preserve"> [2016] QCA 103, </w:t>
      </w:r>
      <w:r w:rsidRPr="00FF7754">
        <w:rPr>
          <w:rFonts w:ascii="Book Antiqua" w:eastAsia="Times New Roman" w:hAnsi="Book Antiqua"/>
          <w:sz w:val="20"/>
          <w:szCs w:val="20"/>
        </w:rPr>
        <w:t>Fraser and Morrison and Philip McMurdo.</w:t>
      </w:r>
    </w:p>
  </w:footnote>
  <w:footnote w:id="22">
    <w:p w14:paraId="2A85C051"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color w:val="000000"/>
          <w:sz w:val="20"/>
          <w:szCs w:val="20"/>
        </w:rPr>
        <w:t>Savage &amp; Anor v</w:t>
      </w:r>
      <w:r w:rsidRPr="00FF7754">
        <w:rPr>
          <w:rStyle w:val="apple-converted-space"/>
          <w:rFonts w:ascii="Book Antiqua" w:hAnsi="Book Antiqua"/>
          <w:i/>
          <w:color w:val="000000"/>
          <w:sz w:val="20"/>
          <w:szCs w:val="20"/>
        </w:rPr>
        <w:t> </w:t>
      </w:r>
      <w:r w:rsidRPr="00FF7754">
        <w:rPr>
          <w:rFonts w:ascii="Book Antiqua" w:hAnsi="Book Antiqua"/>
          <w:i/>
          <w:color w:val="000000"/>
          <w:sz w:val="20"/>
          <w:szCs w:val="20"/>
        </w:rPr>
        <w:t>Cairns Regional Council</w:t>
      </w:r>
      <w:r w:rsidRPr="00FF7754">
        <w:rPr>
          <w:rFonts w:ascii="Book Antiqua" w:hAnsi="Book Antiqua"/>
          <w:color w:val="000000"/>
          <w:sz w:val="20"/>
          <w:szCs w:val="20"/>
        </w:rPr>
        <w:t xml:space="preserve"> [2016] QCA 103 at [34]; (2016) 214 LGERA 192 at 200 per Morrison JA.</w:t>
      </w:r>
    </w:p>
  </w:footnote>
  <w:footnote w:id="23">
    <w:p w14:paraId="682FAAC1"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color w:val="000000"/>
          <w:sz w:val="20"/>
          <w:szCs w:val="20"/>
        </w:rPr>
        <w:t>Savage &amp; Anor v</w:t>
      </w:r>
      <w:r w:rsidRPr="00FF7754">
        <w:rPr>
          <w:rStyle w:val="apple-converted-space"/>
          <w:rFonts w:ascii="Book Antiqua" w:hAnsi="Book Antiqua"/>
          <w:i/>
          <w:color w:val="000000"/>
          <w:sz w:val="20"/>
          <w:szCs w:val="20"/>
        </w:rPr>
        <w:t> </w:t>
      </w:r>
      <w:r w:rsidRPr="00FF7754">
        <w:rPr>
          <w:rFonts w:ascii="Book Antiqua" w:hAnsi="Book Antiqua"/>
          <w:i/>
          <w:color w:val="000000"/>
          <w:sz w:val="20"/>
          <w:szCs w:val="20"/>
        </w:rPr>
        <w:t>Cairns Regional Council</w:t>
      </w:r>
      <w:r w:rsidRPr="00FF7754">
        <w:rPr>
          <w:rFonts w:ascii="Book Antiqua" w:hAnsi="Book Antiqua"/>
          <w:color w:val="000000"/>
          <w:sz w:val="20"/>
          <w:szCs w:val="20"/>
        </w:rPr>
        <w:t xml:space="preserve"> [2016] QCA 103 at [36]; (2016) 214 LGERA 192 at 200 per Morrison JA.</w:t>
      </w:r>
    </w:p>
  </w:footnote>
  <w:footnote w:id="24">
    <w:p w14:paraId="07B6AB52"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color w:val="000000"/>
          <w:sz w:val="20"/>
          <w:szCs w:val="20"/>
        </w:rPr>
        <w:t>Savage &amp; Anor v</w:t>
      </w:r>
      <w:r w:rsidRPr="00FF7754">
        <w:rPr>
          <w:rStyle w:val="apple-converted-space"/>
          <w:rFonts w:ascii="Book Antiqua" w:hAnsi="Book Antiqua"/>
          <w:i/>
          <w:color w:val="000000"/>
          <w:sz w:val="20"/>
          <w:szCs w:val="20"/>
        </w:rPr>
        <w:t> </w:t>
      </w:r>
      <w:r w:rsidRPr="00FF7754">
        <w:rPr>
          <w:rFonts w:ascii="Book Antiqua" w:hAnsi="Book Antiqua"/>
          <w:i/>
          <w:color w:val="000000"/>
          <w:sz w:val="20"/>
          <w:szCs w:val="20"/>
        </w:rPr>
        <w:t>Cairns Regional Council</w:t>
      </w:r>
      <w:r w:rsidRPr="00FF7754">
        <w:rPr>
          <w:rFonts w:ascii="Book Antiqua" w:hAnsi="Book Antiqua"/>
          <w:color w:val="000000"/>
          <w:sz w:val="20"/>
          <w:szCs w:val="20"/>
        </w:rPr>
        <w:t xml:space="preserve"> [2016] QCA 103 at [91]; (2016) 214 LGERA 192 at 209 per Philip McMurdo JA.</w:t>
      </w:r>
    </w:p>
  </w:footnote>
  <w:footnote w:id="25">
    <w:p w14:paraId="05D73046"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color w:val="000000" w:themeColor="text1"/>
          <w:sz w:val="20"/>
          <w:szCs w:val="20"/>
        </w:rPr>
        <w:t xml:space="preserve">Marana Holdings Pty Ltd v Commission of Taxation </w:t>
      </w:r>
      <w:r w:rsidRPr="00FF7754">
        <w:rPr>
          <w:rFonts w:ascii="Book Antiqua" w:hAnsi="Book Antiqua"/>
          <w:color w:val="000000" w:themeColor="text1"/>
          <w:sz w:val="20"/>
          <w:szCs w:val="20"/>
        </w:rPr>
        <w:t xml:space="preserve">(2004) 141 FCR 299 at [57] per Dowsett, Hely and Conti JJ. </w:t>
      </w:r>
    </w:p>
  </w:footnote>
  <w:footnote w:id="26">
    <w:p w14:paraId="2B63ABD9"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color w:val="000000"/>
          <w:sz w:val="20"/>
          <w:szCs w:val="20"/>
        </w:rPr>
        <w:t>Savage &amp; Anor v</w:t>
      </w:r>
      <w:r w:rsidRPr="00FF7754">
        <w:rPr>
          <w:rStyle w:val="apple-converted-space"/>
          <w:rFonts w:ascii="Book Antiqua" w:hAnsi="Book Antiqua"/>
          <w:i/>
          <w:color w:val="000000"/>
          <w:sz w:val="20"/>
          <w:szCs w:val="20"/>
        </w:rPr>
        <w:t> </w:t>
      </w:r>
      <w:r w:rsidRPr="00FF7754">
        <w:rPr>
          <w:rFonts w:ascii="Book Antiqua" w:hAnsi="Book Antiqua"/>
          <w:i/>
          <w:color w:val="000000"/>
          <w:sz w:val="20"/>
          <w:szCs w:val="20"/>
        </w:rPr>
        <w:t>Cairns Regional Council</w:t>
      </w:r>
      <w:r w:rsidRPr="00FF7754">
        <w:rPr>
          <w:rFonts w:ascii="Book Antiqua" w:hAnsi="Book Antiqua"/>
          <w:color w:val="000000"/>
          <w:sz w:val="20"/>
          <w:szCs w:val="20"/>
        </w:rPr>
        <w:t xml:space="preserve"> [2016] QCA 103 at [94]; (2016) 214 LGERA 192 at 210 per Philip McMurdo JA.</w:t>
      </w:r>
    </w:p>
  </w:footnote>
  <w:footnote w:id="27">
    <w:p w14:paraId="29C46313"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The Code of the Metropolitan Government of Nashville and Davidson County, Tennessee</w:t>
      </w:r>
      <w:r w:rsidRPr="00FF7754">
        <w:rPr>
          <w:rFonts w:ascii="Book Antiqua" w:hAnsi="Book Antiqua"/>
          <w:sz w:val="20"/>
          <w:szCs w:val="20"/>
          <w:lang w:val="en-AU"/>
        </w:rPr>
        <w:t xml:space="preserve"> (TN), Ch 6.28 as amended by Ordinance No. BL 2014-951.  </w:t>
      </w:r>
    </w:p>
  </w:footnote>
  <w:footnote w:id="28">
    <w:p w14:paraId="6E198F10"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The Code of the Metropolitan Government of Nashville and Davidson County, Tennessee</w:t>
      </w:r>
      <w:r w:rsidRPr="00FF7754">
        <w:rPr>
          <w:rFonts w:ascii="Book Antiqua" w:hAnsi="Book Antiqua"/>
          <w:sz w:val="20"/>
          <w:szCs w:val="20"/>
          <w:lang w:val="en-AU"/>
        </w:rPr>
        <w:t xml:space="preserve"> (TN), Ch 6.28 as amended by Ordinance No. BL 2014-951, s 6.28.030(D)(2). </w:t>
      </w:r>
    </w:p>
  </w:footnote>
  <w:footnote w:id="29">
    <w:p w14:paraId="65925DBC"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rPr>
        <w:t xml:space="preserve">San Jose Municipal Code </w:t>
      </w:r>
      <w:r w:rsidRPr="00FF7754">
        <w:rPr>
          <w:rFonts w:ascii="Book Antiqua" w:hAnsi="Book Antiqua"/>
          <w:sz w:val="20"/>
          <w:szCs w:val="20"/>
        </w:rPr>
        <w:t xml:space="preserve">(CA), Title 20, Ch 20.80, Pt 2.5 ‘Transient Occupancy as an Incidental Use to a Residence’. </w:t>
      </w:r>
    </w:p>
  </w:footnote>
  <w:footnote w:id="30">
    <w:p w14:paraId="3B22D821"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cs="Arial"/>
          <w:bCs/>
          <w:color w:val="000000" w:themeColor="text1"/>
          <w:sz w:val="20"/>
          <w:szCs w:val="20"/>
          <w:lang w:eastAsia="en-AU"/>
        </w:rPr>
        <w:t>Owners Corporations Amendment (Short-stay Accommodation) Bill 2016 (Vic), s 4.</w:t>
      </w:r>
    </w:p>
  </w:footnote>
  <w:footnote w:id="31">
    <w:p w14:paraId="42CA33DE"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iCs/>
          <w:color w:val="000000" w:themeColor="text1"/>
          <w:sz w:val="20"/>
          <w:szCs w:val="20"/>
        </w:rPr>
        <w:t>Sustainable Planning Act 2009</w:t>
      </w:r>
      <w:r w:rsidRPr="00FF7754">
        <w:rPr>
          <w:rFonts w:ascii="Book Antiqua" w:hAnsi="Book Antiqua"/>
          <w:color w:val="000000" w:themeColor="text1"/>
          <w:sz w:val="20"/>
          <w:szCs w:val="20"/>
        </w:rPr>
        <w:t> (Qld), s 755A(a).</w:t>
      </w:r>
    </w:p>
  </w:footnote>
  <w:footnote w:id="32">
    <w:p w14:paraId="6234A93B"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iCs/>
          <w:color w:val="000000" w:themeColor="text1"/>
          <w:sz w:val="20"/>
          <w:szCs w:val="20"/>
        </w:rPr>
        <w:t>Sustainable Planning Act 2009</w:t>
      </w:r>
      <w:r w:rsidRPr="00FF7754">
        <w:rPr>
          <w:rFonts w:ascii="Book Antiqua" w:hAnsi="Book Antiqua"/>
          <w:color w:val="000000" w:themeColor="text1"/>
          <w:sz w:val="20"/>
          <w:szCs w:val="20"/>
        </w:rPr>
        <w:t> (Qld), s 755A(b)-(d).</w:t>
      </w:r>
    </w:p>
  </w:footnote>
  <w:footnote w:id="33">
    <w:p w14:paraId="194D379E" w14:textId="77777777" w:rsidR="00C139FD" w:rsidRPr="00FF7754" w:rsidRDefault="00C139FD" w:rsidP="00F52420">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 xml:space="preserve">Queensland Department of Infrastructure, Local Government and Planning, ‘Regulating Party Houses, Amendments to the </w:t>
      </w:r>
      <w:r w:rsidRPr="00FF7754">
        <w:rPr>
          <w:rFonts w:ascii="Book Antiqua" w:hAnsi="Book Antiqua"/>
          <w:i/>
          <w:sz w:val="20"/>
          <w:szCs w:val="20"/>
          <w:lang w:val="en-AU"/>
        </w:rPr>
        <w:t>Sustainable Planning Act 2009</w:t>
      </w:r>
      <w:r w:rsidRPr="00FF7754">
        <w:rPr>
          <w:rFonts w:ascii="Book Antiqua" w:hAnsi="Book Antiqua"/>
          <w:sz w:val="20"/>
          <w:szCs w:val="20"/>
          <w:lang w:val="en-AU"/>
        </w:rPr>
        <w:t>’, July 2015. Available: http://www.dilgp.qld.gov.au/resources/factsheet/planning/regulating-party-houses-fact-sheet.pdf</w:t>
      </w:r>
    </w:p>
  </w:footnote>
  <w:footnote w:id="34">
    <w:p w14:paraId="425B738D"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rPr>
        <w:t xml:space="preserve">Deregulation Act 2015 </w:t>
      </w:r>
      <w:r w:rsidRPr="00FF7754">
        <w:rPr>
          <w:rFonts w:ascii="Book Antiqua" w:hAnsi="Book Antiqua"/>
          <w:sz w:val="20"/>
          <w:szCs w:val="20"/>
        </w:rPr>
        <w:t>(UK)</w:t>
      </w:r>
    </w:p>
  </w:footnote>
  <w:footnote w:id="35">
    <w:p w14:paraId="496CC92E"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rPr>
        <w:t xml:space="preserve">Greater London Council (General Powers) Act 1973 </w:t>
      </w:r>
      <w:r w:rsidRPr="00FF7754">
        <w:rPr>
          <w:rFonts w:ascii="Book Antiqua" w:hAnsi="Book Antiqua"/>
          <w:sz w:val="20"/>
          <w:szCs w:val="20"/>
        </w:rPr>
        <w:t xml:space="preserve">(UK), s 25. </w:t>
      </w:r>
    </w:p>
  </w:footnote>
  <w:footnote w:id="36">
    <w:p w14:paraId="6D6EC532"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rPr>
        <w:t xml:space="preserve">Deregulation Act 2015 </w:t>
      </w:r>
      <w:r w:rsidRPr="00FF7754">
        <w:rPr>
          <w:rFonts w:ascii="Book Antiqua" w:hAnsi="Book Antiqua"/>
          <w:sz w:val="20"/>
          <w:szCs w:val="20"/>
        </w:rPr>
        <w:t xml:space="preserve">(UK), ss 44 and 45. </w:t>
      </w:r>
    </w:p>
  </w:footnote>
  <w:footnote w:id="37">
    <w:p w14:paraId="4D90070C"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rPr>
        <w:t>Loi Nº 2014-366 du 24 Mars 2014</w:t>
      </w:r>
      <w:r w:rsidRPr="00FF7754">
        <w:rPr>
          <w:rFonts w:ascii="Book Antiqua" w:hAnsi="Book Antiqua"/>
          <w:sz w:val="20"/>
          <w:szCs w:val="20"/>
        </w:rPr>
        <w:t xml:space="preserve"> [Law No 2014-366 of 24 March 2014] (France) JO, 24 March 2014, 5809. </w:t>
      </w:r>
    </w:p>
  </w:footnote>
  <w:footnote w:id="38">
    <w:p w14:paraId="296B492D"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rPr>
        <w:t xml:space="preserve">Loi Nº 1989-462 du 6 Juillet 1989 </w:t>
      </w:r>
      <w:r w:rsidRPr="00FF7754">
        <w:rPr>
          <w:rFonts w:ascii="Book Antiqua" w:hAnsi="Book Antiqua"/>
          <w:sz w:val="20"/>
          <w:szCs w:val="20"/>
        </w:rPr>
        <w:t>[Law No 1989-462 of 6 July 1989] (France) JO, 6 July 1989, 8541.</w:t>
      </w:r>
    </w:p>
  </w:footnote>
  <w:footnote w:id="39">
    <w:p w14:paraId="13E319D1" w14:textId="77777777" w:rsidR="00C139FD" w:rsidRPr="00FF7754" w:rsidRDefault="00C139FD" w:rsidP="002323FA">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 xml:space="preserve">City of Sydney, Submission No 158 to New South Wales Government, </w:t>
      </w:r>
      <w:r w:rsidRPr="00FF7754">
        <w:rPr>
          <w:rFonts w:ascii="Book Antiqua" w:hAnsi="Book Antiqua"/>
          <w:i/>
          <w:sz w:val="20"/>
          <w:szCs w:val="20"/>
          <w:lang w:val="en-AU"/>
        </w:rPr>
        <w:t xml:space="preserve">Inquiry into adequacy of the regulation of short-term holiday letting in NSW, </w:t>
      </w:r>
      <w:r w:rsidRPr="00FF7754">
        <w:rPr>
          <w:rFonts w:ascii="Book Antiqua" w:hAnsi="Book Antiqua"/>
          <w:sz w:val="20"/>
          <w:szCs w:val="20"/>
          <w:lang w:val="en-AU"/>
        </w:rPr>
        <w:t xml:space="preserve">9 November 2015. </w:t>
      </w:r>
    </w:p>
  </w:footnote>
  <w:footnote w:id="40">
    <w:p w14:paraId="0A6231EF" w14:textId="77777777" w:rsidR="00C139FD" w:rsidRPr="00FF7754" w:rsidRDefault="00C139FD" w:rsidP="00DD0CA8">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 xml:space="preserve">City of Sydney, Submission No 158 to New South Wales Government, </w:t>
      </w:r>
      <w:r w:rsidRPr="00FF7754">
        <w:rPr>
          <w:rFonts w:ascii="Book Antiqua" w:hAnsi="Book Antiqua"/>
          <w:i/>
          <w:sz w:val="20"/>
          <w:szCs w:val="20"/>
          <w:lang w:val="en-AU"/>
        </w:rPr>
        <w:t xml:space="preserve">Inquiry into adequacy of the regulation of short-term holiday letting in NSW, </w:t>
      </w:r>
      <w:r w:rsidRPr="00FF7754">
        <w:rPr>
          <w:rFonts w:ascii="Book Antiqua" w:hAnsi="Book Antiqua"/>
          <w:sz w:val="20"/>
          <w:szCs w:val="20"/>
          <w:lang w:val="en-AU"/>
        </w:rPr>
        <w:t>9 November 2015, 4.</w:t>
      </w:r>
    </w:p>
  </w:footnote>
  <w:footnote w:id="41">
    <w:p w14:paraId="74224A7B"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rPr>
        <w:t xml:space="preserve">Genco &amp; Anor v Salter &amp; Anor </w:t>
      </w:r>
      <w:r w:rsidRPr="00FF7754">
        <w:rPr>
          <w:rFonts w:ascii="Book Antiqua" w:hAnsi="Book Antiqua"/>
          <w:sz w:val="20"/>
          <w:szCs w:val="20"/>
        </w:rPr>
        <w:t>[2013] VSCA 365, Nettle and Osborn JJA.</w:t>
      </w:r>
    </w:p>
  </w:footnote>
  <w:footnote w:id="42">
    <w:p w14:paraId="62903469" w14:textId="77777777" w:rsidR="00C139FD" w:rsidRPr="00FF7754" w:rsidRDefault="00C139FD" w:rsidP="005A1D8F">
      <w:pPr>
        <w:pStyle w:val="FootnoteText"/>
        <w:rPr>
          <w:rFonts w:ascii="Book Antiqua" w:hAnsi="Book Antiqua"/>
          <w:bCs/>
          <w:sz w:val="20"/>
          <w:szCs w:val="20"/>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bCs/>
          <w:i/>
          <w:sz w:val="20"/>
          <w:szCs w:val="20"/>
        </w:rPr>
        <w:t>Salter v Building Appeals Board &amp;</w:t>
      </w:r>
      <w:r w:rsidRPr="00FF7754">
        <w:rPr>
          <w:rFonts w:ascii="Book Antiqua" w:hAnsi="Book Antiqua"/>
          <w:bCs/>
          <w:sz w:val="20"/>
          <w:szCs w:val="20"/>
        </w:rPr>
        <w:t xml:space="preserve"> Ors [2013] VSC 279, Beach J. </w:t>
      </w:r>
    </w:p>
  </w:footnote>
  <w:footnote w:id="43">
    <w:p w14:paraId="5137975B" w14:textId="77777777" w:rsidR="00C139FD" w:rsidRPr="00FF7754" w:rsidRDefault="00C139FD" w:rsidP="005A1D8F">
      <w:pPr>
        <w:pStyle w:val="FootnoteText"/>
        <w:rPr>
          <w:rFonts w:ascii="Book Antiqua" w:hAnsi="Book Antiqua"/>
          <w:sz w:val="20"/>
          <w:szCs w:val="20"/>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rPr>
        <w:t>C</w:t>
      </w:r>
      <w:r w:rsidRPr="00FF7754">
        <w:rPr>
          <w:rFonts w:ascii="Book Antiqua" w:hAnsi="Book Antiqua"/>
          <w:i/>
          <w:iCs/>
          <w:sz w:val="20"/>
          <w:szCs w:val="20"/>
        </w:rPr>
        <w:t xml:space="preserve">ity of Melbourne v Salter and Ors, </w:t>
      </w:r>
      <w:r w:rsidRPr="00FF7754">
        <w:rPr>
          <w:rFonts w:ascii="Book Antiqua" w:hAnsi="Book Antiqua"/>
          <w:iCs/>
          <w:sz w:val="20"/>
          <w:szCs w:val="20"/>
        </w:rPr>
        <w:t>reference 443839</w:t>
      </w:r>
      <w:r w:rsidRPr="00FF7754">
        <w:rPr>
          <w:rFonts w:ascii="Book Antiqua" w:hAnsi="Book Antiqua"/>
          <w:i/>
          <w:iCs/>
          <w:sz w:val="20"/>
          <w:szCs w:val="20"/>
        </w:rPr>
        <w:t xml:space="preserve"> </w:t>
      </w:r>
      <w:r w:rsidRPr="00FF7754">
        <w:rPr>
          <w:rFonts w:ascii="Book Antiqua" w:hAnsi="Book Antiqua"/>
          <w:iCs/>
          <w:sz w:val="20"/>
          <w:szCs w:val="20"/>
        </w:rPr>
        <w:t>(22 March 2013).</w:t>
      </w:r>
    </w:p>
  </w:footnote>
  <w:footnote w:id="44">
    <w:p w14:paraId="5CB65786"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 xml:space="preserve">The </w:t>
      </w:r>
      <w:r w:rsidRPr="00FF7754">
        <w:rPr>
          <w:rFonts w:ascii="Book Antiqua" w:hAnsi="Book Antiqua"/>
          <w:i/>
          <w:sz w:val="20"/>
          <w:szCs w:val="20"/>
          <w:lang w:val="en-AU"/>
        </w:rPr>
        <w:t xml:space="preserve">Building Code of Australia </w:t>
      </w:r>
      <w:r w:rsidRPr="00FF7754">
        <w:rPr>
          <w:rFonts w:ascii="Book Antiqua" w:hAnsi="Book Antiqua"/>
          <w:sz w:val="20"/>
          <w:szCs w:val="20"/>
          <w:lang w:val="en-AU"/>
        </w:rPr>
        <w:t xml:space="preserve">is given legal effect in Victoria by the </w:t>
      </w:r>
      <w:r w:rsidRPr="00FF7754">
        <w:rPr>
          <w:rFonts w:ascii="Book Antiqua" w:hAnsi="Book Antiqua"/>
          <w:i/>
          <w:sz w:val="20"/>
          <w:szCs w:val="20"/>
          <w:lang w:val="en-AU"/>
        </w:rPr>
        <w:t xml:space="preserve">Building Act 1993 </w:t>
      </w:r>
      <w:r w:rsidRPr="00FF7754">
        <w:rPr>
          <w:rFonts w:ascii="Book Antiqua" w:hAnsi="Book Antiqua"/>
          <w:sz w:val="20"/>
          <w:szCs w:val="20"/>
          <w:lang w:val="en-AU"/>
        </w:rPr>
        <w:t xml:space="preserve">(Vic).  </w:t>
      </w:r>
    </w:p>
  </w:footnote>
  <w:footnote w:id="45">
    <w:p w14:paraId="5A4884DF"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bCs/>
          <w:i/>
          <w:sz w:val="20"/>
          <w:szCs w:val="20"/>
        </w:rPr>
        <w:t>Salter v Building Appeals Board &amp;</w:t>
      </w:r>
      <w:r w:rsidRPr="00FF7754">
        <w:rPr>
          <w:rFonts w:ascii="Book Antiqua" w:hAnsi="Book Antiqua"/>
          <w:bCs/>
          <w:sz w:val="20"/>
          <w:szCs w:val="20"/>
        </w:rPr>
        <w:t xml:space="preserve"> Ors [2013] VSC 279 at [47] per Beach J.</w:t>
      </w:r>
    </w:p>
  </w:footnote>
  <w:footnote w:id="46">
    <w:p w14:paraId="2B1E4D02"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bCs/>
          <w:i/>
          <w:sz w:val="20"/>
          <w:szCs w:val="20"/>
        </w:rPr>
        <w:t>Salter v Building Appeals Board &amp;</w:t>
      </w:r>
      <w:r w:rsidRPr="00FF7754">
        <w:rPr>
          <w:rFonts w:ascii="Book Antiqua" w:hAnsi="Book Antiqua"/>
          <w:bCs/>
          <w:sz w:val="20"/>
          <w:szCs w:val="20"/>
        </w:rPr>
        <w:t xml:space="preserve"> Ors [2013] VSC 279 at [49] per Beach J.</w:t>
      </w:r>
    </w:p>
  </w:footnote>
  <w:footnote w:id="47">
    <w:p w14:paraId="447D1214"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rPr>
        <w:t xml:space="preserve">Genco &amp; Anor v Salter &amp; Anor </w:t>
      </w:r>
      <w:r w:rsidRPr="00FF7754">
        <w:rPr>
          <w:rFonts w:ascii="Book Antiqua" w:hAnsi="Book Antiqua"/>
          <w:sz w:val="20"/>
          <w:szCs w:val="20"/>
        </w:rPr>
        <w:t>[2013] VSCA 365 at [102] – [103] per Nettle and Osborn JJA.</w:t>
      </w:r>
    </w:p>
  </w:footnote>
  <w:footnote w:id="48">
    <w:p w14:paraId="0D2B66A1" w14:textId="77777777" w:rsidR="00C139FD" w:rsidRPr="00FF7754" w:rsidRDefault="00C139FD" w:rsidP="005A1D8F">
      <w:pPr>
        <w:pStyle w:val="FootnoteText"/>
        <w:rPr>
          <w:rFonts w:ascii="Book Antiqua" w:hAnsi="Book Antiqua"/>
          <w:color w:val="000000" w:themeColor="text1"/>
          <w:sz w:val="20"/>
          <w:szCs w:val="20"/>
          <w:lang w:val="en-AU"/>
        </w:rPr>
      </w:pPr>
      <w:r w:rsidRPr="00FF7754">
        <w:rPr>
          <w:rStyle w:val="FootnoteReference"/>
          <w:rFonts w:ascii="Book Antiqua" w:hAnsi="Book Antiqua"/>
          <w:color w:val="000000" w:themeColor="text1"/>
          <w:sz w:val="20"/>
          <w:szCs w:val="20"/>
        </w:rPr>
        <w:footnoteRef/>
      </w:r>
      <w:r w:rsidRPr="00FF7754">
        <w:rPr>
          <w:rFonts w:ascii="Book Antiqua" w:hAnsi="Book Antiqua"/>
          <w:color w:val="000000" w:themeColor="text1"/>
          <w:sz w:val="20"/>
          <w:szCs w:val="20"/>
        </w:rPr>
        <w:t xml:space="preserve"> </w:t>
      </w:r>
      <w:r w:rsidRPr="00FF7754">
        <w:rPr>
          <w:rFonts w:ascii="Book Antiqua" w:hAnsi="Book Antiqua" w:cs="Arial"/>
          <w:i/>
          <w:iCs/>
          <w:color w:val="000000" w:themeColor="text1"/>
          <w:sz w:val="20"/>
          <w:szCs w:val="20"/>
        </w:rPr>
        <w:t>Owners Corporation PS501391P v Balcombe (Owners Corporations)</w:t>
      </w:r>
      <w:r w:rsidRPr="00FF7754">
        <w:rPr>
          <w:rFonts w:ascii="Book Antiqua" w:hAnsi="Book Antiqua" w:cs="Arial"/>
          <w:color w:val="000000" w:themeColor="text1"/>
          <w:sz w:val="20"/>
          <w:szCs w:val="20"/>
        </w:rPr>
        <w:t xml:space="preserve"> [2015] VCAT 956, Member Rowland. </w:t>
      </w:r>
    </w:p>
  </w:footnote>
  <w:footnote w:id="49">
    <w:p w14:paraId="550CEE67"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The Additional Rules were made </w:t>
      </w:r>
      <w:r w:rsidRPr="00FF7754">
        <w:rPr>
          <w:rFonts w:ascii="Book Antiqua" w:hAnsi="Book Antiqua"/>
          <w:i/>
          <w:sz w:val="20"/>
          <w:szCs w:val="20"/>
        </w:rPr>
        <w:t>Subdivision Act 1988</w:t>
      </w:r>
      <w:r w:rsidRPr="00FF7754">
        <w:rPr>
          <w:rFonts w:ascii="Book Antiqua" w:hAnsi="Book Antiqua"/>
          <w:sz w:val="20"/>
          <w:szCs w:val="20"/>
        </w:rPr>
        <w:t xml:space="preserve"> (Vic) and Regulation 220 of the </w:t>
      </w:r>
      <w:r w:rsidRPr="00FF7754">
        <w:rPr>
          <w:rFonts w:ascii="Book Antiqua" w:hAnsi="Book Antiqua"/>
          <w:i/>
          <w:iCs/>
          <w:sz w:val="20"/>
          <w:szCs w:val="20"/>
        </w:rPr>
        <w:t xml:space="preserve">Subdivision (Body Corporate) Regulations 1989 </w:t>
      </w:r>
      <w:r w:rsidRPr="00FF7754">
        <w:rPr>
          <w:rFonts w:ascii="Book Antiqua" w:hAnsi="Book Antiqua"/>
          <w:iCs/>
          <w:sz w:val="20"/>
          <w:szCs w:val="20"/>
        </w:rPr>
        <w:t>(Vic)</w:t>
      </w:r>
      <w:r w:rsidRPr="00FF7754">
        <w:rPr>
          <w:rFonts w:ascii="Book Antiqua" w:hAnsi="Book Antiqua"/>
          <w:sz w:val="20"/>
          <w:szCs w:val="20"/>
        </w:rPr>
        <w:t>. </w:t>
      </w:r>
    </w:p>
  </w:footnote>
  <w:footnote w:id="50">
    <w:p w14:paraId="6C22BCEF"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cs="Arial"/>
          <w:i/>
          <w:iCs/>
          <w:color w:val="000000" w:themeColor="text1"/>
          <w:sz w:val="20"/>
          <w:szCs w:val="20"/>
        </w:rPr>
        <w:t>Owners Corporation PS501391P v Balcombe (Owners Corporations)</w:t>
      </w:r>
      <w:r w:rsidRPr="00FF7754">
        <w:rPr>
          <w:rFonts w:ascii="Book Antiqua" w:hAnsi="Book Antiqua" w:cs="Arial"/>
          <w:color w:val="000000" w:themeColor="text1"/>
          <w:sz w:val="20"/>
          <w:szCs w:val="20"/>
        </w:rPr>
        <w:t> [2015] VCAT 956 at [46], per Member Rowland.</w:t>
      </w:r>
    </w:p>
  </w:footnote>
  <w:footnote w:id="51">
    <w:p w14:paraId="0BB6FCA9" w14:textId="77777777" w:rsidR="00C139FD" w:rsidRPr="00FF7754" w:rsidRDefault="00C139FD" w:rsidP="005A1D8F">
      <w:pPr>
        <w:rPr>
          <w:rFonts w:ascii="Book Antiqua" w:eastAsia="Times New Roman" w:hAnsi="Book Antiqua"/>
          <w:sz w:val="20"/>
          <w:szCs w:val="20"/>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cs="Arial"/>
          <w:i/>
          <w:iCs/>
          <w:color w:val="000000" w:themeColor="text1"/>
          <w:sz w:val="20"/>
          <w:szCs w:val="20"/>
        </w:rPr>
        <w:t>Owners Corporation PS501391P v Balcombe (Owners Corporations)</w:t>
      </w:r>
      <w:r w:rsidRPr="00FF7754">
        <w:rPr>
          <w:rFonts w:ascii="Book Antiqua" w:hAnsi="Book Antiqua" w:cs="Arial"/>
          <w:color w:val="000000" w:themeColor="text1"/>
          <w:sz w:val="20"/>
          <w:szCs w:val="20"/>
        </w:rPr>
        <w:t xml:space="preserve"> [2015] VCAT 956 at [48], per Member Rowland cf </w:t>
      </w:r>
      <w:r w:rsidRPr="00FF7754">
        <w:rPr>
          <w:rFonts w:ascii="Book Antiqua" w:hAnsi="Book Antiqua" w:cs="Arial"/>
          <w:i/>
          <w:iCs/>
          <w:color w:val="000000" w:themeColor="text1"/>
          <w:sz w:val="20"/>
          <w:szCs w:val="20"/>
        </w:rPr>
        <w:t xml:space="preserve">Swan Hill Corporation v Bradbury </w:t>
      </w:r>
      <w:r w:rsidRPr="00FF7754">
        <w:rPr>
          <w:rFonts w:ascii="Book Antiqua" w:hAnsi="Book Antiqua" w:cs="Arial"/>
          <w:iCs/>
          <w:color w:val="000000" w:themeColor="text1"/>
          <w:sz w:val="20"/>
          <w:szCs w:val="20"/>
        </w:rPr>
        <w:t>(1937) 56 CLR 746 at</w:t>
      </w:r>
      <w:r w:rsidRPr="00FF7754">
        <w:rPr>
          <w:rFonts w:ascii="Book Antiqua" w:eastAsia="Times New Roman" w:hAnsi="Book Antiqua" w:cs="Arial"/>
          <w:color w:val="000000" w:themeColor="text1"/>
          <w:sz w:val="20"/>
          <w:szCs w:val="20"/>
          <w:shd w:val="clear" w:color="auto" w:fill="FFFFFF"/>
        </w:rPr>
        <w:t xml:space="preserve"> 762 per Dixon J.</w:t>
      </w:r>
      <w:r w:rsidRPr="00FF7754">
        <w:rPr>
          <w:rFonts w:ascii="Book Antiqua" w:eastAsia="Times New Roman" w:hAnsi="Book Antiqua" w:cs="Arial"/>
          <w:color w:val="545454"/>
          <w:sz w:val="20"/>
          <w:szCs w:val="20"/>
          <w:shd w:val="clear" w:color="auto" w:fill="FFFFFF"/>
        </w:rPr>
        <w:t xml:space="preserve"> </w:t>
      </w:r>
    </w:p>
  </w:footnote>
  <w:footnote w:id="52">
    <w:p w14:paraId="06079F2A" w14:textId="77777777" w:rsidR="00C139FD" w:rsidRPr="00FF7754" w:rsidRDefault="00C139FD" w:rsidP="005A1D8F">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cs="Arial"/>
          <w:i/>
          <w:iCs/>
          <w:color w:val="000000" w:themeColor="text1"/>
          <w:sz w:val="20"/>
          <w:szCs w:val="20"/>
        </w:rPr>
        <w:t>Owners Corporation PS501391P v Balcombe (Owners Corporations)</w:t>
      </w:r>
      <w:r w:rsidRPr="00FF7754">
        <w:rPr>
          <w:rFonts w:ascii="Book Antiqua" w:hAnsi="Book Antiqua" w:cs="Arial"/>
          <w:color w:val="000000" w:themeColor="text1"/>
          <w:sz w:val="20"/>
          <w:szCs w:val="20"/>
        </w:rPr>
        <w:t> [2015] VCAT 956 at [58], per Member Rowland.</w:t>
      </w:r>
    </w:p>
  </w:footnote>
  <w:footnote w:id="53">
    <w:p w14:paraId="6D71B179" w14:textId="77777777" w:rsidR="00C139FD" w:rsidRPr="00FF7754" w:rsidRDefault="00C139FD" w:rsidP="003F76F4">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 xml:space="preserve">Victoria, </w:t>
      </w:r>
      <w:r w:rsidRPr="00FF7754">
        <w:rPr>
          <w:rFonts w:ascii="Book Antiqua" w:hAnsi="Book Antiqua"/>
          <w:i/>
          <w:sz w:val="20"/>
          <w:szCs w:val="20"/>
          <w:lang w:val="en-AU"/>
        </w:rPr>
        <w:t>Parliamentary Debates</w:t>
      </w:r>
      <w:r w:rsidRPr="00FF7754">
        <w:rPr>
          <w:rFonts w:ascii="Book Antiqua" w:hAnsi="Book Antiqua"/>
          <w:sz w:val="20"/>
          <w:szCs w:val="20"/>
          <w:lang w:val="en-AU"/>
        </w:rPr>
        <w:t xml:space="preserve">, Legislative Assembly, 25 May 2016, 2015-16 (Jane Garrett, Minister for Consumer Affairs). </w:t>
      </w:r>
    </w:p>
  </w:footnote>
  <w:footnote w:id="54">
    <w:p w14:paraId="3DB25708" w14:textId="77777777" w:rsidR="00C139FD" w:rsidRPr="00FF7754" w:rsidRDefault="00C139FD">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cs="Arial"/>
          <w:bCs/>
          <w:color w:val="000000" w:themeColor="text1"/>
          <w:sz w:val="20"/>
          <w:szCs w:val="20"/>
          <w:lang w:eastAsia="en-AU"/>
        </w:rPr>
        <w:t>Owners Corporations Amendment (Short-stay Accommodation) Bill 2016 (Vic), s 169E(3).</w:t>
      </w:r>
    </w:p>
  </w:footnote>
  <w:footnote w:id="55">
    <w:p w14:paraId="7DC1B348" w14:textId="77777777" w:rsidR="00C139FD" w:rsidRPr="00FF7754" w:rsidRDefault="00C139FD">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cs="Arial"/>
          <w:bCs/>
          <w:color w:val="000000" w:themeColor="text1"/>
          <w:sz w:val="20"/>
          <w:szCs w:val="20"/>
          <w:lang w:eastAsia="en-AU"/>
        </w:rPr>
        <w:t>Owners Corporations Amendment (Short-stay Accommodation) Bill 2016 (Vic), s 169H.</w:t>
      </w:r>
    </w:p>
  </w:footnote>
  <w:footnote w:id="56">
    <w:p w14:paraId="0B07C825" w14:textId="77777777" w:rsidR="00C139FD" w:rsidRPr="00FF7754" w:rsidRDefault="00C139FD">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cs="Arial"/>
          <w:bCs/>
          <w:color w:val="000000" w:themeColor="text1"/>
          <w:sz w:val="20"/>
          <w:szCs w:val="20"/>
          <w:lang w:eastAsia="en-AU"/>
        </w:rPr>
        <w:t xml:space="preserve">Owners Corporations Amendment (Short-stay Accommodation) Bill 2016 (Vic), s 169D. </w:t>
      </w:r>
    </w:p>
  </w:footnote>
  <w:footnote w:id="57">
    <w:p w14:paraId="4495F800" w14:textId="77777777" w:rsidR="00C139FD" w:rsidRPr="00FF7754" w:rsidRDefault="00C139FD" w:rsidP="003D0438">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 xml:space="preserve">Panther v Pischedda </w:t>
      </w:r>
      <w:r w:rsidRPr="00FF7754">
        <w:rPr>
          <w:rFonts w:ascii="Book Antiqua" w:hAnsi="Book Antiqua"/>
          <w:sz w:val="20"/>
          <w:szCs w:val="20"/>
          <w:lang w:val="en-AU"/>
        </w:rPr>
        <w:t xml:space="preserve">[2013] NSWCA 236, per Macfarlan, Barrett and Gleeson JJA. </w:t>
      </w:r>
    </w:p>
  </w:footnote>
  <w:footnote w:id="58">
    <w:p w14:paraId="4857F98E" w14:textId="77777777" w:rsidR="00C139FD" w:rsidRPr="00FF7754" w:rsidRDefault="00C139FD" w:rsidP="003D0438">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 xml:space="preserve">Pischedda v Panther </w:t>
      </w:r>
      <w:r w:rsidRPr="00FF7754">
        <w:rPr>
          <w:rFonts w:ascii="Book Antiqua" w:hAnsi="Book Antiqua"/>
          <w:sz w:val="20"/>
          <w:szCs w:val="20"/>
          <w:lang w:val="en-AU"/>
        </w:rPr>
        <w:t xml:space="preserve">(Unreported, NSW, District Court, Curtis DCJ, 8 October 2012, 2010/254003). </w:t>
      </w:r>
    </w:p>
  </w:footnote>
  <w:footnote w:id="59">
    <w:p w14:paraId="720DA974" w14:textId="77777777" w:rsidR="00C139FD" w:rsidRPr="00FF7754" w:rsidRDefault="00C139FD" w:rsidP="003D0438">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 xml:space="preserve">Panther v Pischedda </w:t>
      </w:r>
      <w:r w:rsidRPr="00FF7754">
        <w:rPr>
          <w:rFonts w:ascii="Book Antiqua" w:hAnsi="Book Antiqua"/>
          <w:sz w:val="20"/>
          <w:szCs w:val="20"/>
          <w:lang w:val="en-AU"/>
        </w:rPr>
        <w:t>[2013] NSWCA 236 at [23] – [27] per Macfarlan JA with Barrett and Gleeson JJA agreeing.</w:t>
      </w:r>
    </w:p>
  </w:footnote>
  <w:footnote w:id="60">
    <w:p w14:paraId="112AC46D" w14:textId="77777777" w:rsidR="00C139FD" w:rsidRPr="00FF7754" w:rsidRDefault="00C139FD" w:rsidP="00DF5861">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 xml:space="preserve">Insurance Australia Group, Submission No 171 to New South Wales Government, </w:t>
      </w:r>
      <w:r w:rsidRPr="00FF7754">
        <w:rPr>
          <w:rFonts w:ascii="Book Antiqua" w:hAnsi="Book Antiqua"/>
          <w:i/>
          <w:sz w:val="20"/>
          <w:szCs w:val="20"/>
          <w:lang w:val="en-AU"/>
        </w:rPr>
        <w:t xml:space="preserve">Inquiry into adequacy of the regulation of short-term holiday letting in NSW, </w:t>
      </w:r>
      <w:r w:rsidRPr="00FF7754">
        <w:rPr>
          <w:rFonts w:ascii="Book Antiqua" w:hAnsi="Book Antiqua"/>
          <w:sz w:val="20"/>
          <w:szCs w:val="20"/>
          <w:lang w:val="en-AU"/>
        </w:rPr>
        <w:t>9 November 2015.</w:t>
      </w:r>
    </w:p>
  </w:footnote>
  <w:footnote w:id="61">
    <w:p w14:paraId="30BE31B0" w14:textId="77777777" w:rsidR="00C139FD" w:rsidRPr="00FF7754" w:rsidRDefault="00C139FD">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 xml:space="preserve">Insurance Australia Group, Submission No 171 to New South Wales Government, </w:t>
      </w:r>
      <w:r w:rsidRPr="00FF7754">
        <w:rPr>
          <w:rFonts w:ascii="Book Antiqua" w:hAnsi="Book Antiqua"/>
          <w:i/>
          <w:sz w:val="20"/>
          <w:szCs w:val="20"/>
          <w:lang w:val="en-AU"/>
        </w:rPr>
        <w:t xml:space="preserve">Inquiry into adequacy of the regulation of short-term holiday letting in NSW, </w:t>
      </w:r>
      <w:r w:rsidRPr="00FF7754">
        <w:rPr>
          <w:rFonts w:ascii="Book Antiqua" w:hAnsi="Book Antiqua"/>
          <w:sz w:val="20"/>
          <w:szCs w:val="20"/>
          <w:lang w:val="en-AU"/>
        </w:rPr>
        <w:t>9 November 2015, 3.</w:t>
      </w:r>
    </w:p>
  </w:footnote>
  <w:footnote w:id="62">
    <w:p w14:paraId="0B84E73C" w14:textId="77777777" w:rsidR="00C139FD" w:rsidRPr="00FF7754" w:rsidRDefault="00C139FD">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 xml:space="preserve">Insurance Australia Group, Submission No 171 to New South Wales Government, </w:t>
      </w:r>
      <w:r w:rsidRPr="00FF7754">
        <w:rPr>
          <w:rFonts w:ascii="Book Antiqua" w:hAnsi="Book Antiqua"/>
          <w:i/>
          <w:sz w:val="20"/>
          <w:szCs w:val="20"/>
          <w:lang w:val="en-AU"/>
        </w:rPr>
        <w:t xml:space="preserve">Inquiry into adequacy of the regulation of short-term holiday letting in NSW, </w:t>
      </w:r>
      <w:r w:rsidRPr="00FF7754">
        <w:rPr>
          <w:rFonts w:ascii="Book Antiqua" w:hAnsi="Book Antiqua"/>
          <w:sz w:val="20"/>
          <w:szCs w:val="20"/>
          <w:lang w:val="en-AU"/>
        </w:rPr>
        <w:t>9 November 2015, 4.</w:t>
      </w:r>
    </w:p>
  </w:footnote>
  <w:footnote w:id="63">
    <w:p w14:paraId="04A7A86A" w14:textId="77777777" w:rsidR="00C139FD" w:rsidRPr="00FF7754" w:rsidRDefault="00C139FD" w:rsidP="00DC100E">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Airbnb, ‘</w:t>
      </w:r>
      <w:r w:rsidRPr="00FF7754">
        <w:rPr>
          <w:rFonts w:ascii="Book Antiqua" w:hAnsi="Book Antiqua"/>
          <w:i/>
          <w:sz w:val="20"/>
          <w:szCs w:val="20"/>
          <w:lang w:val="en-AU"/>
        </w:rPr>
        <w:t>Terms of Service – cl 27. Indemnification</w:t>
      </w:r>
      <w:r w:rsidRPr="00FF7754">
        <w:rPr>
          <w:rFonts w:ascii="Book Antiqua" w:hAnsi="Book Antiqua"/>
          <w:sz w:val="20"/>
          <w:szCs w:val="20"/>
          <w:lang w:val="en-AU"/>
        </w:rPr>
        <w:t>’, (2016) Available: https://www.airbnb.com.au/terms</w:t>
      </w:r>
    </w:p>
  </w:footnote>
  <w:footnote w:id="64">
    <w:p w14:paraId="2EF4A627" w14:textId="77777777" w:rsidR="00C139FD" w:rsidRPr="00FF7754" w:rsidRDefault="00C139FD" w:rsidP="00AB55D2">
      <w:pPr>
        <w:pStyle w:val="FootnoteText"/>
        <w:rPr>
          <w:rFonts w:ascii="Book Antiqua" w:hAnsi="Book Antiqua"/>
          <w:color w:val="000000" w:themeColor="text1"/>
          <w:sz w:val="20"/>
          <w:szCs w:val="20"/>
          <w:lang w:val="en-AU"/>
        </w:rPr>
      </w:pPr>
      <w:r w:rsidRPr="00FF7754">
        <w:rPr>
          <w:rStyle w:val="FootnoteReference"/>
          <w:rFonts w:ascii="Book Antiqua" w:hAnsi="Book Antiqua"/>
          <w:color w:val="000000" w:themeColor="text1"/>
          <w:sz w:val="20"/>
          <w:szCs w:val="20"/>
        </w:rPr>
        <w:footnoteRef/>
      </w:r>
      <w:r w:rsidRPr="00FF7754">
        <w:rPr>
          <w:rFonts w:ascii="Book Antiqua" w:hAnsi="Book Antiqua"/>
          <w:color w:val="000000" w:themeColor="text1"/>
          <w:sz w:val="20"/>
          <w:szCs w:val="20"/>
        </w:rPr>
        <w:t xml:space="preserve"> </w:t>
      </w:r>
      <w:r w:rsidRPr="00FF7754">
        <w:rPr>
          <w:rFonts w:ascii="Book Antiqua" w:hAnsi="Book Antiqua"/>
          <w:color w:val="000000" w:themeColor="text1"/>
          <w:sz w:val="20"/>
          <w:szCs w:val="20"/>
          <w:lang w:val="en-AU"/>
        </w:rPr>
        <w:t xml:space="preserve">Similar provisions can be found in the </w:t>
      </w:r>
      <w:r w:rsidRPr="00FF7754">
        <w:rPr>
          <w:rFonts w:ascii="Book Antiqua" w:hAnsi="Book Antiqua"/>
          <w:i/>
          <w:color w:val="000000" w:themeColor="text1"/>
          <w:sz w:val="20"/>
          <w:szCs w:val="20"/>
          <w:lang w:val="en-AU"/>
        </w:rPr>
        <w:t xml:space="preserve">Residential Tenancies Act 2010 </w:t>
      </w:r>
      <w:r w:rsidRPr="00FF7754">
        <w:rPr>
          <w:rFonts w:ascii="Book Antiqua" w:hAnsi="Book Antiqua"/>
          <w:color w:val="000000" w:themeColor="text1"/>
          <w:sz w:val="20"/>
          <w:szCs w:val="20"/>
          <w:lang w:val="en-AU"/>
        </w:rPr>
        <w:t xml:space="preserve">(NSW), s 74; </w:t>
      </w:r>
      <w:r w:rsidRPr="00FF7754">
        <w:rPr>
          <w:rFonts w:ascii="Book Antiqua" w:hAnsi="Book Antiqua"/>
          <w:i/>
          <w:color w:val="000000" w:themeColor="text1"/>
          <w:sz w:val="20"/>
          <w:szCs w:val="20"/>
          <w:lang w:val="en-AU"/>
        </w:rPr>
        <w:t xml:space="preserve">Residential </w:t>
      </w:r>
      <w:r w:rsidRPr="00FF7754">
        <w:rPr>
          <w:rFonts w:ascii="Book Antiqua" w:hAnsi="Book Antiqua"/>
          <w:i/>
          <w:color w:val="000000" w:themeColor="text1"/>
          <w:sz w:val="20"/>
          <w:szCs w:val="20"/>
          <w:lang w:val="en-AU"/>
        </w:rPr>
        <w:br/>
        <w:t xml:space="preserve">Tenancies and Rooming Accommodation Act 2008 </w:t>
      </w:r>
      <w:r w:rsidRPr="00FF7754">
        <w:rPr>
          <w:rFonts w:ascii="Book Antiqua" w:hAnsi="Book Antiqua"/>
          <w:color w:val="000000" w:themeColor="text1"/>
          <w:sz w:val="20"/>
          <w:szCs w:val="20"/>
          <w:lang w:val="en-AU"/>
        </w:rPr>
        <w:t xml:space="preserve">(Qld), s 238; </w:t>
      </w:r>
      <w:r w:rsidRPr="00FF7754">
        <w:rPr>
          <w:rFonts w:ascii="Book Antiqua" w:hAnsi="Book Antiqua"/>
          <w:i/>
          <w:color w:val="000000" w:themeColor="text1"/>
          <w:sz w:val="20"/>
          <w:szCs w:val="20"/>
          <w:lang w:val="en-AU"/>
        </w:rPr>
        <w:t xml:space="preserve">Residential Tenancy Act 1997 </w:t>
      </w:r>
      <w:r w:rsidRPr="00FF7754">
        <w:rPr>
          <w:rFonts w:ascii="Book Antiqua" w:hAnsi="Book Antiqua"/>
          <w:color w:val="000000" w:themeColor="text1"/>
          <w:sz w:val="20"/>
          <w:szCs w:val="20"/>
          <w:lang w:val="en-AU"/>
        </w:rPr>
        <w:t xml:space="preserve">(Tas), ss 49-50; </w:t>
      </w:r>
      <w:r w:rsidRPr="00FF7754">
        <w:rPr>
          <w:rFonts w:ascii="Book Antiqua" w:hAnsi="Book Antiqua"/>
          <w:i/>
          <w:color w:val="000000" w:themeColor="text1"/>
          <w:sz w:val="20"/>
          <w:szCs w:val="20"/>
          <w:lang w:val="en-AU"/>
        </w:rPr>
        <w:t xml:space="preserve">Residential Tenancies Act 1995 </w:t>
      </w:r>
      <w:r w:rsidRPr="00FF7754">
        <w:rPr>
          <w:rFonts w:ascii="Book Antiqua" w:hAnsi="Book Antiqua"/>
          <w:color w:val="000000" w:themeColor="text1"/>
          <w:sz w:val="20"/>
          <w:szCs w:val="20"/>
          <w:lang w:val="en-AU"/>
        </w:rPr>
        <w:t xml:space="preserve">(SA), s 74; </w:t>
      </w:r>
      <w:r w:rsidRPr="00FF7754">
        <w:rPr>
          <w:rFonts w:ascii="Book Antiqua" w:hAnsi="Book Antiqua"/>
          <w:i/>
          <w:color w:val="000000" w:themeColor="text1"/>
          <w:sz w:val="20"/>
          <w:szCs w:val="20"/>
          <w:lang w:val="en-AU"/>
        </w:rPr>
        <w:t xml:space="preserve">Residential Tenancies Act 1987 </w:t>
      </w:r>
      <w:r w:rsidRPr="00FF7754">
        <w:rPr>
          <w:rFonts w:ascii="Book Antiqua" w:hAnsi="Book Antiqua"/>
          <w:color w:val="000000" w:themeColor="text1"/>
          <w:sz w:val="20"/>
          <w:szCs w:val="20"/>
          <w:lang w:val="en-AU"/>
        </w:rPr>
        <w:t>(WA), s 49.</w:t>
      </w:r>
    </w:p>
  </w:footnote>
  <w:footnote w:id="65">
    <w:p w14:paraId="7A96F01E" w14:textId="77777777" w:rsidR="00C139FD" w:rsidRPr="00FF7754" w:rsidRDefault="00C139FD" w:rsidP="00AB55D2">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 xml:space="preserve">Swan v Uecker (Residential Tenancies) </w:t>
      </w:r>
      <w:r w:rsidRPr="00FF7754">
        <w:rPr>
          <w:rFonts w:ascii="Book Antiqua" w:hAnsi="Book Antiqua"/>
          <w:sz w:val="20"/>
          <w:szCs w:val="20"/>
          <w:lang w:val="en-AU"/>
        </w:rPr>
        <w:t xml:space="preserve">[2016] VCAT 483, Member Campana. </w:t>
      </w:r>
    </w:p>
  </w:footnote>
  <w:footnote w:id="66">
    <w:p w14:paraId="0B86B9D2" w14:textId="77777777" w:rsidR="00C139FD" w:rsidRPr="00FF7754" w:rsidRDefault="00C139FD" w:rsidP="00AB55D2">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 xml:space="preserve">Swan v Uecker (Residential Tenancies) </w:t>
      </w:r>
      <w:r w:rsidRPr="00FF7754">
        <w:rPr>
          <w:rFonts w:ascii="Book Antiqua" w:hAnsi="Book Antiqua"/>
          <w:sz w:val="20"/>
          <w:szCs w:val="20"/>
          <w:lang w:val="en-AU"/>
        </w:rPr>
        <w:t>[2016] VCAT 483 at [45] per Member Campana.</w:t>
      </w:r>
    </w:p>
  </w:footnote>
  <w:footnote w:id="67">
    <w:p w14:paraId="4A9357C6" w14:textId="77777777" w:rsidR="00C139FD" w:rsidRPr="00FF7754" w:rsidRDefault="00C139FD" w:rsidP="00AB55D2">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 xml:space="preserve">Swan v Uecker </w:t>
      </w:r>
      <w:r w:rsidRPr="00FF7754">
        <w:rPr>
          <w:rFonts w:ascii="Book Antiqua" w:hAnsi="Book Antiqua"/>
          <w:sz w:val="20"/>
          <w:szCs w:val="20"/>
          <w:lang w:val="en-AU"/>
        </w:rPr>
        <w:t xml:space="preserve">[2016] VSC 313. </w:t>
      </w:r>
    </w:p>
  </w:footnote>
  <w:footnote w:id="68">
    <w:p w14:paraId="119B2066" w14:textId="77777777" w:rsidR="00C139FD" w:rsidRPr="00FF7754" w:rsidRDefault="00C139FD" w:rsidP="00AB55D2">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 xml:space="preserve">Swan v Uecker </w:t>
      </w:r>
      <w:r w:rsidRPr="00FF7754">
        <w:rPr>
          <w:rFonts w:ascii="Book Antiqua" w:hAnsi="Book Antiqua"/>
          <w:sz w:val="20"/>
          <w:szCs w:val="20"/>
          <w:lang w:val="en-AU"/>
        </w:rPr>
        <w:t>[2016] VSC 313 at [40] per Croft J cf Airbnb, ‘</w:t>
      </w:r>
      <w:r w:rsidRPr="00FF7754">
        <w:rPr>
          <w:rFonts w:ascii="Book Antiqua" w:hAnsi="Book Antiqua"/>
          <w:i/>
          <w:sz w:val="20"/>
          <w:szCs w:val="20"/>
          <w:lang w:val="en-AU"/>
        </w:rPr>
        <w:t>Terms of Service – cl 13. Overstaying without the Host’s Consent</w:t>
      </w:r>
      <w:r w:rsidRPr="00FF7754">
        <w:rPr>
          <w:rFonts w:ascii="Book Antiqua" w:hAnsi="Book Antiqua"/>
          <w:sz w:val="20"/>
          <w:szCs w:val="20"/>
          <w:lang w:val="en-AU"/>
        </w:rPr>
        <w:t>’, (2016) Available: https://www.airbnb.com.au/terms</w:t>
      </w:r>
    </w:p>
  </w:footnote>
  <w:footnote w:id="69">
    <w:p w14:paraId="073697E3" w14:textId="77777777" w:rsidR="00C139FD" w:rsidRPr="00FF7754" w:rsidRDefault="00C139FD" w:rsidP="00AB55D2">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 xml:space="preserve">Swan v Uecker </w:t>
      </w:r>
      <w:r w:rsidRPr="00FF7754">
        <w:rPr>
          <w:rFonts w:ascii="Book Antiqua" w:hAnsi="Book Antiqua"/>
          <w:sz w:val="20"/>
          <w:szCs w:val="20"/>
          <w:lang w:val="en-AU"/>
        </w:rPr>
        <w:t>[2016] VSC 313 at [75] per Croft J.</w:t>
      </w:r>
    </w:p>
  </w:footnote>
  <w:footnote w:id="70">
    <w:p w14:paraId="546DA718" w14:textId="77777777" w:rsidR="00C139FD" w:rsidRPr="00FF7754" w:rsidRDefault="00C139FD" w:rsidP="00AB55D2">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 xml:space="preserve">Swan v Uecker </w:t>
      </w:r>
      <w:r w:rsidRPr="00FF7754">
        <w:rPr>
          <w:rFonts w:ascii="Book Antiqua" w:hAnsi="Book Antiqua"/>
          <w:sz w:val="20"/>
          <w:szCs w:val="20"/>
          <w:lang w:val="en-AU"/>
        </w:rPr>
        <w:t>[2016] VSC 313 at [80] per Croft J.</w:t>
      </w:r>
    </w:p>
  </w:footnote>
  <w:footnote w:id="71">
    <w:p w14:paraId="0DB03670" w14:textId="77777777" w:rsidR="00C139FD" w:rsidRPr="00FF7754" w:rsidRDefault="00C139FD">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Airbnb, ‘</w:t>
      </w:r>
      <w:r w:rsidRPr="00FF7754">
        <w:rPr>
          <w:rFonts w:ascii="Book Antiqua" w:hAnsi="Book Antiqua"/>
          <w:i/>
          <w:sz w:val="20"/>
          <w:szCs w:val="20"/>
          <w:lang w:val="en-AU"/>
        </w:rPr>
        <w:t>Terms of Service – cl 7. Accommodation Listings</w:t>
      </w:r>
      <w:r w:rsidRPr="00FF7754">
        <w:rPr>
          <w:rFonts w:ascii="Book Antiqua" w:hAnsi="Book Antiqua"/>
          <w:sz w:val="20"/>
          <w:szCs w:val="20"/>
          <w:lang w:val="en-AU"/>
        </w:rPr>
        <w:t>’, (2016) Available: https://www.airbnb.com.au/terms</w:t>
      </w:r>
    </w:p>
  </w:footnote>
  <w:footnote w:id="72">
    <w:p w14:paraId="3C251DAF" w14:textId="77777777" w:rsidR="00C139FD" w:rsidRPr="00FF7754" w:rsidRDefault="00C139FD">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 xml:space="preserve">City of Sydney, Submission No 158 to New South Wales Government, </w:t>
      </w:r>
      <w:r w:rsidRPr="00FF7754">
        <w:rPr>
          <w:rFonts w:ascii="Book Antiqua" w:hAnsi="Book Antiqua"/>
          <w:i/>
          <w:sz w:val="20"/>
          <w:szCs w:val="20"/>
          <w:lang w:val="en-AU"/>
        </w:rPr>
        <w:t xml:space="preserve">Inquiry into adequacy of the regulation of short-term holiday letting in NSW, </w:t>
      </w:r>
      <w:r w:rsidRPr="00FF7754">
        <w:rPr>
          <w:rFonts w:ascii="Book Antiqua" w:hAnsi="Book Antiqua"/>
          <w:sz w:val="20"/>
          <w:szCs w:val="20"/>
          <w:lang w:val="en-AU"/>
        </w:rPr>
        <w:t>9 November 2015, 5.</w:t>
      </w:r>
    </w:p>
  </w:footnote>
  <w:footnote w:id="73">
    <w:p w14:paraId="76F0A8D9" w14:textId="77777777" w:rsidR="00C139FD" w:rsidRPr="00FF7754" w:rsidRDefault="00C139FD" w:rsidP="00AB55D2">
      <w:pPr>
        <w:pStyle w:val="NormalWeb"/>
        <w:shd w:val="clear" w:color="auto" w:fill="FFFFFF"/>
        <w:spacing w:before="0" w:beforeAutospacing="0" w:after="0" w:afterAutospacing="0"/>
        <w:rPr>
          <w:rFonts w:ascii="Book Antiqua" w:hAnsi="Book Antiqua"/>
          <w:b/>
          <w:color w:val="000000" w:themeColor="text1"/>
          <w:sz w:val="20"/>
          <w:szCs w:val="20"/>
          <w:lang w:val="en-AU"/>
        </w:rPr>
      </w:pPr>
      <w:r w:rsidRPr="00FF7754">
        <w:rPr>
          <w:rStyle w:val="FootnoteReference"/>
          <w:rFonts w:ascii="Book Antiqua" w:hAnsi="Book Antiqua"/>
          <w:color w:val="000000" w:themeColor="text1"/>
          <w:sz w:val="20"/>
          <w:szCs w:val="20"/>
        </w:rPr>
        <w:footnoteRef/>
      </w:r>
      <w:r w:rsidRPr="00FF7754">
        <w:rPr>
          <w:rFonts w:ascii="Book Antiqua" w:hAnsi="Book Antiqua"/>
          <w:color w:val="000000" w:themeColor="text1"/>
          <w:sz w:val="20"/>
          <w:szCs w:val="20"/>
        </w:rPr>
        <w:t xml:space="preserve"> Will Hodgman, Premier of Tasmania, ‘CEDA State of the State Address 2015’, delivered at Wrest Point Hobart on 30 October 2015. Available: http://www.premier.tas.gov.au/speeches/ceda_state_of_the_state_address_2015</w:t>
      </w:r>
    </w:p>
  </w:footnote>
  <w:footnote w:id="74">
    <w:p w14:paraId="098A8AB7" w14:textId="77777777" w:rsidR="00C139FD" w:rsidRPr="00FF7754" w:rsidRDefault="00C139FD">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BIS Shrapnel, ‘</w:t>
      </w:r>
      <w:r w:rsidRPr="00FF7754">
        <w:rPr>
          <w:rFonts w:ascii="Book Antiqua" w:hAnsi="Book Antiqua"/>
          <w:i/>
          <w:sz w:val="20"/>
          <w:szCs w:val="20"/>
        </w:rPr>
        <w:t xml:space="preserve">Economic Impact of the Hotel Rental Industry’ </w:t>
      </w:r>
      <w:r w:rsidRPr="00FF7754">
        <w:rPr>
          <w:rFonts w:ascii="Book Antiqua" w:hAnsi="Book Antiqua"/>
          <w:sz w:val="20"/>
          <w:szCs w:val="20"/>
        </w:rPr>
        <w:t xml:space="preserve">(2014). </w:t>
      </w:r>
    </w:p>
  </w:footnote>
  <w:footnote w:id="75">
    <w:p w14:paraId="22F847F4" w14:textId="77777777" w:rsidR="00C139FD" w:rsidRPr="00FF7754" w:rsidRDefault="00C139FD" w:rsidP="00943614">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i/>
          <w:sz w:val="20"/>
          <w:szCs w:val="20"/>
          <w:lang w:val="en-AU"/>
        </w:rPr>
        <w:t>The Code of the Metropolitan Government of Nashville and Davidson County, Tennessee</w:t>
      </w:r>
      <w:r w:rsidRPr="00FF7754">
        <w:rPr>
          <w:rFonts w:ascii="Book Antiqua" w:hAnsi="Book Antiqua"/>
          <w:sz w:val="20"/>
          <w:szCs w:val="20"/>
          <w:lang w:val="en-AU"/>
        </w:rPr>
        <w:t xml:space="preserve"> (TN), Ch 6.28 as amended by Ordinance No. BL 2014-951; </w:t>
      </w:r>
      <w:r w:rsidRPr="00FF7754">
        <w:rPr>
          <w:rFonts w:ascii="Book Antiqua" w:hAnsi="Book Antiqua"/>
          <w:i/>
          <w:sz w:val="20"/>
          <w:szCs w:val="20"/>
        </w:rPr>
        <w:t xml:space="preserve">San Jose Municipal Code </w:t>
      </w:r>
      <w:r w:rsidRPr="00FF7754">
        <w:rPr>
          <w:rFonts w:ascii="Book Antiqua" w:hAnsi="Book Antiqua"/>
          <w:sz w:val="20"/>
          <w:szCs w:val="20"/>
        </w:rPr>
        <w:t>(CA), Title 20, Ch 20.80, Pt 2.5 ‘Transient Occupancy as an Incidental Use to a Residence’.</w:t>
      </w:r>
    </w:p>
  </w:footnote>
  <w:footnote w:id="76">
    <w:p w14:paraId="29ED1B55" w14:textId="77777777" w:rsidR="00FF7754" w:rsidRPr="00FF7754" w:rsidRDefault="00FF7754">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eastAsia="Times New Roman" w:hAnsi="Book Antiqua" w:cs="Arial"/>
          <w:bCs/>
          <w:color w:val="000000" w:themeColor="text1"/>
          <w:sz w:val="20"/>
          <w:szCs w:val="20"/>
          <w:lang w:eastAsia="en-AU"/>
        </w:rPr>
        <w:t>Owners Corporations Amendment (Short-stay Accommodation) Bill 2016 (Vic), s 169D.</w:t>
      </w:r>
    </w:p>
  </w:footnote>
  <w:footnote w:id="77">
    <w:p w14:paraId="083E4E7E" w14:textId="77777777" w:rsidR="00C139FD" w:rsidRPr="00FF7754" w:rsidRDefault="00C139FD" w:rsidP="00C22F95">
      <w:pPr>
        <w:pStyle w:val="FootnoteText"/>
        <w:rPr>
          <w:rFonts w:ascii="Book Antiqua" w:hAnsi="Book Antiqua"/>
          <w:sz w:val="20"/>
          <w:szCs w:val="20"/>
          <w:lang w:val="en-AU"/>
        </w:rPr>
      </w:pPr>
      <w:r w:rsidRPr="00FF7754">
        <w:rPr>
          <w:rStyle w:val="FootnoteReference"/>
          <w:rFonts w:ascii="Book Antiqua" w:hAnsi="Book Antiqua"/>
          <w:sz w:val="20"/>
          <w:szCs w:val="20"/>
        </w:rPr>
        <w:footnoteRef/>
      </w:r>
      <w:r w:rsidRPr="00FF7754">
        <w:rPr>
          <w:rFonts w:ascii="Book Antiqua" w:hAnsi="Book Antiqua"/>
          <w:sz w:val="20"/>
          <w:szCs w:val="20"/>
        </w:rPr>
        <w:t xml:space="preserve"> </w:t>
      </w:r>
      <w:r w:rsidRPr="00FF7754">
        <w:rPr>
          <w:rFonts w:ascii="Book Antiqua" w:hAnsi="Book Antiqua"/>
          <w:sz w:val="20"/>
          <w:szCs w:val="20"/>
          <w:lang w:val="en-AU"/>
        </w:rPr>
        <w:t xml:space="preserve">City of Sydney, Submission No 158 to New South Wales Government, </w:t>
      </w:r>
      <w:r w:rsidRPr="00FF7754">
        <w:rPr>
          <w:rFonts w:ascii="Book Antiqua" w:hAnsi="Book Antiqua"/>
          <w:i/>
          <w:sz w:val="20"/>
          <w:szCs w:val="20"/>
          <w:lang w:val="en-AU"/>
        </w:rPr>
        <w:t xml:space="preserve">Inquiry into adequacy of the regulation of short-term holiday letting in NSW, </w:t>
      </w:r>
      <w:r w:rsidRPr="00FF7754">
        <w:rPr>
          <w:rFonts w:ascii="Book Antiqua" w:hAnsi="Book Antiqua"/>
          <w:sz w:val="20"/>
          <w:szCs w:val="20"/>
          <w:lang w:val="en-AU"/>
        </w:rPr>
        <w:t>9 November 2015, 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21C"/>
    <w:multiLevelType w:val="multilevel"/>
    <w:tmpl w:val="5364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42E9B"/>
    <w:multiLevelType w:val="hybridMultilevel"/>
    <w:tmpl w:val="70BA1E84"/>
    <w:lvl w:ilvl="0" w:tplc="3F76E23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AD71D8"/>
    <w:multiLevelType w:val="multilevel"/>
    <w:tmpl w:val="9230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67F35"/>
    <w:multiLevelType w:val="multilevel"/>
    <w:tmpl w:val="5364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F065F"/>
    <w:multiLevelType w:val="multilevel"/>
    <w:tmpl w:val="5364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971CB8"/>
    <w:multiLevelType w:val="hybridMultilevel"/>
    <w:tmpl w:val="CF4E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74B3D"/>
    <w:multiLevelType w:val="hybridMultilevel"/>
    <w:tmpl w:val="DC2C0E74"/>
    <w:lvl w:ilvl="0" w:tplc="27321D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132801"/>
    <w:multiLevelType w:val="multilevel"/>
    <w:tmpl w:val="F4DE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7776C4"/>
    <w:multiLevelType w:val="multilevel"/>
    <w:tmpl w:val="1C2A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B1068"/>
    <w:multiLevelType w:val="hybridMultilevel"/>
    <w:tmpl w:val="2632A07E"/>
    <w:lvl w:ilvl="0" w:tplc="E61E8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8580B"/>
    <w:multiLevelType w:val="hybridMultilevel"/>
    <w:tmpl w:val="F270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60B50"/>
    <w:multiLevelType w:val="hybridMultilevel"/>
    <w:tmpl w:val="4E6AA006"/>
    <w:lvl w:ilvl="0" w:tplc="E61E8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27669"/>
    <w:multiLevelType w:val="multilevel"/>
    <w:tmpl w:val="D2C8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F1398D"/>
    <w:multiLevelType w:val="multilevel"/>
    <w:tmpl w:val="5364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D123F1"/>
    <w:multiLevelType w:val="hybridMultilevel"/>
    <w:tmpl w:val="83C6DA78"/>
    <w:lvl w:ilvl="0" w:tplc="2BBAFF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5DC5C76"/>
    <w:multiLevelType w:val="multilevel"/>
    <w:tmpl w:val="A918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60DF8"/>
    <w:multiLevelType w:val="hybridMultilevel"/>
    <w:tmpl w:val="0E2621EC"/>
    <w:lvl w:ilvl="0" w:tplc="E61E8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E129B7"/>
    <w:multiLevelType w:val="multilevel"/>
    <w:tmpl w:val="F556A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1"/>
  </w:num>
  <w:num w:numId="4">
    <w:abstractNumId w:val="10"/>
  </w:num>
  <w:num w:numId="5">
    <w:abstractNumId w:val="16"/>
  </w:num>
  <w:num w:numId="6">
    <w:abstractNumId w:val="9"/>
  </w:num>
  <w:num w:numId="7">
    <w:abstractNumId w:val="5"/>
  </w:num>
  <w:num w:numId="8">
    <w:abstractNumId w:val="17"/>
  </w:num>
  <w:num w:numId="9">
    <w:abstractNumId w:val="12"/>
  </w:num>
  <w:num w:numId="10">
    <w:abstractNumId w:val="2"/>
  </w:num>
  <w:num w:numId="11">
    <w:abstractNumId w:val="8"/>
  </w:num>
  <w:num w:numId="12">
    <w:abstractNumId w:val="4"/>
    <w:lvlOverride w:ilvl="0">
      <w:startOverride w:val="47"/>
    </w:lvlOverride>
  </w:num>
  <w:num w:numId="13">
    <w:abstractNumId w:val="4"/>
    <w:lvlOverride w:ilvl="0">
      <w:startOverride w:val="48"/>
    </w:lvlOverride>
  </w:num>
  <w:num w:numId="14">
    <w:abstractNumId w:val="3"/>
  </w:num>
  <w:num w:numId="15">
    <w:abstractNumId w:val="0"/>
    <w:lvlOverride w:ilvl="0">
      <w:startOverride w:val="48"/>
    </w:lvlOverride>
  </w:num>
  <w:num w:numId="16">
    <w:abstractNumId w:val="13"/>
  </w:num>
  <w:num w:numId="17">
    <w:abstractNumId w:val="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D214BF"/>
    <w:rsid w:val="00000081"/>
    <w:rsid w:val="00002984"/>
    <w:rsid w:val="000035F4"/>
    <w:rsid w:val="00004977"/>
    <w:rsid w:val="0000539A"/>
    <w:rsid w:val="00007ED6"/>
    <w:rsid w:val="00013FF9"/>
    <w:rsid w:val="00014682"/>
    <w:rsid w:val="00014B4A"/>
    <w:rsid w:val="000212BD"/>
    <w:rsid w:val="000227B7"/>
    <w:rsid w:val="000236EE"/>
    <w:rsid w:val="0003137B"/>
    <w:rsid w:val="0003379E"/>
    <w:rsid w:val="00042F64"/>
    <w:rsid w:val="00054788"/>
    <w:rsid w:val="00054D14"/>
    <w:rsid w:val="00060871"/>
    <w:rsid w:val="000700A8"/>
    <w:rsid w:val="000701F9"/>
    <w:rsid w:val="00070A5E"/>
    <w:rsid w:val="0007169C"/>
    <w:rsid w:val="000751DB"/>
    <w:rsid w:val="0008539B"/>
    <w:rsid w:val="000926FB"/>
    <w:rsid w:val="000A2333"/>
    <w:rsid w:val="000B1C47"/>
    <w:rsid w:val="000B252D"/>
    <w:rsid w:val="000B37AD"/>
    <w:rsid w:val="000C473C"/>
    <w:rsid w:val="000D06B6"/>
    <w:rsid w:val="000D2999"/>
    <w:rsid w:val="000D73CA"/>
    <w:rsid w:val="000E1060"/>
    <w:rsid w:val="000E276E"/>
    <w:rsid w:val="000E5B5C"/>
    <w:rsid w:val="000F0F22"/>
    <w:rsid w:val="000F34D0"/>
    <w:rsid w:val="000F385B"/>
    <w:rsid w:val="000F542A"/>
    <w:rsid w:val="000F7E4F"/>
    <w:rsid w:val="001004E4"/>
    <w:rsid w:val="00104297"/>
    <w:rsid w:val="001068D5"/>
    <w:rsid w:val="0011125D"/>
    <w:rsid w:val="00117F4E"/>
    <w:rsid w:val="00120F2E"/>
    <w:rsid w:val="00121458"/>
    <w:rsid w:val="00125170"/>
    <w:rsid w:val="001252FA"/>
    <w:rsid w:val="00125461"/>
    <w:rsid w:val="00126319"/>
    <w:rsid w:val="00127719"/>
    <w:rsid w:val="00131E0D"/>
    <w:rsid w:val="0013282D"/>
    <w:rsid w:val="00133C2B"/>
    <w:rsid w:val="00140E0D"/>
    <w:rsid w:val="001428B1"/>
    <w:rsid w:val="00164695"/>
    <w:rsid w:val="00164781"/>
    <w:rsid w:val="00167FAD"/>
    <w:rsid w:val="00183EDB"/>
    <w:rsid w:val="00184CC2"/>
    <w:rsid w:val="00187E16"/>
    <w:rsid w:val="00187E1F"/>
    <w:rsid w:val="001966B2"/>
    <w:rsid w:val="001A0003"/>
    <w:rsid w:val="001A53C4"/>
    <w:rsid w:val="001B24D5"/>
    <w:rsid w:val="001B7482"/>
    <w:rsid w:val="001C0EFE"/>
    <w:rsid w:val="001C368A"/>
    <w:rsid w:val="001C3910"/>
    <w:rsid w:val="001C73A4"/>
    <w:rsid w:val="001D61BB"/>
    <w:rsid w:val="001D69E7"/>
    <w:rsid w:val="001D7E89"/>
    <w:rsid w:val="001E0DEF"/>
    <w:rsid w:val="001E1EFA"/>
    <w:rsid w:val="001E3234"/>
    <w:rsid w:val="001E7D36"/>
    <w:rsid w:val="001F0A00"/>
    <w:rsid w:val="00202A57"/>
    <w:rsid w:val="00203679"/>
    <w:rsid w:val="002132A1"/>
    <w:rsid w:val="002133E9"/>
    <w:rsid w:val="002235F5"/>
    <w:rsid w:val="00231658"/>
    <w:rsid w:val="002323FA"/>
    <w:rsid w:val="00232B98"/>
    <w:rsid w:val="00232D92"/>
    <w:rsid w:val="00236955"/>
    <w:rsid w:val="0023781C"/>
    <w:rsid w:val="00243870"/>
    <w:rsid w:val="00245C0F"/>
    <w:rsid w:val="002553A5"/>
    <w:rsid w:val="0025628D"/>
    <w:rsid w:val="0026380E"/>
    <w:rsid w:val="00272269"/>
    <w:rsid w:val="00284B4E"/>
    <w:rsid w:val="00290C93"/>
    <w:rsid w:val="00291D61"/>
    <w:rsid w:val="00293BEB"/>
    <w:rsid w:val="002A6643"/>
    <w:rsid w:val="002B75FA"/>
    <w:rsid w:val="002C010E"/>
    <w:rsid w:val="002C6FC9"/>
    <w:rsid w:val="002D6438"/>
    <w:rsid w:val="002D6F2F"/>
    <w:rsid w:val="002E6680"/>
    <w:rsid w:val="002E6895"/>
    <w:rsid w:val="002F0DEF"/>
    <w:rsid w:val="002F2626"/>
    <w:rsid w:val="002F615D"/>
    <w:rsid w:val="002F65B5"/>
    <w:rsid w:val="003001F6"/>
    <w:rsid w:val="00300F9D"/>
    <w:rsid w:val="00301B5C"/>
    <w:rsid w:val="0030520B"/>
    <w:rsid w:val="00322316"/>
    <w:rsid w:val="003244ED"/>
    <w:rsid w:val="00324927"/>
    <w:rsid w:val="0033386D"/>
    <w:rsid w:val="00335168"/>
    <w:rsid w:val="00335FD4"/>
    <w:rsid w:val="00350046"/>
    <w:rsid w:val="00350A78"/>
    <w:rsid w:val="00353848"/>
    <w:rsid w:val="00355BEB"/>
    <w:rsid w:val="003620CB"/>
    <w:rsid w:val="00364B46"/>
    <w:rsid w:val="0036643D"/>
    <w:rsid w:val="00375266"/>
    <w:rsid w:val="00380F02"/>
    <w:rsid w:val="003831FA"/>
    <w:rsid w:val="003837DE"/>
    <w:rsid w:val="003879B4"/>
    <w:rsid w:val="003923AC"/>
    <w:rsid w:val="003A091F"/>
    <w:rsid w:val="003A27BD"/>
    <w:rsid w:val="003A52A0"/>
    <w:rsid w:val="003A7DD8"/>
    <w:rsid w:val="003C0989"/>
    <w:rsid w:val="003C0F9E"/>
    <w:rsid w:val="003C1606"/>
    <w:rsid w:val="003C1D46"/>
    <w:rsid w:val="003C26CC"/>
    <w:rsid w:val="003D0438"/>
    <w:rsid w:val="003D650C"/>
    <w:rsid w:val="003D77AF"/>
    <w:rsid w:val="003E537F"/>
    <w:rsid w:val="003E6D0A"/>
    <w:rsid w:val="003F76F4"/>
    <w:rsid w:val="00400998"/>
    <w:rsid w:val="004018FD"/>
    <w:rsid w:val="004057C4"/>
    <w:rsid w:val="0041237C"/>
    <w:rsid w:val="0041549A"/>
    <w:rsid w:val="004162EA"/>
    <w:rsid w:val="0041737D"/>
    <w:rsid w:val="004214F0"/>
    <w:rsid w:val="00424598"/>
    <w:rsid w:val="00431AB0"/>
    <w:rsid w:val="00441E6C"/>
    <w:rsid w:val="00444861"/>
    <w:rsid w:val="00445C6F"/>
    <w:rsid w:val="00447142"/>
    <w:rsid w:val="004500C0"/>
    <w:rsid w:val="00450F91"/>
    <w:rsid w:val="0045129E"/>
    <w:rsid w:val="004530DD"/>
    <w:rsid w:val="00455715"/>
    <w:rsid w:val="00462E92"/>
    <w:rsid w:val="00463309"/>
    <w:rsid w:val="00467597"/>
    <w:rsid w:val="00467988"/>
    <w:rsid w:val="00474760"/>
    <w:rsid w:val="00474B05"/>
    <w:rsid w:val="00483E9F"/>
    <w:rsid w:val="004915BF"/>
    <w:rsid w:val="00491649"/>
    <w:rsid w:val="004923FF"/>
    <w:rsid w:val="00493C58"/>
    <w:rsid w:val="004977FF"/>
    <w:rsid w:val="004A2110"/>
    <w:rsid w:val="004A6F29"/>
    <w:rsid w:val="004C062D"/>
    <w:rsid w:val="004C06F4"/>
    <w:rsid w:val="004C1708"/>
    <w:rsid w:val="004C6577"/>
    <w:rsid w:val="004D259E"/>
    <w:rsid w:val="004D73D4"/>
    <w:rsid w:val="004E29AC"/>
    <w:rsid w:val="004E4075"/>
    <w:rsid w:val="004E70C1"/>
    <w:rsid w:val="004F53FC"/>
    <w:rsid w:val="004F7416"/>
    <w:rsid w:val="00501574"/>
    <w:rsid w:val="005058B9"/>
    <w:rsid w:val="0051213D"/>
    <w:rsid w:val="005159B5"/>
    <w:rsid w:val="00517107"/>
    <w:rsid w:val="0052292C"/>
    <w:rsid w:val="00522D74"/>
    <w:rsid w:val="0053252E"/>
    <w:rsid w:val="00533F4C"/>
    <w:rsid w:val="005461C1"/>
    <w:rsid w:val="00551418"/>
    <w:rsid w:val="00552695"/>
    <w:rsid w:val="00556BC6"/>
    <w:rsid w:val="00557AE6"/>
    <w:rsid w:val="00561CA9"/>
    <w:rsid w:val="00562641"/>
    <w:rsid w:val="00570EEC"/>
    <w:rsid w:val="00575891"/>
    <w:rsid w:val="00581BA0"/>
    <w:rsid w:val="005825A4"/>
    <w:rsid w:val="005847B1"/>
    <w:rsid w:val="00585C2D"/>
    <w:rsid w:val="0058716E"/>
    <w:rsid w:val="00596993"/>
    <w:rsid w:val="005A04DA"/>
    <w:rsid w:val="005A0966"/>
    <w:rsid w:val="005A1D8F"/>
    <w:rsid w:val="005A5045"/>
    <w:rsid w:val="005A638A"/>
    <w:rsid w:val="005B2768"/>
    <w:rsid w:val="005B6BDC"/>
    <w:rsid w:val="005B7F2C"/>
    <w:rsid w:val="005C0111"/>
    <w:rsid w:val="005C0A5D"/>
    <w:rsid w:val="005C3FD9"/>
    <w:rsid w:val="005C593B"/>
    <w:rsid w:val="005E0836"/>
    <w:rsid w:val="005E278E"/>
    <w:rsid w:val="005E4D5F"/>
    <w:rsid w:val="005E698C"/>
    <w:rsid w:val="00611DB9"/>
    <w:rsid w:val="00611F82"/>
    <w:rsid w:val="006142DE"/>
    <w:rsid w:val="006143DE"/>
    <w:rsid w:val="006205B3"/>
    <w:rsid w:val="00621685"/>
    <w:rsid w:val="00627D27"/>
    <w:rsid w:val="00632BAB"/>
    <w:rsid w:val="006337C2"/>
    <w:rsid w:val="00642D30"/>
    <w:rsid w:val="006516BE"/>
    <w:rsid w:val="00665564"/>
    <w:rsid w:val="00665647"/>
    <w:rsid w:val="0066671A"/>
    <w:rsid w:val="006809AA"/>
    <w:rsid w:val="00694517"/>
    <w:rsid w:val="00694FD3"/>
    <w:rsid w:val="00697AC5"/>
    <w:rsid w:val="006B0526"/>
    <w:rsid w:val="006B197C"/>
    <w:rsid w:val="006C2BDB"/>
    <w:rsid w:val="006C3FFF"/>
    <w:rsid w:val="006D621B"/>
    <w:rsid w:val="006D65F0"/>
    <w:rsid w:val="006E1DFA"/>
    <w:rsid w:val="006E3FA1"/>
    <w:rsid w:val="006F0F46"/>
    <w:rsid w:val="006F702D"/>
    <w:rsid w:val="00700636"/>
    <w:rsid w:val="00700E6E"/>
    <w:rsid w:val="007066D5"/>
    <w:rsid w:val="00716BEA"/>
    <w:rsid w:val="0072120F"/>
    <w:rsid w:val="00725DA0"/>
    <w:rsid w:val="00726E92"/>
    <w:rsid w:val="00727FED"/>
    <w:rsid w:val="007307B1"/>
    <w:rsid w:val="00730FD8"/>
    <w:rsid w:val="007341C8"/>
    <w:rsid w:val="00735D89"/>
    <w:rsid w:val="0073660F"/>
    <w:rsid w:val="00751F17"/>
    <w:rsid w:val="00764D75"/>
    <w:rsid w:val="007707AD"/>
    <w:rsid w:val="00770AD6"/>
    <w:rsid w:val="007726B0"/>
    <w:rsid w:val="00773BC4"/>
    <w:rsid w:val="00774BA7"/>
    <w:rsid w:val="0077577C"/>
    <w:rsid w:val="00775B3A"/>
    <w:rsid w:val="007810B2"/>
    <w:rsid w:val="00782597"/>
    <w:rsid w:val="00782652"/>
    <w:rsid w:val="007A090B"/>
    <w:rsid w:val="007A1C6E"/>
    <w:rsid w:val="007B17EF"/>
    <w:rsid w:val="007B2520"/>
    <w:rsid w:val="007B6E55"/>
    <w:rsid w:val="007D6435"/>
    <w:rsid w:val="007D7A63"/>
    <w:rsid w:val="007E0FFE"/>
    <w:rsid w:val="007E2280"/>
    <w:rsid w:val="007E4FF7"/>
    <w:rsid w:val="007F13F1"/>
    <w:rsid w:val="007F3827"/>
    <w:rsid w:val="007F383F"/>
    <w:rsid w:val="0080461E"/>
    <w:rsid w:val="008147BE"/>
    <w:rsid w:val="00814C70"/>
    <w:rsid w:val="00815D97"/>
    <w:rsid w:val="00815E00"/>
    <w:rsid w:val="00821705"/>
    <w:rsid w:val="00823B66"/>
    <w:rsid w:val="008265A6"/>
    <w:rsid w:val="00827BB3"/>
    <w:rsid w:val="008451D1"/>
    <w:rsid w:val="00854B12"/>
    <w:rsid w:val="0085778E"/>
    <w:rsid w:val="0086104D"/>
    <w:rsid w:val="008712D4"/>
    <w:rsid w:val="00876F62"/>
    <w:rsid w:val="00880843"/>
    <w:rsid w:val="00882016"/>
    <w:rsid w:val="008903CE"/>
    <w:rsid w:val="0089185D"/>
    <w:rsid w:val="008959AC"/>
    <w:rsid w:val="008960ED"/>
    <w:rsid w:val="0089703E"/>
    <w:rsid w:val="008A4C27"/>
    <w:rsid w:val="008B4B58"/>
    <w:rsid w:val="008B732C"/>
    <w:rsid w:val="008C0E76"/>
    <w:rsid w:val="008D0B0F"/>
    <w:rsid w:val="008D2637"/>
    <w:rsid w:val="008D5D20"/>
    <w:rsid w:val="008D69A3"/>
    <w:rsid w:val="008E0E01"/>
    <w:rsid w:val="008E13FE"/>
    <w:rsid w:val="008E44E8"/>
    <w:rsid w:val="008E5778"/>
    <w:rsid w:val="008F2708"/>
    <w:rsid w:val="008F5289"/>
    <w:rsid w:val="008F70B4"/>
    <w:rsid w:val="008F74AA"/>
    <w:rsid w:val="0090751C"/>
    <w:rsid w:val="009157DD"/>
    <w:rsid w:val="00916F22"/>
    <w:rsid w:val="00921EFC"/>
    <w:rsid w:val="0092472A"/>
    <w:rsid w:val="009253D4"/>
    <w:rsid w:val="009266CC"/>
    <w:rsid w:val="00931482"/>
    <w:rsid w:val="0093186B"/>
    <w:rsid w:val="0093392A"/>
    <w:rsid w:val="00933FA1"/>
    <w:rsid w:val="0093447A"/>
    <w:rsid w:val="009345C4"/>
    <w:rsid w:val="00935963"/>
    <w:rsid w:val="00942981"/>
    <w:rsid w:val="00943614"/>
    <w:rsid w:val="00947771"/>
    <w:rsid w:val="009534FC"/>
    <w:rsid w:val="00967DEB"/>
    <w:rsid w:val="00974364"/>
    <w:rsid w:val="00980550"/>
    <w:rsid w:val="009809D7"/>
    <w:rsid w:val="00984611"/>
    <w:rsid w:val="00986257"/>
    <w:rsid w:val="00986FF0"/>
    <w:rsid w:val="0099135B"/>
    <w:rsid w:val="009A0BE5"/>
    <w:rsid w:val="009A4578"/>
    <w:rsid w:val="009A78BF"/>
    <w:rsid w:val="009B765F"/>
    <w:rsid w:val="009C36F7"/>
    <w:rsid w:val="009C3CA7"/>
    <w:rsid w:val="009C5712"/>
    <w:rsid w:val="009D2C0E"/>
    <w:rsid w:val="009D766C"/>
    <w:rsid w:val="009E2CBB"/>
    <w:rsid w:val="009E7A06"/>
    <w:rsid w:val="009F014B"/>
    <w:rsid w:val="009F0C7C"/>
    <w:rsid w:val="009F3344"/>
    <w:rsid w:val="009F6F27"/>
    <w:rsid w:val="009F7B81"/>
    <w:rsid w:val="009F7C76"/>
    <w:rsid w:val="009F7FE8"/>
    <w:rsid w:val="00A066B4"/>
    <w:rsid w:val="00A14AB3"/>
    <w:rsid w:val="00A17997"/>
    <w:rsid w:val="00A21D75"/>
    <w:rsid w:val="00A2629A"/>
    <w:rsid w:val="00A37B08"/>
    <w:rsid w:val="00A45797"/>
    <w:rsid w:val="00A5067A"/>
    <w:rsid w:val="00A56155"/>
    <w:rsid w:val="00A563EB"/>
    <w:rsid w:val="00A5657E"/>
    <w:rsid w:val="00A569DD"/>
    <w:rsid w:val="00A63820"/>
    <w:rsid w:val="00A65AE1"/>
    <w:rsid w:val="00A663D4"/>
    <w:rsid w:val="00A8069A"/>
    <w:rsid w:val="00A86753"/>
    <w:rsid w:val="00A86C21"/>
    <w:rsid w:val="00A87693"/>
    <w:rsid w:val="00A90342"/>
    <w:rsid w:val="00A92E48"/>
    <w:rsid w:val="00A94D6E"/>
    <w:rsid w:val="00AA299B"/>
    <w:rsid w:val="00AA2B0A"/>
    <w:rsid w:val="00AA40BF"/>
    <w:rsid w:val="00AA52DB"/>
    <w:rsid w:val="00AA6857"/>
    <w:rsid w:val="00AB05A6"/>
    <w:rsid w:val="00AB2806"/>
    <w:rsid w:val="00AB41EA"/>
    <w:rsid w:val="00AB4AC1"/>
    <w:rsid w:val="00AB55D2"/>
    <w:rsid w:val="00AB7CD7"/>
    <w:rsid w:val="00AC67A8"/>
    <w:rsid w:val="00AC7375"/>
    <w:rsid w:val="00AD0BAD"/>
    <w:rsid w:val="00AD447D"/>
    <w:rsid w:val="00AE4C44"/>
    <w:rsid w:val="00B01E10"/>
    <w:rsid w:val="00B022CC"/>
    <w:rsid w:val="00B11055"/>
    <w:rsid w:val="00B14059"/>
    <w:rsid w:val="00B15C94"/>
    <w:rsid w:val="00B16287"/>
    <w:rsid w:val="00B20F6A"/>
    <w:rsid w:val="00B217CD"/>
    <w:rsid w:val="00B226A2"/>
    <w:rsid w:val="00B2663B"/>
    <w:rsid w:val="00B272C4"/>
    <w:rsid w:val="00B30151"/>
    <w:rsid w:val="00B34D24"/>
    <w:rsid w:val="00B40896"/>
    <w:rsid w:val="00B456DB"/>
    <w:rsid w:val="00B47130"/>
    <w:rsid w:val="00B51235"/>
    <w:rsid w:val="00B55F2A"/>
    <w:rsid w:val="00B57B60"/>
    <w:rsid w:val="00B57FB7"/>
    <w:rsid w:val="00B61933"/>
    <w:rsid w:val="00B70B38"/>
    <w:rsid w:val="00B73894"/>
    <w:rsid w:val="00B76ADE"/>
    <w:rsid w:val="00B86277"/>
    <w:rsid w:val="00B9003B"/>
    <w:rsid w:val="00BA16D3"/>
    <w:rsid w:val="00BA27BB"/>
    <w:rsid w:val="00BB26E3"/>
    <w:rsid w:val="00BB3A37"/>
    <w:rsid w:val="00BB480B"/>
    <w:rsid w:val="00BC0394"/>
    <w:rsid w:val="00BE7EDF"/>
    <w:rsid w:val="00BF2ED1"/>
    <w:rsid w:val="00C021D4"/>
    <w:rsid w:val="00C03F3D"/>
    <w:rsid w:val="00C079D9"/>
    <w:rsid w:val="00C07E1E"/>
    <w:rsid w:val="00C139FD"/>
    <w:rsid w:val="00C22F95"/>
    <w:rsid w:val="00C24229"/>
    <w:rsid w:val="00C40D4E"/>
    <w:rsid w:val="00C40EC5"/>
    <w:rsid w:val="00C54A82"/>
    <w:rsid w:val="00C61068"/>
    <w:rsid w:val="00C624CC"/>
    <w:rsid w:val="00C72C98"/>
    <w:rsid w:val="00C77F6A"/>
    <w:rsid w:val="00C82A0C"/>
    <w:rsid w:val="00C93E50"/>
    <w:rsid w:val="00C96EB8"/>
    <w:rsid w:val="00CA59EC"/>
    <w:rsid w:val="00CA7CE7"/>
    <w:rsid w:val="00CB0DA3"/>
    <w:rsid w:val="00CB3B58"/>
    <w:rsid w:val="00CB5A85"/>
    <w:rsid w:val="00CC30C4"/>
    <w:rsid w:val="00CC52D0"/>
    <w:rsid w:val="00CD48B6"/>
    <w:rsid w:val="00CD6593"/>
    <w:rsid w:val="00CD7219"/>
    <w:rsid w:val="00CE0BE7"/>
    <w:rsid w:val="00CE3A38"/>
    <w:rsid w:val="00CE51E2"/>
    <w:rsid w:val="00CE7FA0"/>
    <w:rsid w:val="00CF5FFA"/>
    <w:rsid w:val="00D02EF5"/>
    <w:rsid w:val="00D12C58"/>
    <w:rsid w:val="00D14249"/>
    <w:rsid w:val="00D14D58"/>
    <w:rsid w:val="00D179F8"/>
    <w:rsid w:val="00D214BF"/>
    <w:rsid w:val="00D22D23"/>
    <w:rsid w:val="00D26DA8"/>
    <w:rsid w:val="00D41D1A"/>
    <w:rsid w:val="00D55772"/>
    <w:rsid w:val="00D56C2B"/>
    <w:rsid w:val="00D56F54"/>
    <w:rsid w:val="00D62256"/>
    <w:rsid w:val="00D62669"/>
    <w:rsid w:val="00D73F8D"/>
    <w:rsid w:val="00D748BE"/>
    <w:rsid w:val="00D77383"/>
    <w:rsid w:val="00D77B83"/>
    <w:rsid w:val="00D83B56"/>
    <w:rsid w:val="00D85E2C"/>
    <w:rsid w:val="00D96959"/>
    <w:rsid w:val="00D96BDA"/>
    <w:rsid w:val="00D96EED"/>
    <w:rsid w:val="00D97624"/>
    <w:rsid w:val="00DA0FD7"/>
    <w:rsid w:val="00DA5B5A"/>
    <w:rsid w:val="00DA79D1"/>
    <w:rsid w:val="00DB0EDB"/>
    <w:rsid w:val="00DB46F8"/>
    <w:rsid w:val="00DB618D"/>
    <w:rsid w:val="00DC100E"/>
    <w:rsid w:val="00DC5A8C"/>
    <w:rsid w:val="00DD0CA8"/>
    <w:rsid w:val="00DD36F2"/>
    <w:rsid w:val="00DE09CA"/>
    <w:rsid w:val="00DE3CFA"/>
    <w:rsid w:val="00DE40B1"/>
    <w:rsid w:val="00DE65B8"/>
    <w:rsid w:val="00DF5861"/>
    <w:rsid w:val="00E05452"/>
    <w:rsid w:val="00E06C8C"/>
    <w:rsid w:val="00E06D18"/>
    <w:rsid w:val="00E11440"/>
    <w:rsid w:val="00E200E7"/>
    <w:rsid w:val="00E223A9"/>
    <w:rsid w:val="00E25A92"/>
    <w:rsid w:val="00E276CA"/>
    <w:rsid w:val="00E32DC7"/>
    <w:rsid w:val="00E34DB3"/>
    <w:rsid w:val="00E37819"/>
    <w:rsid w:val="00E5171A"/>
    <w:rsid w:val="00E535A0"/>
    <w:rsid w:val="00E62AF0"/>
    <w:rsid w:val="00E65194"/>
    <w:rsid w:val="00E75A56"/>
    <w:rsid w:val="00E80214"/>
    <w:rsid w:val="00E8171C"/>
    <w:rsid w:val="00E8274B"/>
    <w:rsid w:val="00E8384B"/>
    <w:rsid w:val="00E85172"/>
    <w:rsid w:val="00E8530D"/>
    <w:rsid w:val="00E91A91"/>
    <w:rsid w:val="00E925B9"/>
    <w:rsid w:val="00E942D8"/>
    <w:rsid w:val="00E949B8"/>
    <w:rsid w:val="00E94CE0"/>
    <w:rsid w:val="00E96287"/>
    <w:rsid w:val="00E9698C"/>
    <w:rsid w:val="00EA3339"/>
    <w:rsid w:val="00EA4017"/>
    <w:rsid w:val="00EA6592"/>
    <w:rsid w:val="00EC62B4"/>
    <w:rsid w:val="00EC7EAF"/>
    <w:rsid w:val="00EC7F34"/>
    <w:rsid w:val="00ED28B8"/>
    <w:rsid w:val="00ED4156"/>
    <w:rsid w:val="00EE17E5"/>
    <w:rsid w:val="00EE6F63"/>
    <w:rsid w:val="00EF022B"/>
    <w:rsid w:val="00EF276C"/>
    <w:rsid w:val="00EF28EA"/>
    <w:rsid w:val="00EF3119"/>
    <w:rsid w:val="00EF7C19"/>
    <w:rsid w:val="00F0583C"/>
    <w:rsid w:val="00F12EFC"/>
    <w:rsid w:val="00F13216"/>
    <w:rsid w:val="00F14CD2"/>
    <w:rsid w:val="00F2018C"/>
    <w:rsid w:val="00F209CE"/>
    <w:rsid w:val="00F22740"/>
    <w:rsid w:val="00F230BC"/>
    <w:rsid w:val="00F238D0"/>
    <w:rsid w:val="00F369DC"/>
    <w:rsid w:val="00F4653A"/>
    <w:rsid w:val="00F52420"/>
    <w:rsid w:val="00F54D9F"/>
    <w:rsid w:val="00F5574F"/>
    <w:rsid w:val="00F611DB"/>
    <w:rsid w:val="00F6667C"/>
    <w:rsid w:val="00F77B4B"/>
    <w:rsid w:val="00F81CBE"/>
    <w:rsid w:val="00F826F1"/>
    <w:rsid w:val="00F86297"/>
    <w:rsid w:val="00F947FE"/>
    <w:rsid w:val="00F94DFA"/>
    <w:rsid w:val="00FA40AA"/>
    <w:rsid w:val="00FB1FC5"/>
    <w:rsid w:val="00FB3119"/>
    <w:rsid w:val="00FC66EC"/>
    <w:rsid w:val="00FD1A7D"/>
    <w:rsid w:val="00FD4122"/>
    <w:rsid w:val="00FE3597"/>
    <w:rsid w:val="00FF77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BD9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2ED1"/>
    <w:rPr>
      <w:rFonts w:ascii="Times New Roman" w:hAnsi="Times New Roman" w:cs="Times New Roman"/>
    </w:rPr>
  </w:style>
  <w:style w:type="paragraph" w:styleId="Heading1">
    <w:name w:val="heading 1"/>
    <w:basedOn w:val="Normal"/>
    <w:link w:val="Heading1Char"/>
    <w:uiPriority w:val="9"/>
    <w:qFormat/>
    <w:rsid w:val="00BF2ED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8265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F2ED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2597"/>
  </w:style>
  <w:style w:type="character" w:styleId="Hyperlink">
    <w:name w:val="Hyperlink"/>
    <w:basedOn w:val="DefaultParagraphFont"/>
    <w:uiPriority w:val="99"/>
    <w:unhideWhenUsed/>
    <w:rsid w:val="00782597"/>
    <w:rPr>
      <w:color w:val="0000FF"/>
      <w:u w:val="single"/>
    </w:rPr>
  </w:style>
  <w:style w:type="paragraph" w:styleId="NormalWeb">
    <w:name w:val="Normal (Web)"/>
    <w:basedOn w:val="Normal"/>
    <w:uiPriority w:val="99"/>
    <w:unhideWhenUsed/>
    <w:rsid w:val="003001F6"/>
    <w:pPr>
      <w:spacing w:before="100" w:beforeAutospacing="1" w:after="100" w:afterAutospacing="1"/>
    </w:pPr>
  </w:style>
  <w:style w:type="character" w:styleId="Emphasis">
    <w:name w:val="Emphasis"/>
    <w:basedOn w:val="DefaultParagraphFont"/>
    <w:uiPriority w:val="20"/>
    <w:qFormat/>
    <w:rsid w:val="003001F6"/>
    <w:rPr>
      <w:i/>
      <w:iCs/>
    </w:rPr>
  </w:style>
  <w:style w:type="character" w:customStyle="1" w:styleId="Heading2Char">
    <w:name w:val="Heading 2 Char"/>
    <w:basedOn w:val="DefaultParagraphFont"/>
    <w:link w:val="Heading2"/>
    <w:uiPriority w:val="9"/>
    <w:rsid w:val="00782652"/>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4923FF"/>
    <w:rPr>
      <w:color w:val="954F72" w:themeColor="followedHyperlink"/>
      <w:u w:val="single"/>
    </w:rPr>
  </w:style>
  <w:style w:type="paragraph" w:styleId="FootnoteText">
    <w:name w:val="footnote text"/>
    <w:basedOn w:val="Normal"/>
    <w:link w:val="FootnoteTextChar"/>
    <w:uiPriority w:val="99"/>
    <w:unhideWhenUsed/>
    <w:rsid w:val="00131E0D"/>
  </w:style>
  <w:style w:type="character" w:customStyle="1" w:styleId="FootnoteTextChar">
    <w:name w:val="Footnote Text Char"/>
    <w:basedOn w:val="DefaultParagraphFont"/>
    <w:link w:val="FootnoteText"/>
    <w:uiPriority w:val="99"/>
    <w:rsid w:val="00131E0D"/>
    <w:rPr>
      <w:rFonts w:ascii="Times New Roman" w:hAnsi="Times New Roman" w:cs="Times New Roman"/>
    </w:rPr>
  </w:style>
  <w:style w:type="character" w:styleId="FootnoteReference">
    <w:name w:val="footnote reference"/>
    <w:basedOn w:val="DefaultParagraphFont"/>
    <w:uiPriority w:val="99"/>
    <w:unhideWhenUsed/>
    <w:rsid w:val="00131E0D"/>
    <w:rPr>
      <w:vertAlign w:val="superscript"/>
    </w:rPr>
  </w:style>
  <w:style w:type="paragraph" w:styleId="ListParagraph">
    <w:name w:val="List Paragraph"/>
    <w:basedOn w:val="Normal"/>
    <w:uiPriority w:val="34"/>
    <w:qFormat/>
    <w:rsid w:val="008959AC"/>
    <w:pPr>
      <w:ind w:left="720"/>
      <w:contextualSpacing/>
    </w:pPr>
  </w:style>
  <w:style w:type="character" w:styleId="Strong">
    <w:name w:val="Strong"/>
    <w:basedOn w:val="DefaultParagraphFont"/>
    <w:uiPriority w:val="22"/>
    <w:qFormat/>
    <w:rsid w:val="00CF5FFA"/>
    <w:rPr>
      <w:b/>
      <w:bCs/>
    </w:rPr>
  </w:style>
  <w:style w:type="paragraph" w:styleId="BalloonText">
    <w:name w:val="Balloon Text"/>
    <w:basedOn w:val="Normal"/>
    <w:link w:val="BalloonTextChar"/>
    <w:uiPriority w:val="99"/>
    <w:semiHidden/>
    <w:unhideWhenUsed/>
    <w:rsid w:val="00AB2806"/>
    <w:rPr>
      <w:rFonts w:ascii="Tahoma" w:hAnsi="Tahoma" w:cs="Tahoma"/>
      <w:sz w:val="16"/>
      <w:szCs w:val="16"/>
    </w:rPr>
  </w:style>
  <w:style w:type="character" w:customStyle="1" w:styleId="BalloonTextChar">
    <w:name w:val="Balloon Text Char"/>
    <w:basedOn w:val="DefaultParagraphFont"/>
    <w:link w:val="BalloonText"/>
    <w:uiPriority w:val="99"/>
    <w:semiHidden/>
    <w:rsid w:val="00AB2806"/>
    <w:rPr>
      <w:rFonts w:ascii="Tahoma" w:hAnsi="Tahoma" w:cs="Tahoma"/>
      <w:sz w:val="16"/>
      <w:szCs w:val="16"/>
    </w:rPr>
  </w:style>
  <w:style w:type="character" w:customStyle="1" w:styleId="Heading1Char">
    <w:name w:val="Heading 1 Char"/>
    <w:basedOn w:val="DefaultParagraphFont"/>
    <w:link w:val="Heading1"/>
    <w:uiPriority w:val="9"/>
    <w:rsid w:val="00BF2ED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2ED1"/>
    <w:rPr>
      <w:rFonts w:ascii="Times New Roman" w:hAnsi="Times New Roman" w:cs="Times New Roman"/>
      <w:b/>
      <w:bCs/>
      <w:sz w:val="27"/>
      <w:szCs w:val="27"/>
    </w:rPr>
  </w:style>
  <w:style w:type="paragraph" w:styleId="Header">
    <w:name w:val="header"/>
    <w:basedOn w:val="Normal"/>
    <w:link w:val="HeaderChar"/>
    <w:uiPriority w:val="99"/>
    <w:semiHidden/>
    <w:unhideWhenUsed/>
    <w:rsid w:val="006D621B"/>
    <w:pPr>
      <w:tabs>
        <w:tab w:val="center" w:pos="4680"/>
        <w:tab w:val="right" w:pos="9360"/>
      </w:tabs>
    </w:pPr>
  </w:style>
  <w:style w:type="character" w:customStyle="1" w:styleId="HeaderChar">
    <w:name w:val="Header Char"/>
    <w:basedOn w:val="DefaultParagraphFont"/>
    <w:link w:val="Header"/>
    <w:uiPriority w:val="99"/>
    <w:semiHidden/>
    <w:rsid w:val="006D621B"/>
    <w:rPr>
      <w:rFonts w:ascii="Times New Roman" w:hAnsi="Times New Roman" w:cs="Times New Roman"/>
    </w:rPr>
  </w:style>
  <w:style w:type="paragraph" w:styleId="Footer">
    <w:name w:val="footer"/>
    <w:basedOn w:val="Normal"/>
    <w:link w:val="FooterChar"/>
    <w:uiPriority w:val="99"/>
    <w:unhideWhenUsed/>
    <w:rsid w:val="006D621B"/>
    <w:pPr>
      <w:tabs>
        <w:tab w:val="center" w:pos="4680"/>
        <w:tab w:val="right" w:pos="9360"/>
      </w:tabs>
    </w:pPr>
  </w:style>
  <w:style w:type="character" w:customStyle="1" w:styleId="FooterChar">
    <w:name w:val="Footer Char"/>
    <w:basedOn w:val="DefaultParagraphFont"/>
    <w:link w:val="Footer"/>
    <w:uiPriority w:val="99"/>
    <w:rsid w:val="006D62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8606">
      <w:bodyDiv w:val="1"/>
      <w:marLeft w:val="0"/>
      <w:marRight w:val="0"/>
      <w:marTop w:val="0"/>
      <w:marBottom w:val="0"/>
      <w:divBdr>
        <w:top w:val="none" w:sz="0" w:space="0" w:color="auto"/>
        <w:left w:val="none" w:sz="0" w:space="0" w:color="auto"/>
        <w:bottom w:val="none" w:sz="0" w:space="0" w:color="auto"/>
        <w:right w:val="none" w:sz="0" w:space="0" w:color="auto"/>
      </w:divBdr>
    </w:div>
    <w:div w:id="71859973">
      <w:bodyDiv w:val="1"/>
      <w:marLeft w:val="0"/>
      <w:marRight w:val="0"/>
      <w:marTop w:val="0"/>
      <w:marBottom w:val="0"/>
      <w:divBdr>
        <w:top w:val="none" w:sz="0" w:space="0" w:color="auto"/>
        <w:left w:val="none" w:sz="0" w:space="0" w:color="auto"/>
        <w:bottom w:val="none" w:sz="0" w:space="0" w:color="auto"/>
        <w:right w:val="none" w:sz="0" w:space="0" w:color="auto"/>
      </w:divBdr>
    </w:div>
    <w:div w:id="92022528">
      <w:bodyDiv w:val="1"/>
      <w:marLeft w:val="0"/>
      <w:marRight w:val="0"/>
      <w:marTop w:val="0"/>
      <w:marBottom w:val="0"/>
      <w:divBdr>
        <w:top w:val="none" w:sz="0" w:space="0" w:color="auto"/>
        <w:left w:val="none" w:sz="0" w:space="0" w:color="auto"/>
        <w:bottom w:val="none" w:sz="0" w:space="0" w:color="auto"/>
        <w:right w:val="none" w:sz="0" w:space="0" w:color="auto"/>
      </w:divBdr>
    </w:div>
    <w:div w:id="120996971">
      <w:bodyDiv w:val="1"/>
      <w:marLeft w:val="0"/>
      <w:marRight w:val="0"/>
      <w:marTop w:val="0"/>
      <w:marBottom w:val="0"/>
      <w:divBdr>
        <w:top w:val="none" w:sz="0" w:space="0" w:color="auto"/>
        <w:left w:val="none" w:sz="0" w:space="0" w:color="auto"/>
        <w:bottom w:val="none" w:sz="0" w:space="0" w:color="auto"/>
        <w:right w:val="none" w:sz="0" w:space="0" w:color="auto"/>
      </w:divBdr>
    </w:div>
    <w:div w:id="121928560">
      <w:bodyDiv w:val="1"/>
      <w:marLeft w:val="0"/>
      <w:marRight w:val="0"/>
      <w:marTop w:val="0"/>
      <w:marBottom w:val="0"/>
      <w:divBdr>
        <w:top w:val="none" w:sz="0" w:space="0" w:color="auto"/>
        <w:left w:val="none" w:sz="0" w:space="0" w:color="auto"/>
        <w:bottom w:val="none" w:sz="0" w:space="0" w:color="auto"/>
        <w:right w:val="none" w:sz="0" w:space="0" w:color="auto"/>
      </w:divBdr>
    </w:div>
    <w:div w:id="144586472">
      <w:bodyDiv w:val="1"/>
      <w:marLeft w:val="0"/>
      <w:marRight w:val="0"/>
      <w:marTop w:val="0"/>
      <w:marBottom w:val="0"/>
      <w:divBdr>
        <w:top w:val="none" w:sz="0" w:space="0" w:color="auto"/>
        <w:left w:val="none" w:sz="0" w:space="0" w:color="auto"/>
        <w:bottom w:val="none" w:sz="0" w:space="0" w:color="auto"/>
        <w:right w:val="none" w:sz="0" w:space="0" w:color="auto"/>
      </w:divBdr>
    </w:div>
    <w:div w:id="190387041">
      <w:bodyDiv w:val="1"/>
      <w:marLeft w:val="0"/>
      <w:marRight w:val="0"/>
      <w:marTop w:val="0"/>
      <w:marBottom w:val="0"/>
      <w:divBdr>
        <w:top w:val="none" w:sz="0" w:space="0" w:color="auto"/>
        <w:left w:val="none" w:sz="0" w:space="0" w:color="auto"/>
        <w:bottom w:val="none" w:sz="0" w:space="0" w:color="auto"/>
        <w:right w:val="none" w:sz="0" w:space="0" w:color="auto"/>
      </w:divBdr>
    </w:div>
    <w:div w:id="230895440">
      <w:bodyDiv w:val="1"/>
      <w:marLeft w:val="0"/>
      <w:marRight w:val="0"/>
      <w:marTop w:val="0"/>
      <w:marBottom w:val="0"/>
      <w:divBdr>
        <w:top w:val="none" w:sz="0" w:space="0" w:color="auto"/>
        <w:left w:val="none" w:sz="0" w:space="0" w:color="auto"/>
        <w:bottom w:val="none" w:sz="0" w:space="0" w:color="auto"/>
        <w:right w:val="none" w:sz="0" w:space="0" w:color="auto"/>
      </w:divBdr>
    </w:div>
    <w:div w:id="236937562">
      <w:bodyDiv w:val="1"/>
      <w:marLeft w:val="0"/>
      <w:marRight w:val="0"/>
      <w:marTop w:val="0"/>
      <w:marBottom w:val="0"/>
      <w:divBdr>
        <w:top w:val="none" w:sz="0" w:space="0" w:color="auto"/>
        <w:left w:val="none" w:sz="0" w:space="0" w:color="auto"/>
        <w:bottom w:val="none" w:sz="0" w:space="0" w:color="auto"/>
        <w:right w:val="none" w:sz="0" w:space="0" w:color="auto"/>
      </w:divBdr>
    </w:div>
    <w:div w:id="258486778">
      <w:bodyDiv w:val="1"/>
      <w:marLeft w:val="0"/>
      <w:marRight w:val="0"/>
      <w:marTop w:val="0"/>
      <w:marBottom w:val="0"/>
      <w:divBdr>
        <w:top w:val="none" w:sz="0" w:space="0" w:color="auto"/>
        <w:left w:val="none" w:sz="0" w:space="0" w:color="auto"/>
        <w:bottom w:val="none" w:sz="0" w:space="0" w:color="auto"/>
        <w:right w:val="none" w:sz="0" w:space="0" w:color="auto"/>
      </w:divBdr>
    </w:div>
    <w:div w:id="305820669">
      <w:bodyDiv w:val="1"/>
      <w:marLeft w:val="0"/>
      <w:marRight w:val="0"/>
      <w:marTop w:val="0"/>
      <w:marBottom w:val="0"/>
      <w:divBdr>
        <w:top w:val="none" w:sz="0" w:space="0" w:color="auto"/>
        <w:left w:val="none" w:sz="0" w:space="0" w:color="auto"/>
        <w:bottom w:val="none" w:sz="0" w:space="0" w:color="auto"/>
        <w:right w:val="none" w:sz="0" w:space="0" w:color="auto"/>
      </w:divBdr>
    </w:div>
    <w:div w:id="393814288">
      <w:bodyDiv w:val="1"/>
      <w:marLeft w:val="0"/>
      <w:marRight w:val="0"/>
      <w:marTop w:val="0"/>
      <w:marBottom w:val="0"/>
      <w:divBdr>
        <w:top w:val="none" w:sz="0" w:space="0" w:color="auto"/>
        <w:left w:val="none" w:sz="0" w:space="0" w:color="auto"/>
        <w:bottom w:val="none" w:sz="0" w:space="0" w:color="auto"/>
        <w:right w:val="none" w:sz="0" w:space="0" w:color="auto"/>
      </w:divBdr>
      <w:divsChild>
        <w:div w:id="1456757470">
          <w:marLeft w:val="0"/>
          <w:marRight w:val="0"/>
          <w:marTop w:val="0"/>
          <w:marBottom w:val="0"/>
          <w:divBdr>
            <w:top w:val="none" w:sz="0" w:space="0" w:color="auto"/>
            <w:left w:val="none" w:sz="0" w:space="0" w:color="auto"/>
            <w:bottom w:val="none" w:sz="0" w:space="0" w:color="auto"/>
            <w:right w:val="none" w:sz="0" w:space="0" w:color="auto"/>
          </w:divBdr>
        </w:div>
      </w:divsChild>
    </w:div>
    <w:div w:id="410588783">
      <w:bodyDiv w:val="1"/>
      <w:marLeft w:val="0"/>
      <w:marRight w:val="0"/>
      <w:marTop w:val="0"/>
      <w:marBottom w:val="0"/>
      <w:divBdr>
        <w:top w:val="none" w:sz="0" w:space="0" w:color="auto"/>
        <w:left w:val="none" w:sz="0" w:space="0" w:color="auto"/>
        <w:bottom w:val="none" w:sz="0" w:space="0" w:color="auto"/>
        <w:right w:val="none" w:sz="0" w:space="0" w:color="auto"/>
      </w:divBdr>
    </w:div>
    <w:div w:id="452291834">
      <w:bodyDiv w:val="1"/>
      <w:marLeft w:val="0"/>
      <w:marRight w:val="0"/>
      <w:marTop w:val="0"/>
      <w:marBottom w:val="0"/>
      <w:divBdr>
        <w:top w:val="none" w:sz="0" w:space="0" w:color="auto"/>
        <w:left w:val="none" w:sz="0" w:space="0" w:color="auto"/>
        <w:bottom w:val="none" w:sz="0" w:space="0" w:color="auto"/>
        <w:right w:val="none" w:sz="0" w:space="0" w:color="auto"/>
      </w:divBdr>
      <w:divsChild>
        <w:div w:id="1964190862">
          <w:marLeft w:val="0"/>
          <w:marRight w:val="0"/>
          <w:marTop w:val="0"/>
          <w:marBottom w:val="105"/>
          <w:divBdr>
            <w:top w:val="none" w:sz="0" w:space="0" w:color="auto"/>
            <w:left w:val="none" w:sz="0" w:space="0" w:color="auto"/>
            <w:bottom w:val="none" w:sz="0" w:space="0" w:color="auto"/>
            <w:right w:val="none" w:sz="0" w:space="0" w:color="auto"/>
          </w:divBdr>
          <w:divsChild>
            <w:div w:id="659430065">
              <w:marLeft w:val="0"/>
              <w:marRight w:val="0"/>
              <w:marTop w:val="105"/>
              <w:marBottom w:val="0"/>
              <w:divBdr>
                <w:top w:val="none" w:sz="0" w:space="0" w:color="auto"/>
                <w:left w:val="none" w:sz="0" w:space="0" w:color="auto"/>
                <w:bottom w:val="none" w:sz="0" w:space="0" w:color="auto"/>
                <w:right w:val="none" w:sz="0" w:space="0" w:color="auto"/>
              </w:divBdr>
            </w:div>
          </w:divsChild>
        </w:div>
        <w:div w:id="888684923">
          <w:marLeft w:val="0"/>
          <w:marRight w:val="0"/>
          <w:marTop w:val="0"/>
          <w:marBottom w:val="105"/>
          <w:divBdr>
            <w:top w:val="none" w:sz="0" w:space="0" w:color="auto"/>
            <w:left w:val="none" w:sz="0" w:space="0" w:color="auto"/>
            <w:bottom w:val="none" w:sz="0" w:space="0" w:color="auto"/>
            <w:right w:val="none" w:sz="0" w:space="0" w:color="auto"/>
          </w:divBdr>
          <w:divsChild>
            <w:div w:id="17814088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52480266">
      <w:bodyDiv w:val="1"/>
      <w:marLeft w:val="0"/>
      <w:marRight w:val="0"/>
      <w:marTop w:val="0"/>
      <w:marBottom w:val="0"/>
      <w:divBdr>
        <w:top w:val="none" w:sz="0" w:space="0" w:color="auto"/>
        <w:left w:val="none" w:sz="0" w:space="0" w:color="auto"/>
        <w:bottom w:val="none" w:sz="0" w:space="0" w:color="auto"/>
        <w:right w:val="none" w:sz="0" w:space="0" w:color="auto"/>
      </w:divBdr>
    </w:div>
    <w:div w:id="501438181">
      <w:bodyDiv w:val="1"/>
      <w:marLeft w:val="0"/>
      <w:marRight w:val="0"/>
      <w:marTop w:val="0"/>
      <w:marBottom w:val="0"/>
      <w:divBdr>
        <w:top w:val="none" w:sz="0" w:space="0" w:color="auto"/>
        <w:left w:val="none" w:sz="0" w:space="0" w:color="auto"/>
        <w:bottom w:val="none" w:sz="0" w:space="0" w:color="auto"/>
        <w:right w:val="none" w:sz="0" w:space="0" w:color="auto"/>
      </w:divBdr>
    </w:div>
    <w:div w:id="507989999">
      <w:bodyDiv w:val="1"/>
      <w:marLeft w:val="0"/>
      <w:marRight w:val="0"/>
      <w:marTop w:val="0"/>
      <w:marBottom w:val="0"/>
      <w:divBdr>
        <w:top w:val="none" w:sz="0" w:space="0" w:color="auto"/>
        <w:left w:val="none" w:sz="0" w:space="0" w:color="auto"/>
        <w:bottom w:val="none" w:sz="0" w:space="0" w:color="auto"/>
        <w:right w:val="none" w:sz="0" w:space="0" w:color="auto"/>
      </w:divBdr>
    </w:div>
    <w:div w:id="573590543">
      <w:bodyDiv w:val="1"/>
      <w:marLeft w:val="0"/>
      <w:marRight w:val="0"/>
      <w:marTop w:val="0"/>
      <w:marBottom w:val="0"/>
      <w:divBdr>
        <w:top w:val="none" w:sz="0" w:space="0" w:color="auto"/>
        <w:left w:val="none" w:sz="0" w:space="0" w:color="auto"/>
        <w:bottom w:val="none" w:sz="0" w:space="0" w:color="auto"/>
        <w:right w:val="none" w:sz="0" w:space="0" w:color="auto"/>
      </w:divBdr>
    </w:div>
    <w:div w:id="613904110">
      <w:bodyDiv w:val="1"/>
      <w:marLeft w:val="0"/>
      <w:marRight w:val="0"/>
      <w:marTop w:val="0"/>
      <w:marBottom w:val="0"/>
      <w:divBdr>
        <w:top w:val="none" w:sz="0" w:space="0" w:color="auto"/>
        <w:left w:val="none" w:sz="0" w:space="0" w:color="auto"/>
        <w:bottom w:val="none" w:sz="0" w:space="0" w:color="auto"/>
        <w:right w:val="none" w:sz="0" w:space="0" w:color="auto"/>
      </w:divBdr>
    </w:div>
    <w:div w:id="637076610">
      <w:bodyDiv w:val="1"/>
      <w:marLeft w:val="0"/>
      <w:marRight w:val="0"/>
      <w:marTop w:val="0"/>
      <w:marBottom w:val="0"/>
      <w:divBdr>
        <w:top w:val="none" w:sz="0" w:space="0" w:color="auto"/>
        <w:left w:val="none" w:sz="0" w:space="0" w:color="auto"/>
        <w:bottom w:val="none" w:sz="0" w:space="0" w:color="auto"/>
        <w:right w:val="none" w:sz="0" w:space="0" w:color="auto"/>
      </w:divBdr>
    </w:div>
    <w:div w:id="683751426">
      <w:bodyDiv w:val="1"/>
      <w:marLeft w:val="0"/>
      <w:marRight w:val="0"/>
      <w:marTop w:val="0"/>
      <w:marBottom w:val="0"/>
      <w:divBdr>
        <w:top w:val="none" w:sz="0" w:space="0" w:color="auto"/>
        <w:left w:val="none" w:sz="0" w:space="0" w:color="auto"/>
        <w:bottom w:val="none" w:sz="0" w:space="0" w:color="auto"/>
        <w:right w:val="none" w:sz="0" w:space="0" w:color="auto"/>
      </w:divBdr>
    </w:div>
    <w:div w:id="742872490">
      <w:bodyDiv w:val="1"/>
      <w:marLeft w:val="0"/>
      <w:marRight w:val="0"/>
      <w:marTop w:val="0"/>
      <w:marBottom w:val="0"/>
      <w:divBdr>
        <w:top w:val="none" w:sz="0" w:space="0" w:color="auto"/>
        <w:left w:val="none" w:sz="0" w:space="0" w:color="auto"/>
        <w:bottom w:val="none" w:sz="0" w:space="0" w:color="auto"/>
        <w:right w:val="none" w:sz="0" w:space="0" w:color="auto"/>
      </w:divBdr>
    </w:div>
    <w:div w:id="799616646">
      <w:bodyDiv w:val="1"/>
      <w:marLeft w:val="0"/>
      <w:marRight w:val="0"/>
      <w:marTop w:val="0"/>
      <w:marBottom w:val="0"/>
      <w:divBdr>
        <w:top w:val="none" w:sz="0" w:space="0" w:color="auto"/>
        <w:left w:val="none" w:sz="0" w:space="0" w:color="auto"/>
        <w:bottom w:val="none" w:sz="0" w:space="0" w:color="auto"/>
        <w:right w:val="none" w:sz="0" w:space="0" w:color="auto"/>
      </w:divBdr>
    </w:div>
    <w:div w:id="866985792">
      <w:bodyDiv w:val="1"/>
      <w:marLeft w:val="0"/>
      <w:marRight w:val="0"/>
      <w:marTop w:val="0"/>
      <w:marBottom w:val="0"/>
      <w:divBdr>
        <w:top w:val="none" w:sz="0" w:space="0" w:color="auto"/>
        <w:left w:val="none" w:sz="0" w:space="0" w:color="auto"/>
        <w:bottom w:val="none" w:sz="0" w:space="0" w:color="auto"/>
        <w:right w:val="none" w:sz="0" w:space="0" w:color="auto"/>
      </w:divBdr>
    </w:div>
    <w:div w:id="921765131">
      <w:bodyDiv w:val="1"/>
      <w:marLeft w:val="0"/>
      <w:marRight w:val="0"/>
      <w:marTop w:val="0"/>
      <w:marBottom w:val="0"/>
      <w:divBdr>
        <w:top w:val="none" w:sz="0" w:space="0" w:color="auto"/>
        <w:left w:val="none" w:sz="0" w:space="0" w:color="auto"/>
        <w:bottom w:val="none" w:sz="0" w:space="0" w:color="auto"/>
        <w:right w:val="none" w:sz="0" w:space="0" w:color="auto"/>
      </w:divBdr>
    </w:div>
    <w:div w:id="921911078">
      <w:bodyDiv w:val="1"/>
      <w:marLeft w:val="0"/>
      <w:marRight w:val="0"/>
      <w:marTop w:val="0"/>
      <w:marBottom w:val="0"/>
      <w:divBdr>
        <w:top w:val="none" w:sz="0" w:space="0" w:color="auto"/>
        <w:left w:val="none" w:sz="0" w:space="0" w:color="auto"/>
        <w:bottom w:val="none" w:sz="0" w:space="0" w:color="auto"/>
        <w:right w:val="none" w:sz="0" w:space="0" w:color="auto"/>
      </w:divBdr>
    </w:div>
    <w:div w:id="944076459">
      <w:bodyDiv w:val="1"/>
      <w:marLeft w:val="0"/>
      <w:marRight w:val="0"/>
      <w:marTop w:val="0"/>
      <w:marBottom w:val="0"/>
      <w:divBdr>
        <w:top w:val="none" w:sz="0" w:space="0" w:color="auto"/>
        <w:left w:val="none" w:sz="0" w:space="0" w:color="auto"/>
        <w:bottom w:val="none" w:sz="0" w:space="0" w:color="auto"/>
        <w:right w:val="none" w:sz="0" w:space="0" w:color="auto"/>
      </w:divBdr>
    </w:div>
    <w:div w:id="952521583">
      <w:bodyDiv w:val="1"/>
      <w:marLeft w:val="0"/>
      <w:marRight w:val="0"/>
      <w:marTop w:val="0"/>
      <w:marBottom w:val="0"/>
      <w:divBdr>
        <w:top w:val="none" w:sz="0" w:space="0" w:color="auto"/>
        <w:left w:val="none" w:sz="0" w:space="0" w:color="auto"/>
        <w:bottom w:val="none" w:sz="0" w:space="0" w:color="auto"/>
        <w:right w:val="none" w:sz="0" w:space="0" w:color="auto"/>
      </w:divBdr>
    </w:div>
    <w:div w:id="998729728">
      <w:bodyDiv w:val="1"/>
      <w:marLeft w:val="0"/>
      <w:marRight w:val="0"/>
      <w:marTop w:val="0"/>
      <w:marBottom w:val="0"/>
      <w:divBdr>
        <w:top w:val="none" w:sz="0" w:space="0" w:color="auto"/>
        <w:left w:val="none" w:sz="0" w:space="0" w:color="auto"/>
        <w:bottom w:val="none" w:sz="0" w:space="0" w:color="auto"/>
        <w:right w:val="none" w:sz="0" w:space="0" w:color="auto"/>
      </w:divBdr>
    </w:div>
    <w:div w:id="1008095847">
      <w:bodyDiv w:val="1"/>
      <w:marLeft w:val="0"/>
      <w:marRight w:val="0"/>
      <w:marTop w:val="0"/>
      <w:marBottom w:val="0"/>
      <w:divBdr>
        <w:top w:val="none" w:sz="0" w:space="0" w:color="auto"/>
        <w:left w:val="none" w:sz="0" w:space="0" w:color="auto"/>
        <w:bottom w:val="none" w:sz="0" w:space="0" w:color="auto"/>
        <w:right w:val="none" w:sz="0" w:space="0" w:color="auto"/>
      </w:divBdr>
    </w:div>
    <w:div w:id="1078555822">
      <w:bodyDiv w:val="1"/>
      <w:marLeft w:val="0"/>
      <w:marRight w:val="0"/>
      <w:marTop w:val="0"/>
      <w:marBottom w:val="0"/>
      <w:divBdr>
        <w:top w:val="none" w:sz="0" w:space="0" w:color="auto"/>
        <w:left w:val="none" w:sz="0" w:space="0" w:color="auto"/>
        <w:bottom w:val="none" w:sz="0" w:space="0" w:color="auto"/>
        <w:right w:val="none" w:sz="0" w:space="0" w:color="auto"/>
      </w:divBdr>
      <w:divsChild>
        <w:div w:id="895969916">
          <w:marLeft w:val="0"/>
          <w:marRight w:val="0"/>
          <w:marTop w:val="0"/>
          <w:marBottom w:val="0"/>
          <w:divBdr>
            <w:top w:val="none" w:sz="0" w:space="0" w:color="auto"/>
            <w:left w:val="none" w:sz="0" w:space="0" w:color="auto"/>
            <w:bottom w:val="none" w:sz="0" w:space="0" w:color="auto"/>
            <w:right w:val="none" w:sz="0" w:space="0" w:color="auto"/>
          </w:divBdr>
        </w:div>
      </w:divsChild>
    </w:div>
    <w:div w:id="1120879128">
      <w:bodyDiv w:val="1"/>
      <w:marLeft w:val="0"/>
      <w:marRight w:val="0"/>
      <w:marTop w:val="0"/>
      <w:marBottom w:val="0"/>
      <w:divBdr>
        <w:top w:val="none" w:sz="0" w:space="0" w:color="auto"/>
        <w:left w:val="none" w:sz="0" w:space="0" w:color="auto"/>
        <w:bottom w:val="none" w:sz="0" w:space="0" w:color="auto"/>
        <w:right w:val="none" w:sz="0" w:space="0" w:color="auto"/>
      </w:divBdr>
    </w:div>
    <w:div w:id="1125855199">
      <w:bodyDiv w:val="1"/>
      <w:marLeft w:val="0"/>
      <w:marRight w:val="0"/>
      <w:marTop w:val="0"/>
      <w:marBottom w:val="0"/>
      <w:divBdr>
        <w:top w:val="none" w:sz="0" w:space="0" w:color="auto"/>
        <w:left w:val="none" w:sz="0" w:space="0" w:color="auto"/>
        <w:bottom w:val="none" w:sz="0" w:space="0" w:color="auto"/>
        <w:right w:val="none" w:sz="0" w:space="0" w:color="auto"/>
      </w:divBdr>
    </w:div>
    <w:div w:id="1147043705">
      <w:bodyDiv w:val="1"/>
      <w:marLeft w:val="0"/>
      <w:marRight w:val="0"/>
      <w:marTop w:val="0"/>
      <w:marBottom w:val="0"/>
      <w:divBdr>
        <w:top w:val="none" w:sz="0" w:space="0" w:color="auto"/>
        <w:left w:val="none" w:sz="0" w:space="0" w:color="auto"/>
        <w:bottom w:val="none" w:sz="0" w:space="0" w:color="auto"/>
        <w:right w:val="none" w:sz="0" w:space="0" w:color="auto"/>
      </w:divBdr>
    </w:div>
    <w:div w:id="1199659778">
      <w:bodyDiv w:val="1"/>
      <w:marLeft w:val="0"/>
      <w:marRight w:val="0"/>
      <w:marTop w:val="0"/>
      <w:marBottom w:val="0"/>
      <w:divBdr>
        <w:top w:val="none" w:sz="0" w:space="0" w:color="auto"/>
        <w:left w:val="none" w:sz="0" w:space="0" w:color="auto"/>
        <w:bottom w:val="none" w:sz="0" w:space="0" w:color="auto"/>
        <w:right w:val="none" w:sz="0" w:space="0" w:color="auto"/>
      </w:divBdr>
    </w:div>
    <w:div w:id="1228568470">
      <w:bodyDiv w:val="1"/>
      <w:marLeft w:val="0"/>
      <w:marRight w:val="0"/>
      <w:marTop w:val="0"/>
      <w:marBottom w:val="0"/>
      <w:divBdr>
        <w:top w:val="none" w:sz="0" w:space="0" w:color="auto"/>
        <w:left w:val="none" w:sz="0" w:space="0" w:color="auto"/>
        <w:bottom w:val="none" w:sz="0" w:space="0" w:color="auto"/>
        <w:right w:val="none" w:sz="0" w:space="0" w:color="auto"/>
      </w:divBdr>
    </w:div>
    <w:div w:id="1274095175">
      <w:bodyDiv w:val="1"/>
      <w:marLeft w:val="0"/>
      <w:marRight w:val="0"/>
      <w:marTop w:val="0"/>
      <w:marBottom w:val="0"/>
      <w:divBdr>
        <w:top w:val="none" w:sz="0" w:space="0" w:color="auto"/>
        <w:left w:val="none" w:sz="0" w:space="0" w:color="auto"/>
        <w:bottom w:val="none" w:sz="0" w:space="0" w:color="auto"/>
        <w:right w:val="none" w:sz="0" w:space="0" w:color="auto"/>
      </w:divBdr>
    </w:div>
    <w:div w:id="1491098235">
      <w:bodyDiv w:val="1"/>
      <w:marLeft w:val="0"/>
      <w:marRight w:val="0"/>
      <w:marTop w:val="0"/>
      <w:marBottom w:val="0"/>
      <w:divBdr>
        <w:top w:val="none" w:sz="0" w:space="0" w:color="auto"/>
        <w:left w:val="none" w:sz="0" w:space="0" w:color="auto"/>
        <w:bottom w:val="none" w:sz="0" w:space="0" w:color="auto"/>
        <w:right w:val="none" w:sz="0" w:space="0" w:color="auto"/>
      </w:divBdr>
    </w:div>
    <w:div w:id="1524781449">
      <w:bodyDiv w:val="1"/>
      <w:marLeft w:val="0"/>
      <w:marRight w:val="0"/>
      <w:marTop w:val="0"/>
      <w:marBottom w:val="0"/>
      <w:divBdr>
        <w:top w:val="none" w:sz="0" w:space="0" w:color="auto"/>
        <w:left w:val="none" w:sz="0" w:space="0" w:color="auto"/>
        <w:bottom w:val="none" w:sz="0" w:space="0" w:color="auto"/>
        <w:right w:val="none" w:sz="0" w:space="0" w:color="auto"/>
      </w:divBdr>
    </w:div>
    <w:div w:id="1585457463">
      <w:bodyDiv w:val="1"/>
      <w:marLeft w:val="0"/>
      <w:marRight w:val="0"/>
      <w:marTop w:val="0"/>
      <w:marBottom w:val="0"/>
      <w:divBdr>
        <w:top w:val="none" w:sz="0" w:space="0" w:color="auto"/>
        <w:left w:val="none" w:sz="0" w:space="0" w:color="auto"/>
        <w:bottom w:val="none" w:sz="0" w:space="0" w:color="auto"/>
        <w:right w:val="none" w:sz="0" w:space="0" w:color="auto"/>
      </w:divBdr>
    </w:div>
    <w:div w:id="1607811515">
      <w:bodyDiv w:val="1"/>
      <w:marLeft w:val="0"/>
      <w:marRight w:val="0"/>
      <w:marTop w:val="0"/>
      <w:marBottom w:val="0"/>
      <w:divBdr>
        <w:top w:val="none" w:sz="0" w:space="0" w:color="auto"/>
        <w:left w:val="none" w:sz="0" w:space="0" w:color="auto"/>
        <w:bottom w:val="none" w:sz="0" w:space="0" w:color="auto"/>
        <w:right w:val="none" w:sz="0" w:space="0" w:color="auto"/>
      </w:divBdr>
    </w:div>
    <w:div w:id="1659729173">
      <w:bodyDiv w:val="1"/>
      <w:marLeft w:val="0"/>
      <w:marRight w:val="0"/>
      <w:marTop w:val="0"/>
      <w:marBottom w:val="0"/>
      <w:divBdr>
        <w:top w:val="none" w:sz="0" w:space="0" w:color="auto"/>
        <w:left w:val="none" w:sz="0" w:space="0" w:color="auto"/>
        <w:bottom w:val="none" w:sz="0" w:space="0" w:color="auto"/>
        <w:right w:val="none" w:sz="0" w:space="0" w:color="auto"/>
      </w:divBdr>
    </w:div>
    <w:div w:id="1678801185">
      <w:bodyDiv w:val="1"/>
      <w:marLeft w:val="0"/>
      <w:marRight w:val="0"/>
      <w:marTop w:val="0"/>
      <w:marBottom w:val="0"/>
      <w:divBdr>
        <w:top w:val="none" w:sz="0" w:space="0" w:color="auto"/>
        <w:left w:val="none" w:sz="0" w:space="0" w:color="auto"/>
        <w:bottom w:val="none" w:sz="0" w:space="0" w:color="auto"/>
        <w:right w:val="none" w:sz="0" w:space="0" w:color="auto"/>
      </w:divBdr>
    </w:div>
    <w:div w:id="1701664354">
      <w:bodyDiv w:val="1"/>
      <w:marLeft w:val="0"/>
      <w:marRight w:val="0"/>
      <w:marTop w:val="0"/>
      <w:marBottom w:val="0"/>
      <w:divBdr>
        <w:top w:val="none" w:sz="0" w:space="0" w:color="auto"/>
        <w:left w:val="none" w:sz="0" w:space="0" w:color="auto"/>
        <w:bottom w:val="none" w:sz="0" w:space="0" w:color="auto"/>
        <w:right w:val="none" w:sz="0" w:space="0" w:color="auto"/>
      </w:divBdr>
    </w:div>
    <w:div w:id="1703702469">
      <w:bodyDiv w:val="1"/>
      <w:marLeft w:val="0"/>
      <w:marRight w:val="0"/>
      <w:marTop w:val="0"/>
      <w:marBottom w:val="0"/>
      <w:divBdr>
        <w:top w:val="none" w:sz="0" w:space="0" w:color="auto"/>
        <w:left w:val="none" w:sz="0" w:space="0" w:color="auto"/>
        <w:bottom w:val="none" w:sz="0" w:space="0" w:color="auto"/>
        <w:right w:val="none" w:sz="0" w:space="0" w:color="auto"/>
      </w:divBdr>
    </w:div>
    <w:div w:id="1732314828">
      <w:bodyDiv w:val="1"/>
      <w:marLeft w:val="0"/>
      <w:marRight w:val="0"/>
      <w:marTop w:val="0"/>
      <w:marBottom w:val="0"/>
      <w:divBdr>
        <w:top w:val="none" w:sz="0" w:space="0" w:color="auto"/>
        <w:left w:val="none" w:sz="0" w:space="0" w:color="auto"/>
        <w:bottom w:val="none" w:sz="0" w:space="0" w:color="auto"/>
        <w:right w:val="none" w:sz="0" w:space="0" w:color="auto"/>
      </w:divBdr>
    </w:div>
    <w:div w:id="1767538460">
      <w:bodyDiv w:val="1"/>
      <w:marLeft w:val="0"/>
      <w:marRight w:val="0"/>
      <w:marTop w:val="0"/>
      <w:marBottom w:val="0"/>
      <w:divBdr>
        <w:top w:val="none" w:sz="0" w:space="0" w:color="auto"/>
        <w:left w:val="none" w:sz="0" w:space="0" w:color="auto"/>
        <w:bottom w:val="none" w:sz="0" w:space="0" w:color="auto"/>
        <w:right w:val="none" w:sz="0" w:space="0" w:color="auto"/>
      </w:divBdr>
    </w:div>
    <w:div w:id="1772626492">
      <w:bodyDiv w:val="1"/>
      <w:marLeft w:val="0"/>
      <w:marRight w:val="0"/>
      <w:marTop w:val="0"/>
      <w:marBottom w:val="0"/>
      <w:divBdr>
        <w:top w:val="none" w:sz="0" w:space="0" w:color="auto"/>
        <w:left w:val="none" w:sz="0" w:space="0" w:color="auto"/>
        <w:bottom w:val="none" w:sz="0" w:space="0" w:color="auto"/>
        <w:right w:val="none" w:sz="0" w:space="0" w:color="auto"/>
      </w:divBdr>
    </w:div>
    <w:div w:id="1790586644">
      <w:bodyDiv w:val="1"/>
      <w:marLeft w:val="0"/>
      <w:marRight w:val="0"/>
      <w:marTop w:val="0"/>
      <w:marBottom w:val="0"/>
      <w:divBdr>
        <w:top w:val="none" w:sz="0" w:space="0" w:color="auto"/>
        <w:left w:val="none" w:sz="0" w:space="0" w:color="auto"/>
        <w:bottom w:val="none" w:sz="0" w:space="0" w:color="auto"/>
        <w:right w:val="none" w:sz="0" w:space="0" w:color="auto"/>
      </w:divBdr>
    </w:div>
    <w:div w:id="1791315841">
      <w:bodyDiv w:val="1"/>
      <w:marLeft w:val="0"/>
      <w:marRight w:val="0"/>
      <w:marTop w:val="0"/>
      <w:marBottom w:val="0"/>
      <w:divBdr>
        <w:top w:val="none" w:sz="0" w:space="0" w:color="auto"/>
        <w:left w:val="none" w:sz="0" w:space="0" w:color="auto"/>
        <w:bottom w:val="none" w:sz="0" w:space="0" w:color="auto"/>
        <w:right w:val="none" w:sz="0" w:space="0" w:color="auto"/>
      </w:divBdr>
      <w:divsChild>
        <w:div w:id="46733283">
          <w:marLeft w:val="0"/>
          <w:marRight w:val="0"/>
          <w:marTop w:val="0"/>
          <w:marBottom w:val="0"/>
          <w:divBdr>
            <w:top w:val="none" w:sz="0" w:space="0" w:color="auto"/>
            <w:left w:val="none" w:sz="0" w:space="0" w:color="auto"/>
            <w:bottom w:val="none" w:sz="0" w:space="0" w:color="auto"/>
            <w:right w:val="none" w:sz="0" w:space="0" w:color="auto"/>
          </w:divBdr>
        </w:div>
      </w:divsChild>
    </w:div>
    <w:div w:id="1807817250">
      <w:bodyDiv w:val="1"/>
      <w:marLeft w:val="0"/>
      <w:marRight w:val="0"/>
      <w:marTop w:val="0"/>
      <w:marBottom w:val="0"/>
      <w:divBdr>
        <w:top w:val="none" w:sz="0" w:space="0" w:color="auto"/>
        <w:left w:val="none" w:sz="0" w:space="0" w:color="auto"/>
        <w:bottom w:val="none" w:sz="0" w:space="0" w:color="auto"/>
        <w:right w:val="none" w:sz="0" w:space="0" w:color="auto"/>
      </w:divBdr>
    </w:div>
    <w:div w:id="1810589145">
      <w:bodyDiv w:val="1"/>
      <w:marLeft w:val="0"/>
      <w:marRight w:val="0"/>
      <w:marTop w:val="0"/>
      <w:marBottom w:val="0"/>
      <w:divBdr>
        <w:top w:val="none" w:sz="0" w:space="0" w:color="auto"/>
        <w:left w:val="none" w:sz="0" w:space="0" w:color="auto"/>
        <w:bottom w:val="none" w:sz="0" w:space="0" w:color="auto"/>
        <w:right w:val="none" w:sz="0" w:space="0" w:color="auto"/>
      </w:divBdr>
    </w:div>
    <w:div w:id="1828208748">
      <w:bodyDiv w:val="1"/>
      <w:marLeft w:val="0"/>
      <w:marRight w:val="0"/>
      <w:marTop w:val="0"/>
      <w:marBottom w:val="0"/>
      <w:divBdr>
        <w:top w:val="none" w:sz="0" w:space="0" w:color="auto"/>
        <w:left w:val="none" w:sz="0" w:space="0" w:color="auto"/>
        <w:bottom w:val="none" w:sz="0" w:space="0" w:color="auto"/>
        <w:right w:val="none" w:sz="0" w:space="0" w:color="auto"/>
      </w:divBdr>
    </w:div>
    <w:div w:id="1890922590">
      <w:bodyDiv w:val="1"/>
      <w:marLeft w:val="0"/>
      <w:marRight w:val="0"/>
      <w:marTop w:val="0"/>
      <w:marBottom w:val="0"/>
      <w:divBdr>
        <w:top w:val="none" w:sz="0" w:space="0" w:color="auto"/>
        <w:left w:val="none" w:sz="0" w:space="0" w:color="auto"/>
        <w:bottom w:val="none" w:sz="0" w:space="0" w:color="auto"/>
        <w:right w:val="none" w:sz="0" w:space="0" w:color="auto"/>
      </w:divBdr>
    </w:div>
    <w:div w:id="1922911380">
      <w:bodyDiv w:val="1"/>
      <w:marLeft w:val="0"/>
      <w:marRight w:val="0"/>
      <w:marTop w:val="0"/>
      <w:marBottom w:val="0"/>
      <w:divBdr>
        <w:top w:val="none" w:sz="0" w:space="0" w:color="auto"/>
        <w:left w:val="none" w:sz="0" w:space="0" w:color="auto"/>
        <w:bottom w:val="none" w:sz="0" w:space="0" w:color="auto"/>
        <w:right w:val="none" w:sz="0" w:space="0" w:color="auto"/>
      </w:divBdr>
    </w:div>
    <w:div w:id="1952935295">
      <w:bodyDiv w:val="1"/>
      <w:marLeft w:val="0"/>
      <w:marRight w:val="0"/>
      <w:marTop w:val="0"/>
      <w:marBottom w:val="0"/>
      <w:divBdr>
        <w:top w:val="none" w:sz="0" w:space="0" w:color="auto"/>
        <w:left w:val="none" w:sz="0" w:space="0" w:color="auto"/>
        <w:bottom w:val="none" w:sz="0" w:space="0" w:color="auto"/>
        <w:right w:val="none" w:sz="0" w:space="0" w:color="auto"/>
      </w:divBdr>
    </w:div>
    <w:div w:id="1969125711">
      <w:bodyDiv w:val="1"/>
      <w:marLeft w:val="0"/>
      <w:marRight w:val="0"/>
      <w:marTop w:val="0"/>
      <w:marBottom w:val="0"/>
      <w:divBdr>
        <w:top w:val="none" w:sz="0" w:space="0" w:color="auto"/>
        <w:left w:val="none" w:sz="0" w:space="0" w:color="auto"/>
        <w:bottom w:val="none" w:sz="0" w:space="0" w:color="auto"/>
        <w:right w:val="none" w:sz="0" w:space="0" w:color="auto"/>
      </w:divBdr>
    </w:div>
    <w:div w:id="2010401990">
      <w:bodyDiv w:val="1"/>
      <w:marLeft w:val="0"/>
      <w:marRight w:val="0"/>
      <w:marTop w:val="0"/>
      <w:marBottom w:val="0"/>
      <w:divBdr>
        <w:top w:val="none" w:sz="0" w:space="0" w:color="auto"/>
        <w:left w:val="none" w:sz="0" w:space="0" w:color="auto"/>
        <w:bottom w:val="none" w:sz="0" w:space="0" w:color="auto"/>
        <w:right w:val="none" w:sz="0" w:space="0" w:color="auto"/>
      </w:divBdr>
    </w:div>
    <w:div w:id="2041277123">
      <w:bodyDiv w:val="1"/>
      <w:marLeft w:val="0"/>
      <w:marRight w:val="0"/>
      <w:marTop w:val="0"/>
      <w:marBottom w:val="0"/>
      <w:divBdr>
        <w:top w:val="none" w:sz="0" w:space="0" w:color="auto"/>
        <w:left w:val="none" w:sz="0" w:space="0" w:color="auto"/>
        <w:bottom w:val="none" w:sz="0" w:space="0" w:color="auto"/>
        <w:right w:val="none" w:sz="0" w:space="0" w:color="auto"/>
      </w:divBdr>
    </w:div>
    <w:div w:id="2052001247">
      <w:bodyDiv w:val="1"/>
      <w:marLeft w:val="0"/>
      <w:marRight w:val="0"/>
      <w:marTop w:val="0"/>
      <w:marBottom w:val="0"/>
      <w:divBdr>
        <w:top w:val="none" w:sz="0" w:space="0" w:color="auto"/>
        <w:left w:val="none" w:sz="0" w:space="0" w:color="auto"/>
        <w:bottom w:val="none" w:sz="0" w:space="0" w:color="auto"/>
        <w:right w:val="none" w:sz="0" w:space="0" w:color="auto"/>
      </w:divBdr>
    </w:div>
    <w:div w:id="2083329409">
      <w:bodyDiv w:val="1"/>
      <w:marLeft w:val="0"/>
      <w:marRight w:val="0"/>
      <w:marTop w:val="0"/>
      <w:marBottom w:val="0"/>
      <w:divBdr>
        <w:top w:val="none" w:sz="0" w:space="0" w:color="auto"/>
        <w:left w:val="none" w:sz="0" w:space="0" w:color="auto"/>
        <w:bottom w:val="none" w:sz="0" w:space="0" w:color="auto"/>
        <w:right w:val="none" w:sz="0" w:space="0" w:color="auto"/>
      </w:divBdr>
    </w:div>
    <w:div w:id="2085256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afr.com/real-estate/australian-listings-on-airbnb-double-in-12-months-20150527-gha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5BB8E-DAF4-C140-8AAF-AD31CC68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17</Pages>
  <Words>7124</Words>
  <Characters>40607</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Pearce</dc:creator>
  <cp:lastModifiedBy>Chris Pearce</cp:lastModifiedBy>
  <cp:revision>195</cp:revision>
  <cp:lastPrinted>2016-07-12T04:49:00Z</cp:lastPrinted>
  <dcterms:created xsi:type="dcterms:W3CDTF">2016-07-10T06:43:00Z</dcterms:created>
  <dcterms:modified xsi:type="dcterms:W3CDTF">2017-05-15T22:53:00Z</dcterms:modified>
</cp:coreProperties>
</file>